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1"/>
      </w:tblGrid>
      <w:tr>
        <w:trPr>
          <w:trHeight w:val="342" w:hRule="atLeast"/>
        </w:trPr>
        <w:tc>
          <w:tcPr>
            <w:tcW w:w="8501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0" w:name="casename_body"/>
            <w:bookmarkEnd w:id="0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3336/18</w:t>
            </w:r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</w:t>
            </w:r>
            <w:r>
              <w:rPr>
                <w:rtl w:val="true"/>
              </w:rPr>
              <w:t>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המשנה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לנשיאה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ח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מלצר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סולברג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גרוסקופף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  <w:bookmarkStart w:id="1" w:name="LastJudge"/>
      <w:bookmarkStart w:id="2" w:name="LastJudge"/>
      <w:bookmarkEnd w:id="2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3" w:name="FirstAppellant"/>
            <w:bookmarkEnd w:id="3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ת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השאם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סמארה</w:t>
            </w:r>
          </w:p>
        </w:tc>
      </w:tr>
    </w:tbl>
    <w:p>
      <w:pPr>
        <w:pStyle w:val="Ruller31"/>
        <w:ind w:end="0"/>
        <w:jc w:val="start"/>
        <w:rPr>
          <w:sz w:val="8"/>
          <w:szCs w:val="14"/>
        </w:rPr>
      </w:pPr>
      <w:r>
        <w:rPr>
          <w:sz w:val="8"/>
          <w:szCs w:val="14"/>
          <w:rtl w:val="true"/>
        </w:rPr>
        <w:tab/>
      </w:r>
    </w:p>
    <w:tbl>
      <w:tblPr>
        <w:bidiVisual w:val="true"/>
        <w:tblW w:w="5238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פסק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מרכז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r>
              <w:rPr>
                <w:sz w:val="24"/>
                <w:sz w:val="24"/>
                <w:szCs w:val="24"/>
                <w:rtl w:val="true"/>
              </w:rPr>
              <w:t>לוד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12.</w:t>
            </w: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.2018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40313-09-15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עמי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קובו</w:t>
            </w:r>
          </w:p>
        </w:tc>
      </w:tr>
    </w:tbl>
    <w:p>
      <w:pPr>
        <w:pStyle w:val="Ruller31"/>
        <w:ind w:end="0"/>
        <w:jc w:val="start"/>
        <w:rPr>
          <w:sz w:val="16"/>
          <w:szCs w:val="22"/>
        </w:rPr>
      </w:pPr>
      <w:r>
        <w:rPr>
          <w:sz w:val="16"/>
          <w:szCs w:val="22"/>
          <w:rtl w:val="true"/>
        </w:rPr>
        <w:tab/>
      </w:r>
    </w:p>
    <w:tbl>
      <w:tblPr>
        <w:bidiVisual w:val="true"/>
        <w:tblW w:w="85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sz w:val="24"/>
                <w:sz w:val="24"/>
                <w:szCs w:val="24"/>
                <w:rtl w:val="true"/>
              </w:rPr>
              <w:t>כ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בחשון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ט</w:t>
            </w:r>
            <w:r>
              <w:rPr>
                <w:rFonts w:cs="Times New Roman"/>
                <w:rtl w:val="true"/>
              </w:rPr>
              <w:t xml:space="preserve">      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true"/>
              </w:rPr>
              <w:t>(</w:t>
            </w:r>
            <w:r>
              <w:rPr>
                <w:sz w:val="24"/>
                <w:szCs w:val="24"/>
              </w:rPr>
              <w:t>7.11.18</w:t>
            </w:r>
            <w:r>
              <w:rPr>
                <w:sz w:val="24"/>
                <w:szCs w:val="24"/>
                <w:rtl w:val="true"/>
              </w:rPr>
              <w:t>)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ת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אופיר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טישלר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Lawyer"/>
            <w:bookmarkEnd w:id="4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אלי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כהן</w:t>
            </w:r>
          </w:p>
        </w:tc>
      </w:tr>
      <w:tr>
        <w:trPr/>
        <w:tc>
          <w:tcPr>
            <w:tcW w:w="3257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</w:tr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שירות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המבחן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למבוגרים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גב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ברכה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וייס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  <w:bookmarkStart w:id="5" w:name="LawTable"/>
      <w:bookmarkStart w:id="6" w:name="LawTable"/>
      <w:bookmarkEnd w:id="6"/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bookmarkStart w:id="7" w:name="ABSTRACT_START"/>
      <w:bookmarkStart w:id="8" w:name="LawTable_End"/>
      <w:bookmarkEnd w:id="7"/>
      <w:bookmarkEnd w:id="8"/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מיני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רציו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העונש שהוטל על המשיב חורג לקולא באופן משמעותי מהראוי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ואינו עולה בקנה אחד עם המגמה המוצהרת של 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זה בשנים האחרונות בדבר החמרת רמת הענישה בעבירות נשק ועל כן יש לקבל את הערעור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עונשין – ענישה – מדיניות ענישה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עבירות נשק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עונשין – ענישה – מדיניות ענישה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התערבות ערכאת ערעור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עונשין – עבירות – עבירות נשק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ערעור המדינה על קולת העונש שהוטל על המשיב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הכולל </w:t>
      </w:r>
      <w:r>
        <w:rPr>
          <w:rFonts w:cs="Times New Roman" w:ascii="Times New Roman" w:hAnsi="Times New Roman"/>
          <w:spacing w:val="0"/>
          <w:sz w:val="24"/>
          <w:szCs w:val="26"/>
        </w:rPr>
        <w:t>18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חודשי מאסר בפועל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בניכוי ימי מעצרו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),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וזאת בעקבות הרשעתו עפ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י הודאתו בעובדות כתב אישום מתוקן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בעבירות של נשיאת נשק ותחמושת והחזקת תחמושת – שני כלי נשק מאולתרים מסוג תת מקלע עם מחסניות בתוכם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וכן </w:t>
      </w:r>
      <w:r>
        <w:rPr>
          <w:rFonts w:cs="Times New Roman" w:ascii="Times New Roman" w:hAnsi="Times New Roman"/>
          <w:spacing w:val="0"/>
          <w:sz w:val="24"/>
          <w:szCs w:val="26"/>
        </w:rPr>
        <w:t>47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כדורי </w:t>
      </w:r>
      <w:r>
        <w:rPr>
          <w:rFonts w:cs="Times New Roman" w:ascii="Times New Roman" w:hAnsi="Times New Roman"/>
          <w:spacing w:val="0"/>
          <w:sz w:val="24"/>
          <w:szCs w:val="26"/>
        </w:rPr>
        <w:t>9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ש העליון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מפי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השופט ע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'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גרוסקופף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)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קיבל את הערעור מהטעמים הבאים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: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הלכה היא כי ערכאת הערעור אינה גוזרת מחדש את דינו של המשיב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ואינה נוטה להתערב בעונש שנגזר על ידי הערכאה הדיונית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אלא בנסיבות חריגות שבהן נפלה טעות בולטת בגזר הדין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או כאשר העונש חורג באופן קיצוני מהענישה המקובלת במקרים דומים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במקרה דנא 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שוכנע כי העונש שהוטל על המשיב חורג לקולא באופן משמעותי מהראוי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ואינו עולה בקנה אחד עם המגמה המוצהרת של בימ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זה בשנים האחרונות בדבר החמרת רמת הענישה בעבירות נשק ועל כן יש לקבל את הערעור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Times New Roman"/>
          <w:spacing w:val="0"/>
          <w:szCs w:val="26"/>
        </w:rPr>
      </w:pPr>
      <w:r>
        <w:rPr>
          <w:rFonts w:ascii="Times New Roman" w:hAnsi="Times New Roman" w:cs="Times New Roman"/>
          <w:spacing w:val="0"/>
          <w:szCs w:val="26"/>
          <w:rtl w:val="true"/>
        </w:rPr>
        <w:t>במקרה זה יש להחמיר את עונשו של המשיב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זאת בשים לב לחומרת העבירה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Cs w:val="26"/>
          <w:rtl w:val="true"/>
        </w:rPr>
        <w:t>לכך שמדובר בשני כלי נשק מסוג תת מקלע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Cs w:val="26"/>
          <w:rtl w:val="true"/>
        </w:rPr>
        <w:t>לנסיעתו המהירה של המשיב לאחר שאותתו לו השוטרים לעצור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Cs w:val="26"/>
          <w:rtl w:val="true"/>
        </w:rPr>
        <w:t>לכך שלא ניתן הסבר מספק למטרת ההחזקה בנשק ולעברו הפלילי של המשיב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בדגש על תקופות המאסר הממושכות והעבירות הדומות בהן הורשע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לא נעלמה מעיני ביהמ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 העובדה כי המשיב שיקם את חייו בצורה טובה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נמנע מביצוע עבירות במשך שנים רבות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וקיבל המלצות חיוביות משירות המבחן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אולם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מדובר בעבירות חמורות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ובהתחשב בנסיבות שנמנו לעיל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על העונש להלום את חומרתן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/>
      </w:pPr>
      <w:r>
        <w:rPr>
          <w:rFonts w:ascii="Times New Roman" w:hAnsi="Times New Roman" w:cs="Times New Roman"/>
          <w:spacing w:val="0"/>
          <w:szCs w:val="26"/>
          <w:rtl w:val="true"/>
        </w:rPr>
        <w:t>נוכח הכלל לפיו ערכאת הערעור אינה ממצה את הדין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הוחלט לחמיר בעונש בצורה מתונה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כך שעונש המאסר בפועל יעמוד על </w:t>
      </w:r>
      <w:r>
        <w:rPr>
          <w:rFonts w:cs="Times New Roman" w:ascii="Times New Roman" w:hAnsi="Times New Roman"/>
          <w:spacing w:val="0"/>
          <w:szCs w:val="26"/>
        </w:rPr>
        <w:t>24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Times New Roman"/>
          <w:spacing w:val="0"/>
          <w:szCs w:val="26"/>
          <w:rtl w:val="true"/>
        </w:rPr>
        <w:t>חודשים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שאר רכיבי העונש יוותרו על כנם כפי שקבע ביהמ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 קמא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Times New Roman" w:hAnsi="Times New Roman" w:cs="Times New Roman"/>
          <w:spacing w:val="0"/>
          <w:szCs w:val="26"/>
        </w:rPr>
      </w:pPr>
      <w:r>
        <w:rPr>
          <w:rFonts w:cs="Times New Roman"/>
          <w:spacing w:val="0"/>
          <w:szCs w:val="26"/>
          <w:rtl w:val="true"/>
        </w:rPr>
      </w:r>
      <w:bookmarkStart w:id="9" w:name="ABSTRACT_END"/>
      <w:bookmarkStart w:id="10" w:name="ABSTRACT_END"/>
      <w:bookmarkEnd w:id="10"/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1" w:name="PsakDin"/>
            <w:bookmarkStart w:id="12" w:name="BeginProtocol"/>
            <w:bookmarkStart w:id="13" w:name="secretary"/>
            <w:bookmarkEnd w:id="11"/>
            <w:bookmarkEnd w:id="12"/>
            <w:bookmarkEnd w:id="13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bookmarkStart w:id="14" w:name="Writer_Name"/>
      <w:bookmarkEnd w:id="14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ע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גרוסקופף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15" w:name="Start_Write"/>
      <w:bookmarkStart w:id="16" w:name="Start_Write"/>
      <w:bookmarkEnd w:id="16"/>
    </w:p>
    <w:p>
      <w:pPr>
        <w:pStyle w:val="Ruller41"/>
        <w:ind w:end="0"/>
        <w:jc w:val="both"/>
        <w:rPr/>
      </w:pPr>
      <w:bookmarkStart w:id="17" w:name="_GoBack"/>
      <w:bookmarkEnd w:id="17"/>
      <w:r>
        <w:rPr>
          <w:rtl w:val="true"/>
        </w:rPr>
        <w:tab/>
      </w:r>
      <w:r>
        <w:rPr>
          <w:rtl w:val="true"/>
        </w:rPr>
        <w:t>לפנינו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מרכז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בלוד</w:t>
      </w:r>
      <w:r>
        <w:rPr>
          <w:rtl w:val="true"/>
        </w:rPr>
        <w:t xml:space="preserve">, </w:t>
      </w:r>
      <w:r>
        <w:rPr>
          <w:rtl w:val="true"/>
        </w:rPr>
        <w:t>מיום</w:t>
      </w:r>
      <w:r>
        <w:rPr>
          <w:rFonts w:eastAsia="Arial TUR" w:cs="Arial TUR"/>
          <w:rtl w:val="true"/>
        </w:rPr>
        <w:t xml:space="preserve"> </w:t>
      </w:r>
      <w:r>
        <w:rPr/>
        <w:t>12.3.2018</w:t>
      </w:r>
      <w:r>
        <w:rPr>
          <w:rtl w:val="true"/>
        </w:rPr>
        <w:t xml:space="preserve"> </w:t>
      </w:r>
      <w:r>
        <w:rPr>
          <w:rtl w:val="true"/>
        </w:rPr>
        <w:t>ב</w:t>
      </w:r>
      <w:hyperlink r:id="rId6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40313-09-15</w:t>
        </w:r>
      </w:hyperlink>
      <w:r>
        <w:rPr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שניתן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כבוד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עמי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קובו</w:t>
      </w:r>
      <w:r>
        <w:rPr>
          <w:rtl w:val="true"/>
        </w:rPr>
        <w:t xml:space="preserve">. </w:t>
      </w:r>
      <w:r>
        <w:rPr>
          <w:rtl w:val="true"/>
        </w:rPr>
        <w:t>המשיב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מתוקן</w:t>
      </w:r>
      <w:r>
        <w:rPr>
          <w:rtl w:val="true"/>
        </w:rPr>
        <w:t xml:space="preserve">, </w:t>
      </w:r>
      <w:r>
        <w:rPr>
          <w:rtl w:val="true"/>
        </w:rPr>
        <w:t>והורשע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נשיאת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ותחמושת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7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ב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8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 xml:space="preserve"> 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cs="Miriam" w:ascii="Century" w:hAnsi="Century"/>
          <w:b/>
          <w:spacing w:val="0"/>
          <w:szCs w:val="24"/>
          <w:rtl w:val="true"/>
        </w:rPr>
        <w:t>"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החוק</w:t>
      </w:r>
      <w:r>
        <w:rPr>
          <w:rFonts w:cs="Miriam" w:ascii="Century" w:hAnsi="Century"/>
          <w:b/>
          <w:spacing w:val="0"/>
          <w:szCs w:val="24"/>
          <w:rtl w:val="true"/>
        </w:rPr>
        <w:t>"</w:t>
      </w:r>
      <w:r>
        <w:rPr>
          <w:rtl w:val="true"/>
        </w:rPr>
        <w:t xml:space="preserve">) </w:t>
      </w:r>
      <w:r>
        <w:rPr>
          <w:rtl w:val="true"/>
        </w:rPr>
        <w:t>והחזקת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תחמושת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9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. </w:t>
      </w:r>
      <w:r>
        <w:rPr>
          <w:rtl w:val="true"/>
        </w:rPr>
        <w:t>בגין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נגזרו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עליו</w:t>
      </w:r>
      <w:r>
        <w:rPr>
          <w:rFonts w:eastAsia="Arial TUR" w:cs="Arial TUR"/>
          <w:rtl w:val="true"/>
        </w:rPr>
        <w:t xml:space="preserve">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בניכוי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מעצרו</w:t>
      </w:r>
      <w:r>
        <w:rPr>
          <w:rtl w:val="true"/>
        </w:rPr>
        <w:t xml:space="preserve">),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לבל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יעבור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במשך</w:t>
      </w:r>
      <w:r>
        <w:rPr>
          <w:rFonts w:eastAsia="Arial TUR" w:cs="Arial TUR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שחרורו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פשע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לבל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יעבור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במשך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שנתיים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שחרורו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עוון</w:t>
      </w:r>
      <w:r>
        <w:rPr>
          <w:rtl w:val="true"/>
        </w:rPr>
        <w:t xml:space="preserve">. </w:t>
      </w:r>
      <w:r>
        <w:rPr>
          <w:rtl w:val="true"/>
        </w:rPr>
        <w:t>הערעור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שלפנינו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הוגש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קולת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עובדות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המקרה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לפי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כתב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האישום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המתוקן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cs="Miriam" w:ascii="Century" w:hAnsi="Century"/>
          <w:b/>
          <w:spacing w:val="0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 xml:space="preserve">ביום </w:t>
      </w:r>
      <w:r>
        <w:rPr/>
        <w:t>18.9.2015</w:t>
      </w:r>
      <w:r>
        <w:rPr>
          <w:rtl w:val="true"/>
        </w:rPr>
        <w:t xml:space="preserve"> </w:t>
      </w:r>
      <w:r>
        <w:rPr>
          <w:rtl w:val="true"/>
        </w:rPr>
        <w:t>ביצעו מספר שוטרים בתפקיד תצפית במסגרת פעילות בילוש בעיר טירה</w:t>
      </w:r>
      <w:r>
        <w:rPr>
          <w:rtl w:val="true"/>
        </w:rPr>
        <w:t xml:space="preserve">. </w:t>
      </w:r>
      <w:r>
        <w:rPr>
          <w:rtl w:val="true"/>
        </w:rPr>
        <w:t xml:space="preserve">סמוך לשעה </w:t>
      </w:r>
      <w:r>
        <w:rPr/>
        <w:t>3:00</w:t>
      </w:r>
      <w:r>
        <w:rPr>
          <w:rtl w:val="true"/>
        </w:rPr>
        <w:t xml:space="preserve"> </w:t>
      </w:r>
      <w:r>
        <w:rPr>
          <w:rtl w:val="true"/>
        </w:rPr>
        <w:t>לפנות בוקר</w:t>
      </w:r>
      <w:r>
        <w:rPr>
          <w:rtl w:val="true"/>
        </w:rPr>
        <w:t xml:space="preserve">, </w:t>
      </w:r>
      <w:r>
        <w:rPr>
          <w:rtl w:val="true"/>
        </w:rPr>
        <w:t>הבחינו השוטרים ברכב בו נהג המשיב ועמו שני אנשים נוספים</w:t>
      </w:r>
      <w:r>
        <w:rPr>
          <w:rtl w:val="true"/>
        </w:rPr>
        <w:t xml:space="preserve">, </w:t>
      </w:r>
      <w:r>
        <w:rPr>
          <w:rtl w:val="true"/>
        </w:rPr>
        <w:t>והם נסעו אחר הרכב</w:t>
      </w:r>
      <w:r>
        <w:rPr>
          <w:rtl w:val="true"/>
        </w:rPr>
        <w:t xml:space="preserve">, </w:t>
      </w:r>
      <w:r>
        <w:rPr>
          <w:rtl w:val="true"/>
        </w:rPr>
        <w:t>כרזו למשיב לעצור והדליקו אורות כחולים</w:t>
      </w:r>
      <w:r>
        <w:rPr>
          <w:rtl w:val="true"/>
        </w:rPr>
        <w:t xml:space="preserve">. </w:t>
      </w:r>
      <w:r>
        <w:rPr>
          <w:rtl w:val="true"/>
        </w:rPr>
        <w:t>בעקבות זאת</w:t>
      </w:r>
      <w:r>
        <w:rPr>
          <w:rtl w:val="true"/>
        </w:rPr>
        <w:t xml:space="preserve">, </w:t>
      </w:r>
      <w:r>
        <w:rPr>
          <w:rtl w:val="true"/>
        </w:rPr>
        <w:t>החל המשיב בנסיעה מהירה וכשהגיע לדרך ללא מוצא</w:t>
      </w:r>
      <w:r>
        <w:rPr>
          <w:rtl w:val="true"/>
        </w:rPr>
        <w:t xml:space="preserve">, </w:t>
      </w:r>
      <w:r>
        <w:rPr>
          <w:rtl w:val="true"/>
        </w:rPr>
        <w:t>נעצר</w:t>
      </w:r>
      <w:r>
        <w:rPr>
          <w:rtl w:val="true"/>
        </w:rPr>
        <w:t xml:space="preserve">. </w:t>
      </w:r>
      <w:r>
        <w:rPr>
          <w:rtl w:val="true"/>
        </w:rPr>
        <w:t>השוטרים נעצרו אחריו</w:t>
      </w:r>
      <w:r>
        <w:rPr>
          <w:rtl w:val="true"/>
        </w:rPr>
        <w:t xml:space="preserve">, </w:t>
      </w:r>
      <w:r>
        <w:rPr>
          <w:rtl w:val="true"/>
        </w:rPr>
        <w:t>חסמו את הדרך</w:t>
      </w:r>
      <w:r>
        <w:rPr>
          <w:rtl w:val="true"/>
        </w:rPr>
        <w:t xml:space="preserve">, </w:t>
      </w:r>
      <w:r>
        <w:rPr>
          <w:rtl w:val="true"/>
        </w:rPr>
        <w:t xml:space="preserve">ביצעו חיפוש ברכב ובמהלכו תפסו בתא המטען שני רובי </w:t>
      </w:r>
      <w:r>
        <w:rPr>
          <w:rtl w:val="true"/>
        </w:rPr>
        <w:t>"</w:t>
      </w:r>
      <w:r>
        <w:rPr>
          <w:rtl w:val="true"/>
        </w:rPr>
        <w:t>קרל גוסטב</w:t>
      </w:r>
      <w:r>
        <w:rPr>
          <w:rtl w:val="true"/>
        </w:rPr>
        <w:t xml:space="preserve">" </w:t>
      </w:r>
      <w:r>
        <w:rPr>
          <w:rtl w:val="true"/>
        </w:rPr>
        <w:t>מאולתרים עם מחסניות בתוכם</w:t>
      </w:r>
      <w:r>
        <w:rPr>
          <w:rtl w:val="true"/>
        </w:rPr>
        <w:t xml:space="preserve">, </w:t>
      </w:r>
      <w:r>
        <w:rPr>
          <w:rtl w:val="true"/>
        </w:rPr>
        <w:t>כשהם מכוסים בשק יוטה בצבע חום</w:t>
      </w:r>
      <w:r>
        <w:rPr>
          <w:rtl w:val="true"/>
        </w:rPr>
        <w:t xml:space="preserve">. </w:t>
      </w:r>
      <w:r>
        <w:rPr>
          <w:rtl w:val="true"/>
        </w:rPr>
        <w:t xml:space="preserve">כן נתפס גם קרטון שהכיל </w:t>
      </w:r>
      <w:r>
        <w:rPr/>
        <w:t>39</w:t>
      </w:r>
      <w:r>
        <w:rPr>
          <w:rtl w:val="true"/>
        </w:rPr>
        <w:t xml:space="preserve"> </w:t>
      </w:r>
      <w:r>
        <w:rPr>
          <w:rtl w:val="true"/>
        </w:rPr>
        <w:t xml:space="preserve">כדורי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 xml:space="preserve">וגרב שחורה ובה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כדורים נוספים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במהלך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ניהול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הליך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ההוכחות</w:t>
      </w:r>
      <w:r>
        <w:rPr>
          <w:rtl w:val="true"/>
        </w:rPr>
        <w:t xml:space="preserve">, </w:t>
      </w:r>
      <w:r>
        <w:rPr>
          <w:rtl w:val="true"/>
        </w:rPr>
        <w:t>הגיעו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להסדר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טיעון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והורשע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המתוקן</w:t>
      </w:r>
      <w:r>
        <w:rPr>
          <w:rtl w:val="true"/>
        </w:rPr>
        <w:t xml:space="preserve">, </w:t>
      </w:r>
      <w:r>
        <w:rPr>
          <w:rtl w:val="true"/>
        </w:rPr>
        <w:t>ולאחר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מכן</w:t>
      </w:r>
      <w:r>
        <w:rPr>
          <w:rtl w:val="true"/>
        </w:rPr>
        <w:t xml:space="preserve">, </w:t>
      </w:r>
      <w:r>
        <w:rPr>
          <w:rtl w:val="true"/>
        </w:rPr>
        <w:t>נשלח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תסקיר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מבחן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eastAsia="Century" w:cs="Century" w:ascii="Century" w:hAnsi="Century"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תסקיר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שירות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המבחן</w:t>
      </w:r>
    </w:p>
    <w:p>
      <w:pPr>
        <w:pStyle w:val="Ruller41"/>
        <w:ind w:end="0"/>
        <w:jc w:val="both"/>
        <w:rPr>
          <w:rFonts w:ascii="Century" w:hAnsi="Century" w:cs="Century"/>
          <w:b/>
          <w:spacing w:val="0"/>
          <w:szCs w:val="24"/>
        </w:rPr>
      </w:pPr>
      <w:r>
        <w:rPr>
          <w:rFonts w:cs="Century" w:ascii="Century" w:hAnsi="Century"/>
          <w:b/>
          <w:spacing w:val="0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על פי התסקיר</w:t>
      </w:r>
      <w:r>
        <w:rPr>
          <w:rtl w:val="true"/>
        </w:rPr>
        <w:t xml:space="preserve">, </w:t>
      </w:r>
      <w:r>
        <w:rPr>
          <w:rtl w:val="true"/>
        </w:rPr>
        <w:t xml:space="preserve">המשיב בן </w:t>
      </w:r>
      <w:r>
        <w:rPr/>
        <w:t>55</w:t>
      </w:r>
      <w:r>
        <w:rPr>
          <w:rtl w:val="true"/>
        </w:rPr>
        <w:t xml:space="preserve">, </w:t>
      </w:r>
      <w:r>
        <w:rPr>
          <w:rtl w:val="true"/>
        </w:rPr>
        <w:t>נשוי ואב ל</w:t>
      </w:r>
      <w:r>
        <w:rPr>
          <w:rtl w:val="true"/>
        </w:rPr>
        <w:t>-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ילדים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>-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השנים האחרונות</w:t>
      </w:r>
      <w:r>
        <w:rPr>
          <w:rtl w:val="true"/>
        </w:rPr>
        <w:t xml:space="preserve">, </w:t>
      </w:r>
      <w:r>
        <w:rPr>
          <w:rtl w:val="true"/>
        </w:rPr>
        <w:t xml:space="preserve">הוא עובד כממונה על הגבייה בתאגיד המים </w:t>
      </w:r>
      <w:r>
        <w:rPr>
          <w:rtl w:val="true"/>
        </w:rPr>
        <w:t>"</w:t>
      </w:r>
      <w:r>
        <w:rPr>
          <w:rtl w:val="true"/>
        </w:rPr>
        <w:t>מעיינות המשולש</w:t>
      </w:r>
      <w:r>
        <w:rPr>
          <w:rtl w:val="true"/>
        </w:rPr>
        <w:t xml:space="preserve">". </w:t>
      </w:r>
      <w:r>
        <w:rPr>
          <w:rtl w:val="true"/>
        </w:rPr>
        <w:t>ב</w:t>
      </w:r>
      <w:r>
        <w:rPr>
          <w:rtl w:val="true"/>
        </w:rPr>
        <w:t>-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השנים שקדמו לכך</w:t>
      </w:r>
      <w:r>
        <w:rPr>
          <w:rtl w:val="true"/>
        </w:rPr>
        <w:t xml:space="preserve">, </w:t>
      </w:r>
      <w:r>
        <w:rPr>
          <w:rtl w:val="true"/>
        </w:rPr>
        <w:t>עבד במחלקת הגבייה של עיריית טייבה</w:t>
      </w:r>
      <w:r>
        <w:rPr>
          <w:rtl w:val="true"/>
        </w:rPr>
        <w:t xml:space="preserve">. </w:t>
      </w:r>
      <w:r>
        <w:rPr>
          <w:rtl w:val="true"/>
        </w:rPr>
        <w:t xml:space="preserve">המשיב בוגר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שנות לימוד ומחזיק בתעודת בגרות</w:t>
      </w:r>
      <w:r>
        <w:rPr>
          <w:rtl w:val="true"/>
        </w:rPr>
        <w:t xml:space="preserve">. </w:t>
      </w:r>
      <w:r>
        <w:rPr>
          <w:rtl w:val="true"/>
        </w:rPr>
        <w:t>לדבריו</w:t>
      </w:r>
      <w:r>
        <w:rPr>
          <w:rtl w:val="true"/>
        </w:rPr>
        <w:t xml:space="preserve">, </w:t>
      </w:r>
      <w:r>
        <w:rPr>
          <w:rtl w:val="true"/>
        </w:rPr>
        <w:t>גדל במשפחה נורמטיבית</w:t>
      </w:r>
      <w:r>
        <w:rPr>
          <w:rtl w:val="true"/>
        </w:rPr>
        <w:t xml:space="preserve">, </w:t>
      </w:r>
      <w:r>
        <w:rPr>
          <w:rtl w:val="true"/>
        </w:rPr>
        <w:t xml:space="preserve">ובגיל </w:t>
      </w:r>
      <w:r>
        <w:rPr/>
        <w:t>17</w:t>
      </w:r>
      <w:r>
        <w:rPr>
          <w:rtl w:val="true"/>
        </w:rPr>
        <w:t xml:space="preserve"> </w:t>
      </w:r>
      <w:r>
        <w:rPr>
          <w:rtl w:val="true"/>
        </w:rPr>
        <w:t>עבר להתגורר אצל דודו</w:t>
      </w:r>
      <w:r>
        <w:rPr>
          <w:rtl w:val="true"/>
        </w:rPr>
        <w:t xml:space="preserve">. </w:t>
      </w:r>
      <w:r>
        <w:rPr>
          <w:rtl w:val="true"/>
        </w:rPr>
        <w:t>עם סיום לימודיו בתיכון נהג לבלות עם חברה שולית</w:t>
      </w:r>
      <w:r>
        <w:rPr>
          <w:rtl w:val="true"/>
        </w:rPr>
        <w:t xml:space="preserve">, </w:t>
      </w:r>
      <w:r>
        <w:rPr>
          <w:rtl w:val="true"/>
        </w:rPr>
        <w:t>מה שמנע ממנו</w:t>
      </w:r>
      <w:r>
        <w:rPr>
          <w:rtl w:val="true"/>
        </w:rPr>
        <w:t xml:space="preserve">, </w:t>
      </w:r>
      <w:r>
        <w:rPr>
          <w:rtl w:val="true"/>
        </w:rPr>
        <w:t>לדבריו</w:t>
      </w:r>
      <w:r>
        <w:rPr>
          <w:rtl w:val="true"/>
        </w:rPr>
        <w:t xml:space="preserve">, </w:t>
      </w:r>
      <w:r>
        <w:rPr>
          <w:rtl w:val="true"/>
        </w:rPr>
        <w:t>להשתלב בלימודים אקדמיים</w:t>
      </w:r>
      <w:r>
        <w:rPr>
          <w:rtl w:val="true"/>
        </w:rPr>
        <w:t xml:space="preserve">. </w:t>
      </w:r>
      <w:r>
        <w:rPr>
          <w:rtl w:val="true"/>
        </w:rPr>
        <w:t>המשיב תיאר השתלבות לא סדירה בתעסוקה שהתאפיינה בעבודות מזדמנות לתקופות קצרות</w:t>
      </w:r>
      <w:r>
        <w:rPr>
          <w:rtl w:val="true"/>
        </w:rPr>
        <w:t xml:space="preserve">, </w:t>
      </w:r>
      <w:r>
        <w:rPr>
          <w:rtl w:val="true"/>
        </w:rPr>
        <w:t>ואף ביצע עבירות וריצה מאסרים</w:t>
      </w:r>
      <w:r>
        <w:rPr>
          <w:rtl w:val="true"/>
        </w:rPr>
        <w:t xml:space="preserve">. </w:t>
      </w:r>
      <w:r>
        <w:rPr>
          <w:rtl w:val="true"/>
        </w:rPr>
        <w:t xml:space="preserve">בגיל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שוחרר ממאסרו האחרון והחליט</w:t>
      </w:r>
      <w:r>
        <w:rPr>
          <w:rtl w:val="true"/>
        </w:rPr>
        <w:t xml:space="preserve">, </w:t>
      </w:r>
      <w:r>
        <w:rPr>
          <w:rtl w:val="true"/>
        </w:rPr>
        <w:t>לדבריו</w:t>
      </w:r>
      <w:r>
        <w:rPr>
          <w:rtl w:val="true"/>
        </w:rPr>
        <w:t xml:space="preserve">, </w:t>
      </w:r>
      <w:r>
        <w:rPr>
          <w:rtl w:val="true"/>
        </w:rPr>
        <w:t>לערוך שינוי משמעותי בחייו</w:t>
      </w:r>
      <w:r>
        <w:rPr>
          <w:rtl w:val="true"/>
        </w:rPr>
        <w:t xml:space="preserve">, </w:t>
      </w:r>
      <w:r>
        <w:rPr>
          <w:rtl w:val="true"/>
        </w:rPr>
        <w:t>ניתק קשרים עברייניים קודמים והשתלב בתעסוקה באופן נורמטיבי ומקובל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בהתייחסו לעבירות בהן הורשע</w:t>
      </w:r>
      <w:r>
        <w:rPr>
          <w:rtl w:val="true"/>
        </w:rPr>
        <w:t xml:space="preserve">, </w:t>
      </w:r>
      <w:r>
        <w:rPr>
          <w:rtl w:val="true"/>
        </w:rPr>
        <w:t>קיבל המשיב אחריות מלאה על מעורבותו</w:t>
      </w:r>
      <w:r>
        <w:rPr>
          <w:rtl w:val="true"/>
        </w:rPr>
        <w:t xml:space="preserve">, </w:t>
      </w:r>
      <w:r>
        <w:rPr>
          <w:rtl w:val="true"/>
        </w:rPr>
        <w:t>ביטא חרטה וצער עמוקים</w:t>
      </w:r>
      <w:r>
        <w:rPr>
          <w:rtl w:val="true"/>
        </w:rPr>
        <w:t xml:space="preserve">, </w:t>
      </w:r>
      <w:r>
        <w:rPr>
          <w:rtl w:val="true"/>
        </w:rPr>
        <w:t>וחש בושה בגינן</w:t>
      </w:r>
      <w:r>
        <w:rPr>
          <w:rtl w:val="true"/>
        </w:rPr>
        <w:t xml:space="preserve">. </w:t>
      </w:r>
      <w:r>
        <w:rPr>
          <w:rtl w:val="true"/>
        </w:rPr>
        <w:t>המשיב הסביר כי מעורבותו במעשים מגיעה על רקע קשרים בעייתיים קודמים</w:t>
      </w:r>
      <w:r>
        <w:rPr>
          <w:rtl w:val="true"/>
        </w:rPr>
        <w:t xml:space="preserve">, </w:t>
      </w:r>
      <w:r>
        <w:rPr>
          <w:rtl w:val="true"/>
        </w:rPr>
        <w:t>ונובעת מהקושי שלו להציב גבולות בפניהם</w:t>
      </w:r>
      <w:r>
        <w:rPr>
          <w:rtl w:val="true"/>
        </w:rPr>
        <w:t xml:space="preserve">. </w:t>
      </w:r>
      <w:r>
        <w:rPr>
          <w:rtl w:val="true"/>
        </w:rPr>
        <w:t>המשיב ציין את הפער בין התנהלותו הבעייתית ובין ניהול אורח חיים נורמטיבי במשך שנים</w:t>
      </w:r>
      <w:r>
        <w:rPr>
          <w:rtl w:val="true"/>
        </w:rPr>
        <w:t xml:space="preserve">, </w:t>
      </w:r>
      <w:r>
        <w:rPr>
          <w:rtl w:val="true"/>
        </w:rPr>
        <w:t>והוסיף כי פעל מתוך רצון לשמור על תדמיתו הגברית מול גורמים עברייניים מהעבר</w:t>
      </w:r>
      <w:r>
        <w:rPr>
          <w:rtl w:val="true"/>
        </w:rPr>
        <w:t xml:space="preserve">. </w:t>
      </w:r>
      <w:r>
        <w:rPr>
          <w:rtl w:val="true"/>
        </w:rPr>
        <w:t>במסגרת צו פיקוח מעצר</w:t>
      </w:r>
      <w:r>
        <w:rPr>
          <w:rtl w:val="true"/>
        </w:rPr>
        <w:t xml:space="preserve">, </w:t>
      </w:r>
      <w:r>
        <w:rPr>
          <w:rtl w:val="true"/>
        </w:rPr>
        <w:t>השתלב המשיב בקבוצה המיועדת לעצורי בית</w:t>
      </w:r>
      <w:r>
        <w:rPr>
          <w:rtl w:val="true"/>
        </w:rPr>
        <w:t xml:space="preserve">, </w:t>
      </w:r>
      <w:r>
        <w:rPr>
          <w:rtl w:val="true"/>
        </w:rPr>
        <w:t>אליה הגיע באופן רצוף ויציב ולקח בה חלק פעיל</w:t>
      </w:r>
      <w:r>
        <w:rPr>
          <w:rtl w:val="true"/>
        </w:rPr>
        <w:t xml:space="preserve">. </w:t>
      </w:r>
      <w:r>
        <w:rPr>
          <w:rtl w:val="true"/>
        </w:rPr>
        <w:t>שירות המבחן התרשם כי המשיב ביטא הכרה ראשונית בבעייתיות שבהתנהלותו</w:t>
      </w:r>
      <w:r>
        <w:rPr>
          <w:rtl w:val="true"/>
        </w:rPr>
        <w:t xml:space="preserve">, </w:t>
      </w:r>
      <w:r>
        <w:rPr>
          <w:rtl w:val="true"/>
        </w:rPr>
        <w:t>נכונות לזהות מצבי סיכון ועריכת שינוי בדפוסיו</w:t>
      </w:r>
      <w:r>
        <w:rPr>
          <w:rtl w:val="true"/>
        </w:rPr>
        <w:t xml:space="preserve">. </w:t>
      </w:r>
      <w:r>
        <w:rPr>
          <w:rtl w:val="true"/>
        </w:rPr>
        <w:t>שירות המבחן העריך כי בשקלול כל הפרמטרים</w:t>
      </w:r>
      <w:r>
        <w:rPr>
          <w:rtl w:val="true"/>
        </w:rPr>
        <w:t xml:space="preserve">, </w:t>
      </w:r>
      <w:r>
        <w:rPr>
          <w:rtl w:val="true"/>
        </w:rPr>
        <w:t>רמת הסיכון להתנהגות אלימה מצד המשיב היא נמוכה</w:t>
      </w:r>
      <w:r>
        <w:rPr>
          <w:rtl w:val="true"/>
        </w:rPr>
        <w:t xml:space="preserve">, </w:t>
      </w:r>
      <w:r>
        <w:rPr>
          <w:rtl w:val="true"/>
        </w:rPr>
        <w:t>וכי החומרה הצפויה אם תבוצע עבירת אלימות</w:t>
      </w:r>
      <w:r>
        <w:rPr>
          <w:rtl w:val="true"/>
        </w:rPr>
        <w:t xml:space="preserve">, </w:t>
      </w:r>
      <w:r>
        <w:rPr>
          <w:rtl w:val="true"/>
        </w:rPr>
        <w:t>נמוכה אף היא</w:t>
      </w:r>
      <w:r>
        <w:rPr>
          <w:rtl w:val="true"/>
        </w:rPr>
        <w:t xml:space="preserve">. </w:t>
      </w:r>
      <w:r>
        <w:rPr>
          <w:rtl w:val="true"/>
        </w:rPr>
        <w:t>עוד העריך שירות המבחן כי נדרשת מעורבות טיפולית בעניין המשיב כדי להגביר את הסיכוי לשיקומו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המליץ על מאסר בדרך של עבודות שירות וצו מבחן</w:t>
      </w:r>
      <w:r>
        <w:rPr>
          <w:rtl w:val="true"/>
        </w:rPr>
        <w:t xml:space="preserve">, </w:t>
      </w:r>
      <w:r>
        <w:rPr>
          <w:rtl w:val="true"/>
        </w:rPr>
        <w:t xml:space="preserve">כדי לא לקטוע את ההליך השיקומי בו התמיד המשיב במשך </w:t>
      </w:r>
      <w:r>
        <w:rPr/>
        <w:t>13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1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גזר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הדין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של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בית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המשפט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המחוזי</w:t>
      </w:r>
    </w:p>
    <w:p>
      <w:pPr>
        <w:pStyle w:val="Ruller41"/>
        <w:ind w:end="0"/>
        <w:jc w:val="both"/>
        <w:rPr>
          <w:rFonts w:ascii="Century" w:hAnsi="Century" w:cs="Century"/>
          <w:b/>
          <w:spacing w:val="0"/>
          <w:szCs w:val="24"/>
        </w:rPr>
      </w:pPr>
      <w:r>
        <w:rPr>
          <w:rFonts w:cs="Century" w:ascii="Century" w:hAnsi="Century"/>
          <w:b/>
          <w:spacing w:val="0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לאחר שהורשע במסגרת כתב האישום המתוקן</w:t>
      </w:r>
      <w:r>
        <w:rPr>
          <w:rtl w:val="true"/>
        </w:rPr>
        <w:t xml:space="preserve">, </w:t>
      </w:r>
      <w:r>
        <w:rPr>
          <w:rtl w:val="true"/>
        </w:rPr>
        <w:t xml:space="preserve">גזר בית המשפט קמא את דינו של המשיב ביום </w:t>
      </w:r>
      <w:r>
        <w:rPr/>
        <w:t>12.3.2018</w:t>
      </w:r>
      <w:r>
        <w:rPr>
          <w:rtl w:val="true"/>
        </w:rPr>
        <w:t xml:space="preserve">. </w:t>
      </w:r>
      <w:r>
        <w:rPr>
          <w:rtl w:val="true"/>
        </w:rPr>
        <w:t>בגזר הדין התייחס בית המשפט קמא לפגיעה בערך ההגנה על ביטחון הציבור</w:t>
      </w:r>
      <w:r>
        <w:rPr>
          <w:rtl w:val="true"/>
        </w:rPr>
        <w:t xml:space="preserve">, </w:t>
      </w:r>
      <w:r>
        <w:rPr>
          <w:rtl w:val="true"/>
        </w:rPr>
        <w:t>וציין כי נשיאת נשק חם מסוג תת מקלע</w:t>
      </w:r>
      <w:r>
        <w:rPr>
          <w:rtl w:val="true"/>
        </w:rPr>
        <w:t xml:space="preserve">, </w:t>
      </w:r>
      <w:r>
        <w:rPr>
          <w:rtl w:val="true"/>
        </w:rPr>
        <w:t>יוצרת סיכון שמא יגיע הנשק לגורמים שיעשו בו שימוש למטרות פסולות</w:t>
      </w:r>
      <w:r>
        <w:rPr>
          <w:rtl w:val="true"/>
        </w:rPr>
        <w:t xml:space="preserve">. </w:t>
      </w:r>
      <w:r>
        <w:rPr>
          <w:rtl w:val="true"/>
        </w:rPr>
        <w:t>בית המשפט קמא קבע כי מידת הפגיעה בערך המוגן ממוקמת ברף הבינוני</w:t>
      </w:r>
      <w:r>
        <w:rPr>
          <w:rtl w:val="true"/>
        </w:rPr>
        <w:t xml:space="preserve">. </w:t>
      </w:r>
      <w:r>
        <w:rPr>
          <w:rtl w:val="true"/>
        </w:rPr>
        <w:t>כן התייחס בית המשפט קמא לעובדה כי מדובר בנשיאת שני כלי נשק מאולתרים מסוג תת מקלע</w:t>
      </w:r>
      <w:r>
        <w:rPr>
          <w:rtl w:val="true"/>
        </w:rPr>
        <w:t xml:space="preserve">, </w:t>
      </w:r>
      <w:r>
        <w:rPr>
          <w:rtl w:val="true"/>
        </w:rPr>
        <w:t>וציין כי עבירה בנשק מסוג זה חמורה מעבירה בנשק מסוג אקדח</w:t>
      </w:r>
      <w:r>
        <w:rPr>
          <w:rtl w:val="true"/>
        </w:rPr>
        <w:t xml:space="preserve">, </w:t>
      </w:r>
      <w:r>
        <w:rPr>
          <w:rtl w:val="true"/>
        </w:rPr>
        <w:t>בשל פוטנציאל הנזק הרב הטמון בכלי נשק אלה</w:t>
      </w:r>
      <w:r>
        <w:rPr>
          <w:rtl w:val="true"/>
        </w:rPr>
        <w:t>.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נוסף לכך</w:t>
      </w:r>
      <w:r>
        <w:rPr>
          <w:rtl w:val="true"/>
        </w:rPr>
        <w:t xml:space="preserve">, </w:t>
      </w:r>
      <w:r>
        <w:rPr>
          <w:rtl w:val="true"/>
        </w:rPr>
        <w:t>התייחס בית המשפט קמא לנסיבות הקשורות בביצוע העבירה</w:t>
      </w:r>
      <w:r>
        <w:rPr>
          <w:rtl w:val="true"/>
        </w:rPr>
        <w:t xml:space="preserve">, </w:t>
      </w:r>
      <w:r>
        <w:rPr>
          <w:rtl w:val="true"/>
        </w:rPr>
        <w:t>כגון שעת הלילה המאוחרת</w:t>
      </w:r>
      <w:r>
        <w:rPr>
          <w:rtl w:val="true"/>
        </w:rPr>
        <w:t xml:space="preserve">, </w:t>
      </w:r>
      <w:r>
        <w:rPr>
          <w:rtl w:val="true"/>
        </w:rPr>
        <w:t>נהיגתו המהירה של המשיב בעת שנקרא על ידי השוטרים לעצור ומציאת כלי הנשק בתא המטען של רכבו כשהם מכוסים בשק יוטה</w:t>
      </w:r>
      <w:r>
        <w:rPr>
          <w:rtl w:val="true"/>
        </w:rPr>
        <w:t xml:space="preserve">. </w:t>
      </w:r>
      <w:r>
        <w:rPr>
          <w:rtl w:val="true"/>
        </w:rPr>
        <w:t>כן נתן בית המשפט קמא דעתו לפוטנציאל הנזק בעבירות המשיב</w:t>
      </w:r>
      <w:r>
        <w:rPr>
          <w:rtl w:val="true"/>
        </w:rPr>
        <w:t xml:space="preserve">, </w:t>
      </w:r>
      <w:r>
        <w:rPr>
          <w:rtl w:val="true"/>
        </w:rPr>
        <w:t xml:space="preserve">ולרקע שהציג למעשיו </w:t>
      </w:r>
      <w:r>
        <w:rPr>
          <w:rtl w:val="true"/>
        </w:rPr>
        <w:t>–</w:t>
      </w:r>
      <w:r>
        <w:rPr>
          <w:rtl w:val="true"/>
        </w:rPr>
        <w:t xml:space="preserve"> שמירה על תדמיתו הגברית בפני גורמים עברייניים מהעבר</w:t>
      </w:r>
      <w:r>
        <w:rPr>
          <w:rtl w:val="true"/>
        </w:rPr>
        <w:t xml:space="preserve">, </w:t>
      </w:r>
      <w:r>
        <w:rPr>
          <w:rtl w:val="true"/>
        </w:rPr>
        <w:t>והקושי להציב גבולות בפניהם</w:t>
      </w:r>
      <w:r>
        <w:rPr>
          <w:rtl w:val="true"/>
        </w:rPr>
        <w:t xml:space="preserve">. </w:t>
      </w:r>
      <w:r>
        <w:rPr>
          <w:rtl w:val="true"/>
        </w:rPr>
        <w:t>לאחר הדברים הללו</w:t>
      </w:r>
      <w:r>
        <w:rPr>
          <w:rtl w:val="true"/>
        </w:rPr>
        <w:t xml:space="preserve">, </w:t>
      </w:r>
      <w:r>
        <w:rPr>
          <w:rtl w:val="true"/>
        </w:rPr>
        <w:t xml:space="preserve">בית המשפט קמא קבע כי מתחם העונש יעמוד על </w:t>
      </w:r>
      <w:r>
        <w:rPr/>
        <w:t>40-16</w:t>
      </w:r>
      <w:r>
        <w:rPr>
          <w:rtl w:val="true"/>
        </w:rPr>
        <w:t xml:space="preserve"> </w:t>
      </w:r>
      <w:r>
        <w:rPr>
          <w:rtl w:val="true"/>
        </w:rPr>
        <w:t>חודשי מאסר בפועל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עוד ציין בית המשפט קמא כי לא קיימים שיקולים המצדיקים סטייה מהמתחם</w:t>
      </w:r>
      <w:r>
        <w:rPr>
          <w:rtl w:val="true"/>
        </w:rPr>
        <w:t xml:space="preserve">, </w:t>
      </w:r>
      <w:r>
        <w:rPr>
          <w:rtl w:val="true"/>
        </w:rPr>
        <w:t>לחומרא או לקולא</w:t>
      </w:r>
      <w:r>
        <w:rPr>
          <w:rtl w:val="true"/>
        </w:rPr>
        <w:t xml:space="preserve">. </w:t>
      </w:r>
      <w:r>
        <w:rPr>
          <w:rtl w:val="true"/>
        </w:rPr>
        <w:t>בית המשפט קמא ציין כי נתן דעתו לכך שב</w:t>
      </w:r>
      <w:r>
        <w:rPr>
          <w:rtl w:val="true"/>
        </w:rPr>
        <w:t>-</w:t>
      </w:r>
      <w:r>
        <w:rPr/>
        <w:t>19</w:t>
      </w:r>
      <w:r>
        <w:rPr>
          <w:rtl w:val="true"/>
        </w:rPr>
        <w:t xml:space="preserve"> </w:t>
      </w:r>
      <w:r>
        <w:rPr>
          <w:rtl w:val="true"/>
        </w:rPr>
        <w:t>השנים האחרונות ניהל המשיב אורח חיים נורמטיבי</w:t>
      </w:r>
      <w:r>
        <w:rPr>
          <w:rtl w:val="true"/>
        </w:rPr>
        <w:t xml:space="preserve">, </w:t>
      </w:r>
      <w:r>
        <w:rPr>
          <w:rtl w:val="true"/>
        </w:rPr>
        <w:t xml:space="preserve">וכן לכך שבמשך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חודשים היה נתון תחת צו פיקוח של שירות המבחן</w:t>
      </w:r>
      <w:r>
        <w:rPr>
          <w:rtl w:val="true"/>
        </w:rPr>
        <w:t xml:space="preserve">, </w:t>
      </w:r>
      <w:r>
        <w:rPr>
          <w:rtl w:val="true"/>
        </w:rPr>
        <w:t>שיתף פעולה ואף לקח חלק בקבוצה לעצורי בית ונתרם ממנה</w:t>
      </w:r>
      <w:r>
        <w:rPr>
          <w:rtl w:val="true"/>
        </w:rPr>
        <w:t xml:space="preserve">. </w:t>
      </w:r>
      <w:r>
        <w:rPr>
          <w:rtl w:val="true"/>
        </w:rPr>
        <w:t>עם זאת</w:t>
      </w:r>
      <w:r>
        <w:rPr>
          <w:rtl w:val="true"/>
        </w:rPr>
        <w:t xml:space="preserve">, </w:t>
      </w:r>
      <w:r>
        <w:rPr>
          <w:rtl w:val="true"/>
        </w:rPr>
        <w:t>סבר בית המשפט קמא כי מדובר בהליך טיפול ראשוני שאינו  מצדיק סטייה מן המתחם</w:t>
      </w:r>
      <w:r>
        <w:rPr>
          <w:rtl w:val="true"/>
        </w:rPr>
        <w:t xml:space="preserve">. </w:t>
      </w:r>
      <w:r>
        <w:rPr>
          <w:rtl w:val="true"/>
        </w:rPr>
        <w:t xml:space="preserve">אשר לאורח החיים הנורמטיבי </w:t>
      </w:r>
      <w:r>
        <w:rPr>
          <w:rtl w:val="true"/>
        </w:rPr>
        <w:t>–</w:t>
      </w:r>
      <w:r>
        <w:rPr>
          <w:rtl w:val="true"/>
        </w:rPr>
        <w:t xml:space="preserve"> נאמר כי זה יילקח בחשבון בתוך גדרי המתחם</w:t>
      </w:r>
      <w:r>
        <w:rPr>
          <w:rtl w:val="true"/>
        </w:rPr>
        <w:t xml:space="preserve">. </w:t>
      </w:r>
      <w:r>
        <w:rPr>
          <w:rtl w:val="true"/>
        </w:rPr>
        <w:t>נוסף על כך</w:t>
      </w:r>
      <w:r>
        <w:rPr>
          <w:rtl w:val="true"/>
        </w:rPr>
        <w:t xml:space="preserve">, </w:t>
      </w:r>
      <w:r>
        <w:rPr>
          <w:rtl w:val="true"/>
        </w:rPr>
        <w:t xml:space="preserve">התייחס בית המשפט קמא לכך שלחובת המשיב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 xml:space="preserve">הרשעות קודמות בגינן ריצה עונשי מאסר ממושכים </w:t>
      </w:r>
      <w:r>
        <w:rPr>
          <w:rtl w:val="true"/>
        </w:rPr>
        <w:t>(</w:t>
      </w:r>
      <w:r>
        <w:rPr>
          <w:rtl w:val="true"/>
        </w:rPr>
        <w:t xml:space="preserve">המצטברים יחדיו לכדי כמעט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שנות מאסר</w:t>
      </w:r>
      <w:r>
        <w:rPr>
          <w:rtl w:val="true"/>
        </w:rPr>
        <w:t xml:space="preserve">). </w:t>
      </w:r>
      <w:r>
        <w:rPr>
          <w:rtl w:val="true"/>
        </w:rPr>
        <w:t xml:space="preserve">על אף שמדובר בעבירות ישנות מאד </w:t>
      </w:r>
      <w:r>
        <w:rPr>
          <w:rtl w:val="true"/>
        </w:rPr>
        <w:t>(</w:t>
      </w:r>
      <w:r>
        <w:rPr>
          <w:rtl w:val="true"/>
        </w:rPr>
        <w:t xml:space="preserve">הראשונה משנת </w:t>
      </w:r>
      <w:r>
        <w:rPr/>
        <w:t>1989</w:t>
      </w:r>
      <w:r>
        <w:rPr>
          <w:rtl w:val="true"/>
        </w:rPr>
        <w:t xml:space="preserve">, </w:t>
      </w:r>
      <w:r>
        <w:rPr>
          <w:rtl w:val="true"/>
        </w:rPr>
        <w:t xml:space="preserve">השנייה משנת </w:t>
      </w:r>
      <w:r>
        <w:rPr/>
        <w:t>1994</w:t>
      </w:r>
      <w:r>
        <w:rPr>
          <w:rtl w:val="true"/>
        </w:rPr>
        <w:t xml:space="preserve"> </w:t>
      </w:r>
      <w:r>
        <w:rPr>
          <w:rtl w:val="true"/>
        </w:rPr>
        <w:t xml:space="preserve">והשלישית משנת </w:t>
      </w:r>
      <w:r>
        <w:rPr/>
        <w:t>2001</w:t>
      </w:r>
      <w:r>
        <w:rPr>
          <w:rtl w:val="true"/>
        </w:rPr>
        <w:t xml:space="preserve">), </w:t>
      </w:r>
      <w:r>
        <w:rPr>
          <w:rtl w:val="true"/>
        </w:rPr>
        <w:t>צוין כי מדובר בעבירות בעלות מאפיינים דומים לעבירות בתיק זה</w:t>
      </w:r>
      <w:r>
        <w:rPr>
          <w:rtl w:val="true"/>
        </w:rPr>
        <w:t xml:space="preserve">, </w:t>
      </w:r>
      <w:r>
        <w:rPr>
          <w:rtl w:val="true"/>
        </w:rPr>
        <w:t>ולכן לא ניתן להתעלם מהן</w:t>
      </w:r>
      <w:r>
        <w:rPr>
          <w:rtl w:val="true"/>
        </w:rPr>
        <w:t xml:space="preserve">. </w:t>
      </w:r>
      <w:r>
        <w:rPr>
          <w:rtl w:val="true"/>
        </w:rPr>
        <w:t>עוד הדגיש בית המשפט קמא את שיקול הרתעת היחיד</w:t>
      </w:r>
      <w:r>
        <w:rPr>
          <w:rtl w:val="true"/>
        </w:rPr>
        <w:t xml:space="preserve">, </w:t>
      </w:r>
      <w:r>
        <w:rPr>
          <w:rtl w:val="true"/>
        </w:rPr>
        <w:t>וציין כי למרות שהצליח המשיב במשך שנים רבות לשקם את חייו</w:t>
      </w:r>
      <w:r>
        <w:rPr>
          <w:rtl w:val="true"/>
        </w:rPr>
        <w:t xml:space="preserve">, </w:t>
      </w:r>
      <w:r>
        <w:rPr>
          <w:rtl w:val="true"/>
        </w:rPr>
        <w:t>כשל וחזר לבצע עבירות נשק</w:t>
      </w:r>
      <w:r>
        <w:rPr>
          <w:rtl w:val="true"/>
        </w:rPr>
        <w:t xml:space="preserve">, </w:t>
      </w:r>
      <w:r>
        <w:rPr>
          <w:rtl w:val="true"/>
        </w:rPr>
        <w:t>על אף עונשי המאסר הארוכים שהושתו עליו בעבר בגין עבירות דומות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  <w:tab/>
      </w:r>
      <w:r>
        <w:rPr>
          <w:rFonts w:ascii="Century" w:hAnsi="Century" w:cs="Century"/>
          <w:rtl w:val="true"/>
        </w:rPr>
        <w:t>לבסוף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קבע בית המשפט כי יש לגזור על המשיב עונש בחלקו הנמוך יחסית של המתחם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ונגזרו עליו </w:t>
      </w:r>
      <w:r>
        <w:rPr>
          <w:rFonts w:cs="Century" w:ascii="Century" w:hAnsi="Century"/>
        </w:rPr>
        <w:t>18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 xml:space="preserve">חודשי מאסר בפועל </w:t>
      </w:r>
      <w:r>
        <w:rPr>
          <w:rFonts w:cs="Century" w:ascii="Century" w:hAnsi="Century"/>
          <w:rtl w:val="true"/>
        </w:rPr>
        <w:t>(</w:t>
      </w:r>
      <w:r>
        <w:rPr>
          <w:rFonts w:ascii="Century" w:hAnsi="Century" w:cs="Century"/>
          <w:rtl w:val="true"/>
        </w:rPr>
        <w:t>בניכוי ימי מעצרו</w:t>
      </w:r>
      <w:r>
        <w:rPr>
          <w:rFonts w:cs="Century" w:ascii="Century" w:hAnsi="Century"/>
          <w:rtl w:val="true"/>
        </w:rPr>
        <w:t xml:space="preserve">), </w:t>
      </w:r>
      <w:r>
        <w:rPr>
          <w:rFonts w:cs="Century" w:ascii="Century" w:hAnsi="Century"/>
        </w:rPr>
        <w:t>12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 xml:space="preserve">חודשי מאסר על תנאי ועוד </w:t>
      </w:r>
      <w:r>
        <w:rPr>
          <w:rFonts w:cs="Century" w:ascii="Century" w:hAnsi="Century"/>
        </w:rPr>
        <w:t>6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חודשי מאסר על תנאי</w:t>
      </w:r>
      <w:r>
        <w:rPr>
          <w:rFonts w:cs="Century" w:ascii="Century" w:hAnsi="Century"/>
          <w:rtl w:val="true"/>
        </w:rPr>
        <w:t xml:space="preserve">, </w:t>
      </w:r>
      <w:r>
        <w:rPr>
          <w:rtl w:val="true"/>
        </w:rPr>
        <w:t>הכל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כמפורט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בפתיח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פסק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>.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1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הערעור</w:t>
      </w:r>
    </w:p>
    <w:p>
      <w:pPr>
        <w:pStyle w:val="Ruller41"/>
        <w:ind w:end="0"/>
        <w:jc w:val="both"/>
        <w:rPr>
          <w:rFonts w:ascii="Century" w:hAnsi="Century" w:cs="Century"/>
          <w:b/>
          <w:spacing w:val="0"/>
          <w:szCs w:val="24"/>
        </w:rPr>
      </w:pPr>
      <w:r>
        <w:rPr>
          <w:rFonts w:cs="Century" w:ascii="Century" w:hAnsi="Century"/>
          <w:b/>
          <w:spacing w:val="0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המערערת הגישה ערעור על גזר הדין</w:t>
      </w:r>
      <w:r>
        <w:rPr>
          <w:rtl w:val="true"/>
        </w:rPr>
        <w:t xml:space="preserve">, </w:t>
      </w:r>
      <w:r>
        <w:rPr>
          <w:rtl w:val="true"/>
        </w:rPr>
        <w:t>בטענה כי אין הלימה בין העונש שהושת על המשיב לבין חומרת מעשיו</w:t>
      </w:r>
      <w:r>
        <w:rPr>
          <w:rtl w:val="true"/>
        </w:rPr>
        <w:t xml:space="preserve">, </w:t>
      </w:r>
      <w:r>
        <w:rPr>
          <w:rtl w:val="true"/>
        </w:rPr>
        <w:t>וכי הוא אינו מבטא את מדיניות הענישה הראויה בעבירות נשק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  <w:tab/>
      </w:r>
      <w:r>
        <w:rPr>
          <w:rFonts w:ascii="Century" w:hAnsi="Century" w:cs="Century"/>
          <w:rtl w:val="true"/>
        </w:rPr>
        <w:t>המערערת הציגה בכתב הערעור את המגמה המוצהרת של בית משפט זה להעלות את רמת הענישה בעבירות נשק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וציינה את עמדתה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לפיה ענישה בעבירות אלה צריכה להעביר מסר משמעותי ומרתיע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בכדי לצמצם את תופעת ההחזקה הבלתי חוקית בנשק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לטענתה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מתחם העונש שנקבע על ידי בית המשפט קמא אינו מגשים מטרה זו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שכן הוא נמוך יתר על המידה ואינו משקף את הסיכון הרב הטמון בביצוע עבירות הנשק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הדבר נכון בעיקר כשמדובר בנשק מסוג תת מקלע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במספר כלי נשק שהוחזקו יחדיו וכן במי שביצע עבירות נשק בעבר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המערערת טוענת כי בית המשפט קמא לא נתן משקל מספק לנסיבות ביצוע העבירה</w:t>
      </w:r>
      <w:r>
        <w:rPr>
          <w:rFonts w:cs="Century" w:ascii="Century" w:hAnsi="Century"/>
          <w:rtl w:val="true"/>
        </w:rPr>
        <w:t xml:space="preserve">; </w:t>
      </w:r>
      <w:r>
        <w:rPr>
          <w:rFonts w:ascii="Century" w:hAnsi="Century" w:cs="Century"/>
          <w:rtl w:val="true"/>
        </w:rPr>
        <w:t>לניסיון ההימלטות מהשוטרים</w:t>
      </w:r>
      <w:r>
        <w:rPr>
          <w:rFonts w:cs="Century" w:ascii="Century" w:hAnsi="Century"/>
          <w:rtl w:val="true"/>
        </w:rPr>
        <w:t xml:space="preserve">; </w:t>
      </w:r>
      <w:r>
        <w:rPr>
          <w:rFonts w:ascii="Century" w:hAnsi="Century" w:cs="Century"/>
          <w:rtl w:val="true"/>
        </w:rPr>
        <w:t>להסבר העמום למניע להחזקת הנשק</w:t>
      </w:r>
      <w:r>
        <w:rPr>
          <w:rFonts w:cs="Century" w:ascii="Century" w:hAnsi="Century"/>
          <w:rtl w:val="true"/>
        </w:rPr>
        <w:t xml:space="preserve">; </w:t>
      </w:r>
      <w:r>
        <w:rPr>
          <w:rFonts w:ascii="Century" w:hAnsi="Century" w:cs="Century"/>
          <w:rtl w:val="true"/>
        </w:rPr>
        <w:t>לעובדה כי מדובר בשני כלי נשק מסוג תת מקלע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טעונים במחסנית וכן לעברו הפלילי של המשיב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שעונשי המאסר הארוכים שהוטלו עליו בעבירות דומות לא מנעו ממנו לשוב ולבצע עבירות בנשק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עוד הוסיפה המערערת כי העונש שנגזר על המשיב אינו נותן ביטוי מספיק לשיקולי הרתעת היחיד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ואינו מתחשב כלל בשיקולי הרתעת הרבים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לבסוף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צוין כי לא נעלם מעיני המערערת השינוי החיובי שערך המשיב בחייו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אלא שסבורה היא כי לא ניתן לתת לכך משקל רב נוכח חומרת העבירות שביצע</w:t>
      </w:r>
      <w:r>
        <w:rPr>
          <w:rFonts w:cs="Century" w:ascii="Century" w:hAnsi="Century"/>
          <w:rtl w:val="true"/>
        </w:rPr>
        <w:t xml:space="preserve">. </w:t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בדיון שנערך בפנינו</w:t>
      </w:r>
      <w:r>
        <w:rPr>
          <w:rtl w:val="true"/>
        </w:rPr>
        <w:t xml:space="preserve">, </w:t>
      </w:r>
      <w:r>
        <w:rPr>
          <w:rtl w:val="true"/>
        </w:rPr>
        <w:t>טען המשיב כי גזר הדין של בית המשפט קמא מבוסס</w:t>
      </w:r>
      <w:r>
        <w:rPr>
          <w:rtl w:val="true"/>
        </w:rPr>
        <w:t xml:space="preserve">, </w:t>
      </w:r>
      <w:r>
        <w:rPr>
          <w:rtl w:val="true"/>
        </w:rPr>
        <w:t>מנומק</w:t>
      </w:r>
      <w:r>
        <w:rPr>
          <w:rtl w:val="true"/>
        </w:rPr>
        <w:t xml:space="preserve">, </w:t>
      </w:r>
      <w:r>
        <w:rPr>
          <w:rtl w:val="true"/>
        </w:rPr>
        <w:t>ולקח בחשבון את כל הנסיבות הרלוונטיות</w:t>
      </w:r>
      <w:r>
        <w:rPr>
          <w:rtl w:val="true"/>
        </w:rPr>
        <w:t xml:space="preserve">, </w:t>
      </w:r>
      <w:r>
        <w:rPr>
          <w:rtl w:val="true"/>
        </w:rPr>
        <w:t>ולכן יש להותירו על כנו</w:t>
      </w:r>
      <w:r>
        <w:rPr>
          <w:rtl w:val="true"/>
        </w:rPr>
        <w:t xml:space="preserve">. </w:t>
      </w:r>
      <w:r>
        <w:rPr>
          <w:rtl w:val="true"/>
        </w:rPr>
        <w:t>המשיב טוען כי לא ניתן ללמוד מעובדות כתב האישום שכוונת המשיב הייתה לפגוע באחר</w:t>
      </w:r>
      <w:r>
        <w:rPr>
          <w:rtl w:val="true"/>
        </w:rPr>
        <w:t xml:space="preserve">, </w:t>
      </w:r>
      <w:r>
        <w:rPr>
          <w:rtl w:val="true"/>
        </w:rPr>
        <w:t>ומוסיף שעל אף הרשעותיו הקודמות</w:t>
      </w:r>
      <w:r>
        <w:rPr>
          <w:rtl w:val="true"/>
        </w:rPr>
        <w:t xml:space="preserve">, </w:t>
      </w:r>
      <w:r>
        <w:rPr>
          <w:rtl w:val="true"/>
        </w:rPr>
        <w:t>המשיב שיקם את חייו</w:t>
      </w:r>
      <w:r>
        <w:rPr>
          <w:rtl w:val="true"/>
        </w:rPr>
        <w:t xml:space="preserve">, </w:t>
      </w:r>
      <w:r>
        <w:rPr>
          <w:rtl w:val="true"/>
        </w:rPr>
        <w:t>התחתן</w:t>
      </w:r>
      <w:r>
        <w:rPr>
          <w:rtl w:val="true"/>
        </w:rPr>
        <w:t xml:space="preserve">, </w:t>
      </w:r>
      <w:r>
        <w:rPr>
          <w:rtl w:val="true"/>
        </w:rPr>
        <w:t>הביא ילדים לעולם</w:t>
      </w:r>
      <w:r>
        <w:rPr>
          <w:rtl w:val="true"/>
        </w:rPr>
        <w:t xml:space="preserve">, </w:t>
      </w:r>
      <w:r>
        <w:rPr>
          <w:rtl w:val="true"/>
        </w:rPr>
        <w:t>והתמיד בעבודה מסודרת במשך שנים רבות</w:t>
      </w:r>
      <w:r>
        <w:rPr>
          <w:rtl w:val="true"/>
        </w:rPr>
        <w:t xml:space="preserve">. </w:t>
      </w:r>
      <w:r>
        <w:rPr>
          <w:rtl w:val="true"/>
        </w:rPr>
        <w:t>זאת ועוד</w:t>
      </w:r>
      <w:r>
        <w:rPr>
          <w:rtl w:val="true"/>
        </w:rPr>
        <w:t xml:space="preserve">, </w:t>
      </w:r>
      <w:r>
        <w:rPr>
          <w:rtl w:val="true"/>
        </w:rPr>
        <w:t>תסקירי שירות המבחן בעניינו היו חיוביים</w:t>
      </w:r>
      <w:r>
        <w:rPr>
          <w:rtl w:val="true"/>
        </w:rPr>
        <w:t xml:space="preserve">, </w:t>
      </w:r>
      <w:r>
        <w:rPr>
          <w:rtl w:val="true"/>
        </w:rPr>
        <w:t>והוא התמיד במסגרת הטיפולית הקבוצתית</w:t>
      </w:r>
      <w:r>
        <w:rPr>
          <w:rtl w:val="true"/>
        </w:rPr>
        <w:t xml:space="preserve">. </w:t>
      </w:r>
      <w:r>
        <w:rPr>
          <w:rtl w:val="true"/>
        </w:rPr>
        <w:t>עוד ביקש המשיב להתחשב בגילו</w:t>
      </w:r>
      <w:r>
        <w:rPr>
          <w:rtl w:val="true"/>
        </w:rPr>
        <w:t xml:space="preserve">, </w:t>
      </w:r>
      <w:r>
        <w:rPr>
          <w:rtl w:val="true"/>
        </w:rPr>
        <w:t>במצבה הכלכלי הקשה של משפחתו</w:t>
      </w:r>
      <w:r>
        <w:rPr>
          <w:rtl w:val="true"/>
        </w:rPr>
        <w:t xml:space="preserve">, </w:t>
      </w:r>
      <w:r>
        <w:rPr>
          <w:rtl w:val="true"/>
        </w:rPr>
        <w:t xml:space="preserve">וכן בעובדה שחלפו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שנים מיום ביצוע העבירה</w:t>
      </w:r>
      <w:r>
        <w:rPr>
          <w:rtl w:val="true"/>
        </w:rPr>
        <w:t xml:space="preserve">, </w:t>
      </w:r>
      <w:r>
        <w:rPr>
          <w:rtl w:val="true"/>
        </w:rPr>
        <w:t>ללא ביצוע עבירות נוספות מצד המשיב</w:t>
      </w:r>
      <w:r>
        <w:rPr>
          <w:rtl w:val="true"/>
        </w:rPr>
        <w:t>.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1"/>
        <w:ind w:end="0"/>
        <w:jc w:val="both"/>
        <w:rPr>
          <w:rFonts w:ascii="Century" w:hAnsi="Century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דיון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והכרעה</w:t>
      </w:r>
    </w:p>
    <w:p>
      <w:pPr>
        <w:pStyle w:val="Ruller41"/>
        <w:ind w:end="0"/>
        <w:jc w:val="both"/>
        <w:rPr>
          <w:rFonts w:ascii="Century" w:hAnsi="Century" w:cs="Century"/>
          <w:b/>
          <w:spacing w:val="0"/>
          <w:szCs w:val="24"/>
        </w:rPr>
      </w:pPr>
      <w:r>
        <w:rPr>
          <w:rFonts w:cs="Century" w:ascii="Century" w:hAnsi="Century"/>
          <w:b/>
          <w:spacing w:val="0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>
          <w:rFonts w:ascii="Century" w:hAnsi="Century" w:cs="Century"/>
        </w:rPr>
      </w:pPr>
      <w:r>
        <w:rPr>
          <w:rtl w:val="true"/>
        </w:rPr>
        <w:tab/>
      </w:r>
      <w:r>
        <w:rPr>
          <w:rtl w:val="true"/>
        </w:rPr>
        <w:t>הלכה היא כי ערכאת הערעור אינה גוזרת מחדש את דינו של המשיב</w:t>
      </w:r>
      <w:r>
        <w:rPr>
          <w:rtl w:val="true"/>
        </w:rPr>
        <w:t xml:space="preserve">, </w:t>
      </w:r>
      <w:r>
        <w:rPr>
          <w:rtl w:val="true"/>
        </w:rPr>
        <w:t>ואינה נוטה להתערב בעונש שנגזר על ידי הערכאה הדיונית</w:t>
      </w:r>
      <w:r>
        <w:rPr>
          <w:rtl w:val="true"/>
        </w:rPr>
        <w:t xml:space="preserve">, </w:t>
      </w:r>
      <w:r>
        <w:rPr>
          <w:rtl w:val="true"/>
        </w:rPr>
        <w:t>אלא בנסיבות חריגות שבהן נפלה טעות בולטת בגזר הדין</w:t>
      </w:r>
      <w:r>
        <w:rPr>
          <w:rtl w:val="true"/>
        </w:rPr>
        <w:t xml:space="preserve">, </w:t>
      </w:r>
      <w:r>
        <w:rPr>
          <w:rtl w:val="true"/>
        </w:rPr>
        <w:t>או כאשר העונש חורג באופן קיצוני מהענישה המקובלת במקרים דומים</w:t>
      </w:r>
      <w:r>
        <w:rPr>
          <w:sz w:val="28"/>
          <w:sz w:val="28"/>
          <w:rtl w:val="true"/>
        </w:rPr>
        <w:t xml:space="preserve"> </w:t>
      </w:r>
      <w:r>
        <w:rPr>
          <w:sz w:val="28"/>
          <w:rtl w:val="true"/>
        </w:rPr>
        <w:t>(</w:t>
      </w:r>
      <w:hyperlink r:id="rId10">
        <w:r>
          <w:rPr>
            <w:rStyle w:val="Hyperlink"/>
            <w:color w:val="0000FF"/>
            <w:sz w:val="28"/>
            <w:sz w:val="28"/>
            <w:u w:val="single"/>
            <w:rtl w:val="true"/>
          </w:rPr>
          <w:t>ע</w:t>
        </w:r>
        <w:r>
          <w:rPr>
            <w:rStyle w:val="Hyperlink"/>
            <w:color w:val="0000FF"/>
            <w:sz w:val="28"/>
            <w:u w:val="single"/>
            <w:rtl w:val="true"/>
          </w:rPr>
          <w:t>"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>פ</w:t>
        </w:r>
        <w:r>
          <w:rPr>
            <w:rStyle w:val="Hyperlink"/>
            <w:color w:val="0000FF"/>
            <w:sz w:val="28"/>
            <w:sz w:val="28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8"/>
            <w:u w:val="single"/>
          </w:rPr>
          <w:t>3091/18</w:t>
        </w:r>
      </w:hyperlink>
      <w:r>
        <w:rPr>
          <w:sz w:val="28"/>
          <w:rtl w:val="true"/>
        </w:rPr>
        <w:t xml:space="preserve"> </w:t>
      </w:r>
      <w:r>
        <w:rPr>
          <w:rFonts w:cs="Miriam"/>
          <w:b/>
          <w:b/>
          <w:spacing w:val="0"/>
          <w:szCs w:val="24"/>
          <w:rtl w:val="true"/>
        </w:rPr>
        <w:t>טרייגר</w:t>
      </w:r>
      <w:r>
        <w:rPr>
          <w:rFonts w:eastAsia="Garamond"/>
          <w:b/>
          <w:b/>
          <w:spacing w:val="0"/>
          <w:szCs w:val="24"/>
          <w:rtl w:val="true"/>
        </w:rPr>
        <w:t xml:space="preserve"> </w:t>
      </w:r>
      <w:r>
        <w:rPr>
          <w:rFonts w:cs="Miriam"/>
          <w:b/>
          <w:b/>
          <w:spacing w:val="0"/>
          <w:szCs w:val="24"/>
          <w:rtl w:val="true"/>
        </w:rPr>
        <w:t>נ</w:t>
      </w:r>
      <w:r>
        <w:rPr>
          <w:rFonts w:cs="Miriam"/>
          <w:b/>
          <w:spacing w:val="0"/>
          <w:szCs w:val="24"/>
          <w:rtl w:val="true"/>
        </w:rPr>
        <w:t xml:space="preserve">' </w:t>
      </w:r>
      <w:r>
        <w:rPr>
          <w:rFonts w:cs="Miriam"/>
          <w:b/>
          <w:b/>
          <w:spacing w:val="0"/>
          <w:szCs w:val="24"/>
          <w:rtl w:val="true"/>
        </w:rPr>
        <w:t>מדינת</w:t>
      </w:r>
      <w:r>
        <w:rPr>
          <w:rFonts w:eastAsia="Garamond"/>
          <w:b/>
          <w:b/>
          <w:spacing w:val="0"/>
          <w:szCs w:val="24"/>
          <w:rtl w:val="true"/>
        </w:rPr>
        <w:t xml:space="preserve"> </w:t>
      </w:r>
      <w:r>
        <w:rPr>
          <w:rFonts w:cs="Miriam"/>
          <w:b/>
          <w:b/>
          <w:spacing w:val="0"/>
          <w:szCs w:val="24"/>
          <w:rtl w:val="true"/>
        </w:rPr>
        <w:t>ישראל</w:t>
      </w:r>
      <w:r>
        <w:rPr>
          <w:sz w:val="28"/>
          <w:rtl w:val="true"/>
        </w:rPr>
        <w:t xml:space="preserve">,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sz w:val="28"/>
          <w:sz w:val="28"/>
          <w:rtl w:val="true"/>
        </w:rPr>
        <w:t xml:space="preserve">פסקה </w:t>
      </w:r>
      <w:r>
        <w:rPr>
          <w:sz w:val="28"/>
        </w:rPr>
        <w:t>11</w:t>
      </w:r>
      <w:r>
        <w:rPr>
          <w:sz w:val="28"/>
          <w:rtl w:val="true"/>
        </w:rPr>
        <w:t xml:space="preserve"> (</w:t>
      </w:r>
      <w:r>
        <w:rPr>
          <w:sz w:val="28"/>
        </w:rPr>
        <w:t>29.1.2009</w:t>
      </w:r>
      <w:r>
        <w:rPr>
          <w:sz w:val="28"/>
          <w:rtl w:val="true"/>
        </w:rPr>
        <w:t xml:space="preserve">); </w:t>
      </w:r>
      <w:hyperlink r:id="rId1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8095/16</w:t>
        </w:r>
      </w:hyperlink>
      <w:r>
        <w:rPr>
          <w:rtl w:val="true"/>
        </w:rPr>
        <w:t xml:space="preserve"> </w:t>
      </w:r>
      <w:r>
        <w:rPr>
          <w:rFonts w:cs="Miriam"/>
          <w:b/>
          <w:b/>
          <w:spacing w:val="0"/>
          <w:szCs w:val="24"/>
          <w:rtl w:val="true"/>
        </w:rPr>
        <w:t>עובדיה</w:t>
      </w:r>
      <w:r>
        <w:rPr>
          <w:rFonts w:eastAsia="Garamond"/>
          <w:b/>
          <w:b/>
          <w:spacing w:val="0"/>
          <w:szCs w:val="24"/>
          <w:rtl w:val="true"/>
        </w:rPr>
        <w:t xml:space="preserve"> </w:t>
      </w:r>
      <w:r>
        <w:rPr>
          <w:rFonts w:cs="Miriam"/>
          <w:b/>
          <w:b/>
          <w:spacing w:val="0"/>
          <w:szCs w:val="24"/>
          <w:rtl w:val="true"/>
        </w:rPr>
        <w:t>נ</w:t>
      </w:r>
      <w:r>
        <w:rPr>
          <w:rFonts w:cs="Miriam"/>
          <w:b/>
          <w:spacing w:val="0"/>
          <w:szCs w:val="24"/>
          <w:rtl w:val="true"/>
        </w:rPr>
        <w:t xml:space="preserve">' </w:t>
      </w:r>
      <w:r>
        <w:rPr>
          <w:rFonts w:cs="Miriam"/>
          <w:b/>
          <w:b/>
          <w:spacing w:val="0"/>
          <w:szCs w:val="24"/>
          <w:rtl w:val="true"/>
        </w:rPr>
        <w:t>מדינת</w:t>
      </w:r>
      <w:r>
        <w:rPr>
          <w:rFonts w:eastAsia="Garamond"/>
          <w:b/>
          <w:b/>
          <w:spacing w:val="0"/>
          <w:szCs w:val="24"/>
          <w:rtl w:val="true"/>
        </w:rPr>
        <w:t xml:space="preserve"> </w:t>
      </w:r>
      <w:r>
        <w:rPr>
          <w:rFonts w:cs="Miriam"/>
          <w:b/>
          <w:b/>
          <w:spacing w:val="0"/>
          <w:szCs w:val="24"/>
          <w:rtl w:val="true"/>
        </w:rPr>
        <w:t>ישראל</w:t>
      </w:r>
      <w:r>
        <w:rPr>
          <w:rtl w:val="true"/>
        </w:rPr>
        <w:t xml:space="preserve">,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tl w:val="true"/>
        </w:rPr>
        <w:t xml:space="preserve">פסקה </w:t>
      </w:r>
      <w:r>
        <w:rPr/>
        <w:t>11</w:t>
      </w:r>
      <w:r>
        <w:rPr>
          <w:rtl w:val="true"/>
        </w:rPr>
        <w:t xml:space="preserve"> (</w:t>
      </w:r>
      <w:r>
        <w:rPr/>
        <w:t>30.3.2017</w:t>
      </w:r>
      <w:r>
        <w:rPr>
          <w:rtl w:val="true"/>
        </w:rPr>
        <w:t>)).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לאחר עיון בחומרים ושמיעת הצדדים בתיק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הגענו למסקנה כי במקרה שלפנינו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העונש שהוטל על המשיב חורג לקולא באופן משמעותי מהראוי ועל כן יש לקבל את הערעור</w:t>
      </w:r>
      <w:r>
        <w:rPr>
          <w:rFonts w:cs="Century" w:ascii="Century" w:hAnsi="Century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בית משפט זה נקט בשנים האחרונות מגמה מוצהרת של החמרת רמת הענישה בעבירות נשק</w:t>
      </w:r>
      <w:r>
        <w:rPr>
          <w:rtl w:val="true"/>
        </w:rPr>
        <w:t xml:space="preserve">, </w:t>
      </w:r>
      <w:r>
        <w:rPr>
          <w:rtl w:val="true"/>
        </w:rPr>
        <w:t>ועמד על כך פעמים רבות בשורה ארוכה של פסקי דין</w:t>
      </w:r>
      <w:r>
        <w:rPr>
          <w:rtl w:val="true"/>
        </w:rPr>
        <w:t xml:space="preserve">. </w:t>
      </w:r>
      <w:r>
        <w:rPr>
          <w:rtl w:val="true"/>
        </w:rPr>
        <w:t xml:space="preserve">ראו למשל את דבריו של השופט </w:t>
      </w:r>
      <w:r>
        <w:rPr>
          <w:rFonts w:cs="Miriam"/>
          <w:b/>
          <w:b/>
          <w:spacing w:val="0"/>
          <w:sz w:val="22"/>
          <w:sz w:val="22"/>
          <w:szCs w:val="24"/>
          <w:rtl w:val="true"/>
        </w:rPr>
        <w:t>אדמונד</w:t>
      </w:r>
      <w:r>
        <w:rPr>
          <w:rFonts w:eastAsia="Garamond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cs="Miriam"/>
          <w:b/>
          <w:b/>
          <w:spacing w:val="0"/>
          <w:sz w:val="22"/>
          <w:sz w:val="22"/>
          <w:szCs w:val="24"/>
          <w:rtl w:val="true"/>
        </w:rPr>
        <w:t>לוי</w:t>
      </w:r>
      <w:r>
        <w:rPr>
          <w:rFonts w:eastAsia="Garamond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ascii="Century" w:hAnsi="Century" w:cs="Century"/>
          <w:sz w:val="22"/>
          <w:sz w:val="22"/>
          <w:rtl w:val="true"/>
        </w:rPr>
        <w:t>אליהם גם התייחסה המערערת</w:t>
      </w:r>
      <w:r>
        <w:rPr>
          <w:rFonts w:cs="Century" w:ascii="Century" w:hAnsi="Century"/>
          <w:sz w:val="22"/>
          <w:rtl w:val="true"/>
        </w:rPr>
        <w:t>):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5"/>
        <w:ind w:end="1282"/>
        <w:jc w:val="both"/>
        <w:rPr>
          <w:rFonts w:ascii="Century" w:hAnsi="Century" w:cs="Century"/>
        </w:rPr>
      </w:pPr>
      <w:r>
        <w:rPr>
          <w:rtl w:val="true"/>
        </w:rPr>
        <w:t>ניסיון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האחרונות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מלמד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המוחזק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דרכו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לעתים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לידיים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עוינות</w:t>
      </w:r>
      <w:r>
        <w:rPr>
          <w:rtl w:val="true"/>
        </w:rPr>
        <w:t xml:space="preserve">, </w:t>
      </w:r>
      <w:r>
        <w:rPr>
          <w:rtl w:val="true"/>
        </w:rPr>
        <w:t>ולעתים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נעשה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שימוש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למטרות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פליליות</w:t>
      </w:r>
      <w:r>
        <w:rPr>
          <w:rtl w:val="true"/>
        </w:rPr>
        <w:t xml:space="preserve">, </w:t>
      </w:r>
      <w:r>
        <w:rPr>
          <w:rtl w:val="true"/>
        </w:rPr>
        <w:t>ואלה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גרמו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לאובדן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אדם</w:t>
      </w:r>
      <w:r>
        <w:rPr>
          <w:rtl w:val="true"/>
        </w:rPr>
        <w:t xml:space="preserve">, </w:t>
      </w:r>
      <w:r>
        <w:rPr>
          <w:rtl w:val="true"/>
        </w:rPr>
        <w:t>ולפגיעה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בחפים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חטאם</w:t>
      </w:r>
      <w:r>
        <w:rPr>
          <w:rtl w:val="true"/>
        </w:rPr>
        <w:t xml:space="preserve">" </w:t>
      </w:r>
      <w:r>
        <w:rPr>
          <w:rtl w:val="true"/>
        </w:rPr>
        <w:t>נבע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נקלעו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לזירת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הפשע</w:t>
      </w:r>
      <w:r>
        <w:rPr>
          <w:rtl w:val="true"/>
        </w:rPr>
        <w:t xml:space="preserve">. </w:t>
      </w:r>
      <w:r>
        <w:rPr>
          <w:rtl w:val="true"/>
        </w:rPr>
        <w:t>כדי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להלחם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צריך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לבטא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סלידתה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החברה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ודעתה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הנחרצת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להשלים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עבריינות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בכלל</w:t>
      </w:r>
      <w:r>
        <w:rPr>
          <w:rtl w:val="true"/>
        </w:rPr>
        <w:t xml:space="preserve">, </w:t>
      </w:r>
      <w:r>
        <w:rPr>
          <w:rtl w:val="true"/>
        </w:rPr>
        <w:t>ומסוג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בפרט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hyperlink r:id="rId12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761/07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אדרי</w:t>
      </w:r>
      <w:r>
        <w:rPr>
          <w:rFonts w:ascii="Century" w:hAnsi="Century" w:cs="Century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Century" w:ascii="Century" w:hAnsi="Century"/>
          <w:rtl w:val="true"/>
        </w:rPr>
        <w:t>(</w:t>
      </w:r>
      <w:r>
        <w:rPr>
          <w:rFonts w:cs="Century" w:ascii="Century" w:hAnsi="Century"/>
        </w:rPr>
        <w:t>22.2.2007</w:t>
      </w:r>
      <w:r>
        <w:rPr>
          <w:rFonts w:cs="Century" w:ascii="Century" w:hAnsi="Century"/>
          <w:rtl w:val="true"/>
        </w:rPr>
        <w:t xml:space="preserve">), </w:t>
      </w:r>
      <w:r>
        <w:rPr>
          <w:rFonts w:ascii="Century" w:hAnsi="Century" w:cs="Century"/>
          <w:rtl w:val="true"/>
        </w:rPr>
        <w:t>להלן</w:t>
      </w:r>
      <w:r>
        <w:rPr>
          <w:rFonts w:cs="Century" w:ascii="Century" w:hAnsi="Century"/>
          <w:rtl w:val="true"/>
        </w:rPr>
        <w:t xml:space="preserve">: </w:t>
      </w:r>
      <w:r>
        <w:rPr>
          <w:rFonts w:cs="Miriam" w:ascii="Century" w:hAnsi="Century"/>
          <w:b/>
          <w:spacing w:val="0"/>
          <w:szCs w:val="24"/>
          <w:rtl w:val="true"/>
        </w:rPr>
        <w:t>"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עניין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אדרי</w:t>
      </w:r>
      <w:r>
        <w:rPr>
          <w:rFonts w:cs="Miriam" w:ascii="Century" w:hAnsi="Century"/>
          <w:b/>
          <w:spacing w:val="0"/>
          <w:szCs w:val="24"/>
          <w:rtl w:val="true"/>
        </w:rPr>
        <w:t>")</w:t>
      </w:r>
      <w:r>
        <w:rPr>
          <w:rFonts w:cs="Century" w:ascii="Century" w:hAnsi="Century"/>
          <w:rtl w:val="true"/>
        </w:rPr>
        <w:t>.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ascii="Century" w:hAnsi="Century" w:cs="Century"/>
          <w:rtl w:val="true"/>
        </w:rPr>
        <w:t xml:space="preserve">כן ראו דבריה של השופטת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עדנה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ארבל</w:t>
      </w:r>
      <w:r>
        <w:rPr>
          <w:rFonts w:cs="Century" w:ascii="Century" w:hAnsi="Century"/>
          <w:rtl w:val="true"/>
        </w:rPr>
        <w:t xml:space="preserve">: 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5"/>
        <w:ind w:end="1282"/>
        <w:jc w:val="both"/>
        <w:rPr>
          <w:rFonts w:ascii="Century" w:hAnsi="Century" w:cs="Century"/>
        </w:rPr>
      </w:pPr>
      <w:r>
        <w:rPr>
          <w:rtl w:val="true"/>
        </w:rPr>
        <w:t>נוכח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היקפן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המתרחב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המבוצעות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וסחר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בפרט</w:t>
      </w:r>
      <w:r>
        <w:rPr>
          <w:rtl w:val="true"/>
        </w:rPr>
        <w:t xml:space="preserve">, </w:t>
      </w:r>
      <w:r>
        <w:rPr>
          <w:rtl w:val="true"/>
        </w:rPr>
        <w:t>וזמינותו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המדאיגה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חוקי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במחוזותינו</w:t>
      </w:r>
      <w:r>
        <w:rPr>
          <w:rtl w:val="true"/>
        </w:rPr>
        <w:t xml:space="preserve">, </w:t>
      </w:r>
      <w:r>
        <w:rPr>
          <w:rtl w:val="true"/>
        </w:rPr>
        <w:t>התעורר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הצורך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המוטלים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. </w:t>
      </w:r>
      <w:r>
        <w:rPr>
          <w:rtl w:val="true"/>
        </w:rPr>
        <w:t>אכן</w:t>
      </w:r>
      <w:r>
        <w:rPr>
          <w:rtl w:val="true"/>
        </w:rPr>
        <w:t>, "</w:t>
      </w:r>
      <w:r>
        <w:rPr>
          <w:rtl w:val="true"/>
        </w:rPr>
        <w:t>התגלגלותם</w:t>
      </w:r>
      <w:r>
        <w:rPr>
          <w:rtl w:val="true"/>
        </w:rPr>
        <w:t xml:space="preserve">"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פיקוח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להוביל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להגעתם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לגורמים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פליליים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ועוינים</w:t>
      </w:r>
      <w:r>
        <w:rPr>
          <w:rtl w:val="true"/>
        </w:rPr>
        <w:t xml:space="preserve">.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לדעת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בגורלם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ולאילו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תוצאות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הרסניות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יובילו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בסכסוך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ברחוב</w:t>
      </w:r>
      <w:r>
        <w:rPr>
          <w:rtl w:val="true"/>
        </w:rPr>
        <w:t xml:space="preserve">, </w:t>
      </w:r>
      <w:r>
        <w:rPr>
          <w:rtl w:val="true"/>
        </w:rPr>
        <w:t>בקטטה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ניצים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פנימה</w:t>
      </w:r>
      <w:r>
        <w:rPr>
          <w:rtl w:val="true"/>
        </w:rPr>
        <w:t xml:space="preserve">. </w:t>
      </w:r>
      <w:r>
        <w:rPr>
          <w:rtl w:val="true"/>
        </w:rPr>
        <w:t>הסכנה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הנשקפת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לציבור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כתוצאה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לצד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המימדים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שאליהם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הגיעו</w:t>
      </w:r>
      <w:r>
        <w:rPr>
          <w:rtl w:val="true"/>
        </w:rPr>
        <w:t xml:space="preserve">, </w:t>
      </w:r>
      <w:r>
        <w:rPr>
          <w:rtl w:val="true"/>
        </w:rPr>
        <w:t>מחייבים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ביטוי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הולם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וכבד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להגנה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החברתי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שנפגע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כתוצאה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מפעילות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עבריינית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הגנה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הציבור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פגיעות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בגוף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בנפש</w:t>
      </w:r>
      <w:r>
        <w:rPr>
          <w:rtl w:val="true"/>
        </w:rPr>
        <w:t xml:space="preserve">, </w:t>
      </w:r>
      <w:r>
        <w:rPr>
          <w:rtl w:val="true"/>
        </w:rPr>
        <w:t>ולהחמיר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המוטלים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עבריינית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בהדרגה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hyperlink r:id="rId1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1323/13</w:t>
        </w:r>
      </w:hyperlink>
      <w:r>
        <w:rPr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חסן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tl w:val="true"/>
        </w:rPr>
        <w:t xml:space="preserve">,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פסקה</w:t>
      </w:r>
      <w:r>
        <w:rPr>
          <w:rFonts w:eastAsia="Arial TUR" w:cs="Arial TUR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לפסק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השופטת</w:t>
      </w:r>
      <w:r>
        <w:rPr>
          <w:rFonts w:eastAsia="Arial TUR" w:cs="Arial TUR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עדנה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ארבל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/>
        <w:t>5.6.2013</w:t>
      </w:r>
      <w:r>
        <w:rPr>
          <w:rtl w:val="true"/>
        </w:rPr>
        <w:t>)).</w:t>
      </w:r>
    </w:p>
    <w:p>
      <w:pPr>
        <w:pStyle w:val="Ruller5"/>
        <w:ind w:end="1282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על אף שבית המשפט קמא כתב פסק דין מנומק ויסודי</w:t>
      </w:r>
      <w:r>
        <w:rPr>
          <w:rtl w:val="true"/>
        </w:rPr>
        <w:t xml:space="preserve">, </w:t>
      </w:r>
      <w:r>
        <w:rPr>
          <w:rtl w:val="true"/>
        </w:rPr>
        <w:t>סברנו כי מתחם העונש</w:t>
      </w:r>
      <w:r>
        <w:rPr>
          <w:rtl w:val="true"/>
        </w:rPr>
        <w:t xml:space="preserve">, </w:t>
      </w:r>
      <w:r>
        <w:rPr>
          <w:rtl w:val="true"/>
        </w:rPr>
        <w:t>וכנגזר מכך העונש שהושת על המשיב</w:t>
      </w:r>
      <w:r>
        <w:rPr>
          <w:rtl w:val="true"/>
        </w:rPr>
        <w:t xml:space="preserve">, </w:t>
      </w:r>
      <w:r>
        <w:rPr>
          <w:rtl w:val="true"/>
        </w:rPr>
        <w:t>אכן מקלים מהראוי</w:t>
      </w:r>
      <w:r>
        <w:rPr>
          <w:rtl w:val="true"/>
        </w:rPr>
        <w:t xml:space="preserve">, </w:t>
      </w:r>
      <w:r>
        <w:rPr>
          <w:rtl w:val="true"/>
        </w:rPr>
        <w:t>ואינם עולים בקנה אחד עם המגמה האמורה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ב</w:t>
      </w:r>
      <w:hyperlink r:id="rId14">
        <w:bookmarkStart w:id="18" w:name="Text1"/>
        <w:r>
          <w:rPr>
            <w:rStyle w:val="Hyperlink"/>
            <w:rFonts w:ascii="FrankRuehl" w:hAnsi="FrankRuehl"/>
            <w:color w:val="0000FF"/>
            <w:sz w:val="28"/>
            <w:sz w:val="28"/>
            <w:u w:val="single"/>
            <w:rtl w:val="true"/>
          </w:rPr>
          <w:t>ע</w:t>
        </w:r>
        <w:r>
          <w:rPr>
            <w:rStyle w:val="Hyperlink"/>
            <w:rFonts w:cs="FrankRuehl" w:ascii="FrankRuehl" w:hAnsi="FrankRuehl"/>
            <w:color w:val="0000FF"/>
            <w:sz w:val="28"/>
            <w:u w:val="single"/>
            <w:rtl w:val="true"/>
          </w:rPr>
          <w:t>"</w:t>
        </w:r>
        <w:r>
          <w:rPr>
            <w:rStyle w:val="Hyperlink"/>
            <w:rFonts w:ascii="FrankRuehl" w:hAnsi="FrankRuehl"/>
            <w:color w:val="0000FF"/>
            <w:sz w:val="28"/>
            <w:sz w:val="28"/>
            <w:u w:val="single"/>
            <w:rtl w:val="true"/>
          </w:rPr>
          <w:t xml:space="preserve">פ </w:t>
        </w:r>
        <w:r>
          <w:rPr>
            <w:rStyle w:val="Hyperlink"/>
            <w:rFonts w:cs="FrankRuehl" w:ascii="FrankRuehl" w:hAnsi="FrankRuehl"/>
            <w:color w:val="0000FF"/>
            <w:sz w:val="28"/>
            <w:u w:val="single"/>
          </w:rPr>
          <w:t>3156/11</w:t>
        </w:r>
      </w:hyperlink>
      <w:r>
        <w:rPr>
          <w:rFonts w:cs="FrankRuehl" w:ascii="FrankRuehl" w:hAnsi="FrankRuehl"/>
          <w:color w:val="000000"/>
          <w:sz w:val="28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זראיעה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bookmarkEnd w:id="18"/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Century" w:ascii="Century" w:hAnsi="Century"/>
          <w:rtl w:val="true"/>
        </w:rPr>
        <w:t>(</w:t>
      </w:r>
      <w:r>
        <w:rPr>
          <w:rFonts w:cs="Century" w:ascii="Century" w:hAnsi="Century"/>
        </w:rPr>
        <w:t>21.2.2012</w:t>
      </w:r>
      <w:r>
        <w:rPr>
          <w:rFonts w:cs="Century" w:ascii="Century" w:hAnsi="Century"/>
          <w:rtl w:val="true"/>
        </w:rPr>
        <w:t>)</w:t>
      </w:r>
      <w:r>
        <w:rPr>
          <w:rtl w:val="true"/>
        </w:rPr>
        <w:t xml:space="preserve">, </w:t>
      </w:r>
      <w:r>
        <w:rPr>
          <w:rtl w:val="true"/>
        </w:rPr>
        <w:t>נסע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ברכבו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שהסליק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סמיטיווטסון</w:t>
      </w:r>
      <w:r>
        <w:rPr>
          <w:rtl w:val="true"/>
        </w:rPr>
        <w:t xml:space="preserve">", </w:t>
      </w:r>
      <w:r>
        <w:rPr>
          <w:rtl w:val="true"/>
        </w:rPr>
        <w:t>מחסנית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בכדורי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בקוטר</w:t>
      </w:r>
      <w:r>
        <w:rPr>
          <w:rFonts w:eastAsia="Arial TUR" w:cs="Arial TUR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וקופסאות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כדורי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בקוטר</w:t>
      </w:r>
      <w:r>
        <w:rPr>
          <w:rFonts w:eastAsia="Arial TUR" w:cs="Arial TUR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והתחמושת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נתפסו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בחיפוש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שגרתי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שביצעה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המשטרה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פלילי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אחת</w:t>
      </w:r>
      <w:r>
        <w:rPr>
          <w:rtl w:val="true"/>
        </w:rPr>
        <w:t xml:space="preserve">, </w:t>
      </w:r>
      <w:r>
        <w:rPr>
          <w:rtl w:val="true"/>
        </w:rPr>
        <w:t>שנעברה</w:t>
      </w:r>
      <w:r>
        <w:rPr>
          <w:rFonts w:eastAsia="Arial TUR" w:cs="Arial TUR"/>
          <w:rtl w:val="true"/>
        </w:rPr>
        <w:t xml:space="preserve"> </w:t>
      </w:r>
      <w:r>
        <w:rPr/>
        <w:t>14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הנוכחית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</w:t>
      </w:r>
      <w:r>
        <w:rPr>
          <w:rtl w:val="true"/>
        </w:rPr>
        <w:t xml:space="preserve">. </w:t>
      </w:r>
      <w:r>
        <w:rPr>
          <w:rtl w:val="true"/>
        </w:rPr>
        <w:t>באותו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</w:t>
      </w:r>
      <w:r>
        <w:rPr>
          <w:rFonts w:ascii="Century" w:hAnsi="Century" w:cs="Century"/>
          <w:rtl w:val="true"/>
        </w:rPr>
        <w:t xml:space="preserve">חודשים וקנס כספי בסך של </w:t>
      </w:r>
      <w:r>
        <w:rPr>
          <w:rFonts w:cs="Century" w:ascii="Century" w:hAnsi="Century"/>
        </w:rPr>
        <w:t>10,000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ש</w:t>
      </w:r>
      <w:r>
        <w:rPr>
          <w:rFonts w:cs="Century" w:ascii="Century" w:hAnsi="Century"/>
          <w:rtl w:val="true"/>
        </w:rPr>
        <w:t>"</w:t>
      </w:r>
      <w:r>
        <w:rPr>
          <w:rFonts w:ascii="Century" w:hAnsi="Century" w:cs="Century"/>
          <w:rtl w:val="true"/>
        </w:rPr>
        <w:t>ח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ב</w:t>
      </w:r>
      <w:hyperlink r:id="rId15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7285/01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ג</w:t>
      </w:r>
      <w:r>
        <w:rPr>
          <w:rFonts w:cs="Miriam" w:ascii="Century" w:hAnsi="Century"/>
          <w:b/>
          <w:spacing w:val="0"/>
          <w:szCs w:val="24"/>
          <w:rtl w:val="true"/>
        </w:rPr>
        <w:t>'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אבר</w:t>
      </w:r>
      <w:r>
        <w:rPr>
          <w:rFonts w:ascii="Century" w:hAnsi="Century" w:cs="Century"/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Fonts w:cs="Century" w:ascii="Century" w:hAnsi="Century"/>
          <w:rtl w:val="true"/>
        </w:rPr>
        <w:t>(</w:t>
      </w:r>
      <w:r>
        <w:rPr>
          <w:rFonts w:cs="Century" w:ascii="Century" w:hAnsi="Century"/>
        </w:rPr>
        <w:t>11.10.2001</w:t>
      </w:r>
      <w:r>
        <w:rPr>
          <w:rFonts w:cs="Century" w:ascii="Century" w:hAnsi="Century"/>
          <w:rtl w:val="true"/>
        </w:rPr>
        <w:t xml:space="preserve">) </w:t>
      </w:r>
      <w:r>
        <w:rPr>
          <w:rFonts w:ascii="Century" w:hAnsi="Century" w:cs="Century"/>
          <w:rtl w:val="true"/>
        </w:rPr>
        <w:t>נמצא המשיב מחזיק ללא רשות כדין תת</w:t>
      </w:r>
      <w:r>
        <w:rPr>
          <w:rFonts w:cs="Century" w:ascii="Century" w:hAnsi="Century"/>
          <w:rtl w:val="true"/>
        </w:rPr>
        <w:t>-</w:t>
      </w:r>
      <w:r>
        <w:rPr>
          <w:rFonts w:ascii="Century" w:hAnsi="Century" w:cs="Century"/>
          <w:rtl w:val="true"/>
        </w:rPr>
        <w:t>מקלע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אקדח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מחסניות ותחמושת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נוסף על כך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הורשע גם בגין הצתת שתי מצלמות משטרה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 xml:space="preserve">בית המשפט המחוזי גזר על המשיב באותו עניין </w:t>
      </w:r>
      <w:r>
        <w:rPr>
          <w:rFonts w:cs="Century" w:ascii="Century" w:hAnsi="Century"/>
        </w:rPr>
        <w:t>6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חודשי מאסר</w:t>
      </w:r>
      <w:r>
        <w:rPr>
          <w:rFonts w:cs="Century" w:ascii="Century" w:hAnsi="Century"/>
          <w:rtl w:val="true"/>
        </w:rPr>
        <w:t xml:space="preserve">, </w:t>
      </w:r>
      <w:r>
        <w:rPr>
          <w:rFonts w:cs="Century" w:ascii="Century" w:hAnsi="Century"/>
        </w:rPr>
        <w:t>18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חודשי מאסר על תנאי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 xml:space="preserve">וקנס בסך של </w:t>
      </w:r>
      <w:r>
        <w:rPr>
          <w:rFonts w:cs="Century" w:ascii="Century" w:hAnsi="Century"/>
        </w:rPr>
        <w:t>3,000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ש</w:t>
      </w:r>
      <w:r>
        <w:rPr>
          <w:rFonts w:cs="Century" w:ascii="Century" w:hAnsi="Century"/>
          <w:rtl w:val="true"/>
        </w:rPr>
        <w:t>"</w:t>
      </w:r>
      <w:r>
        <w:rPr>
          <w:rFonts w:ascii="Century" w:hAnsi="Century" w:cs="Century"/>
          <w:rtl w:val="true"/>
        </w:rPr>
        <w:t>ח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 xml:space="preserve">בית משפט זה קבע </w:t>
      </w:r>
      <w:r>
        <w:rPr>
          <w:rFonts w:cs="Miriam" w:ascii="Century" w:hAnsi="Century"/>
          <w:b/>
          <w:spacing w:val="0"/>
          <w:szCs w:val="24"/>
          <w:rtl w:val="true"/>
        </w:rPr>
        <w:t>"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שהעונש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אשר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הושת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על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המשיב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מופלג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בקולתו</w:t>
      </w:r>
      <w:r>
        <w:rPr>
          <w:rFonts w:cs="Miriam" w:ascii="Century" w:hAnsi="Century"/>
          <w:b/>
          <w:spacing w:val="0"/>
          <w:szCs w:val="24"/>
          <w:rtl w:val="true"/>
        </w:rPr>
        <w:t>",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החמירו ל</w:t>
      </w:r>
      <w:r>
        <w:rPr>
          <w:rFonts w:cs="Century" w:ascii="Century" w:hAnsi="Century"/>
          <w:rtl w:val="true"/>
        </w:rPr>
        <w:t>-</w:t>
      </w:r>
      <w:r>
        <w:rPr>
          <w:rFonts w:cs="Century" w:ascii="Century" w:hAnsi="Century"/>
        </w:rPr>
        <w:t>24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חודשי מאסר בפועל ו</w:t>
      </w:r>
      <w:r>
        <w:rPr>
          <w:rFonts w:cs="Century" w:ascii="Century" w:hAnsi="Century"/>
          <w:rtl w:val="true"/>
        </w:rPr>
        <w:t>-</w:t>
      </w:r>
      <w:r>
        <w:rPr>
          <w:rFonts w:cs="Century" w:ascii="Century" w:hAnsi="Century"/>
        </w:rPr>
        <w:t>12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חודשי מאסר על תנאי</w:t>
      </w:r>
      <w:r>
        <w:rPr>
          <w:rFonts w:cs="Century" w:ascii="Century" w:hAnsi="Century"/>
          <w:rtl w:val="true"/>
        </w:rPr>
        <w:t xml:space="preserve">, </w:t>
      </w:r>
      <w:r>
        <w:rPr>
          <w:rFonts w:ascii="Century" w:hAnsi="Century" w:cs="Century"/>
          <w:rtl w:val="true"/>
        </w:rPr>
        <w:t>והותיר על כנו את הקנס</w:t>
      </w:r>
      <w:r>
        <w:rPr>
          <w:rFonts w:cs="Century" w:ascii="Century" w:hAnsi="Century"/>
          <w:rtl w:val="true"/>
        </w:rPr>
        <w:t>.</w:t>
      </w:r>
      <w:r>
        <w:rPr>
          <w:rFonts w:cs="David"/>
          <w:sz w:val="20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בעניין</w:t>
      </w:r>
      <w:r>
        <w:rPr>
          <w:rFonts w:eastAsia="Arial TUR" w:cs="Arial TUR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אדרי</w:t>
      </w:r>
      <w:r>
        <w:rPr>
          <w:rtl w:val="true"/>
        </w:rPr>
        <w:t xml:space="preserve">, </w:t>
      </w:r>
      <w:r>
        <w:rPr>
          <w:sz w:val="28"/>
          <w:sz w:val="28"/>
          <w:rtl w:val="true"/>
        </w:rPr>
        <w:t>נהג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המשיב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ברכבו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ובעת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בדיקה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משטרתית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נמצא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מחזיק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באקדח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מחסנית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ותחמושת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עטופים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בגרב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ומוסתרים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בתחתוניו</w:t>
      </w:r>
      <w:r>
        <w:rPr>
          <w:sz w:val="28"/>
          <w:rtl w:val="true"/>
        </w:rPr>
        <w:t xml:space="preserve">. </w:t>
      </w:r>
      <w:r>
        <w:rPr>
          <w:sz w:val="28"/>
          <w:sz w:val="28"/>
          <w:rtl w:val="true"/>
        </w:rPr>
        <w:t>נוסף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לכך</w:t>
      </w:r>
      <w:r>
        <w:rPr>
          <w:sz w:val="28"/>
          <w:rtl w:val="true"/>
        </w:rPr>
        <w:t xml:space="preserve">, </w:t>
      </w:r>
      <w:r>
        <w:rPr>
          <w:sz w:val="28"/>
          <w:sz w:val="28"/>
          <w:rtl w:val="true"/>
        </w:rPr>
        <w:t>המערער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באותו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עניין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הציג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בפני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השוטרים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תעודת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זהות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של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אחר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מתוך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כוונה</w:t>
      </w:r>
      <w:r>
        <w:rPr>
          <w:rFonts w:eastAsia="Arial TUR" w:cs="Arial TUR"/>
          <w:sz w:val="28"/>
          <w:sz w:val="28"/>
          <w:rtl w:val="true"/>
        </w:rPr>
        <w:t xml:space="preserve"> </w:t>
      </w:r>
      <w:r>
        <w:rPr>
          <w:sz w:val="28"/>
          <w:sz w:val="28"/>
          <w:rtl w:val="true"/>
        </w:rPr>
        <w:t>להונותם</w:t>
      </w:r>
      <w:r>
        <w:rPr>
          <w:sz w:val="28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במקרה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נגזר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ולאחר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קולת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 xml:space="preserve">, </w:t>
      </w:r>
      <w:r>
        <w:rPr>
          <w:rtl w:val="true"/>
        </w:rPr>
        <w:t>החמיר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  <w:r>
        <w:rPr>
          <w:rtl w:val="true"/>
        </w:rPr>
        <w:t>הדברים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אדמונד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לוי</w:t>
      </w:r>
      <w:r>
        <w:rPr>
          <w:rtl w:val="true"/>
        </w:rPr>
        <w:t xml:space="preserve">, </w:t>
      </w:r>
      <w:r>
        <w:rPr>
          <w:rtl w:val="true"/>
        </w:rPr>
        <w:t>יפים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לענייננו</w:t>
      </w:r>
      <w:r>
        <w:rPr>
          <w:rtl w:val="true"/>
        </w:rPr>
        <w:t xml:space="preserve">: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5"/>
        <w:ind w:end="1282"/>
        <w:jc w:val="both"/>
        <w:rPr/>
      </w:pPr>
      <w:r>
        <w:rPr>
          <w:rtl w:val="true"/>
        </w:rPr>
        <w:t>אנו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סבורים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יסודו</w:t>
      </w:r>
      <w:r>
        <w:rPr>
          <w:rtl w:val="true"/>
        </w:rPr>
        <w:t xml:space="preserve">. </w:t>
      </w:r>
      <w:r>
        <w:rPr>
          <w:rtl w:val="true"/>
        </w:rPr>
        <w:t>ההיגיון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מחייב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שכוונותיו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דרוש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למטרות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כשרות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ומותרות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דין</w:t>
      </w:r>
      <w:r>
        <w:rPr>
          <w:rtl w:val="true"/>
        </w:rPr>
        <w:t xml:space="preserve">, </w:t>
      </w:r>
      <w:r>
        <w:rPr>
          <w:rtl w:val="true"/>
        </w:rPr>
        <w:t>יטרח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ויצטייד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ברישיון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מהרשות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המוסמכת</w:t>
      </w:r>
      <w:r>
        <w:rPr>
          <w:rtl w:val="true"/>
        </w:rPr>
        <w:t xml:space="preserve">. </w:t>
      </w:r>
      <w:r>
        <w:rPr>
          <w:rtl w:val="true"/>
        </w:rPr>
        <w:t>ולהיפך</w:t>
      </w:r>
      <w:r>
        <w:rPr>
          <w:rtl w:val="true"/>
        </w:rPr>
        <w:t xml:space="preserve">, </w:t>
      </w:r>
      <w:r>
        <w:rPr>
          <w:rtl w:val="true"/>
        </w:rPr>
        <w:t>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נמצא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מחזיק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כשהוא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במחסנית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ובתחמושת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רישיון</w:t>
      </w:r>
      <w:r>
        <w:rPr>
          <w:rtl w:val="true"/>
        </w:rPr>
        <w:t xml:space="preserve">, </w:t>
      </w:r>
      <w:r>
        <w:rPr>
          <w:rtl w:val="true"/>
        </w:rPr>
        <w:t>מותר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להניח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לחובתו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למטרות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כשרות</w:t>
      </w:r>
      <w:r>
        <w:rPr>
          <w:rtl w:val="true"/>
        </w:rPr>
        <w:t xml:space="preserve">, </w:t>
      </w:r>
      <w:r>
        <w:rPr>
          <w:rtl w:val="true"/>
        </w:rPr>
        <w:t>במיוחד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יניח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דעתו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. </w:t>
      </w:r>
      <w:r>
        <w:rPr>
          <w:rtl w:val="true"/>
        </w:rPr>
        <w:t>חשד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שבעתיים</w:t>
      </w:r>
      <w:r>
        <w:rPr>
          <w:rtl w:val="true"/>
        </w:rPr>
        <w:t xml:space="preserve">, </w:t>
      </w:r>
      <w:r>
        <w:rPr>
          <w:rtl w:val="true"/>
        </w:rPr>
        <w:t>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שהמחזיק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הרשעות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קודמות</w:t>
      </w:r>
      <w:r>
        <w:rPr>
          <w:rtl w:val="true"/>
        </w:rPr>
        <w:t xml:space="preserve">, </w:t>
      </w:r>
      <w:r>
        <w:rPr>
          <w:rtl w:val="true"/>
        </w:rPr>
        <w:t>חלקן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פשוטות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כלל</w:t>
      </w:r>
      <w:r>
        <w:rPr>
          <w:rtl w:val="true"/>
        </w:rPr>
        <w:t xml:space="preserve">, </w:t>
      </w:r>
      <w:r>
        <w:rPr>
          <w:rtl w:val="true"/>
        </w:rPr>
        <w:t>וכזהו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עניין</w:t>
      </w:r>
      <w:r>
        <w:rPr>
          <w:rFonts w:eastAsia="Arial TUR" w:cs="Arial TUR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אדרי</w:t>
      </w:r>
      <w:r>
        <w:rPr>
          <w:rtl w:val="true"/>
        </w:rPr>
        <w:t xml:space="preserve">, </w:t>
      </w:r>
      <w:r>
        <w:rPr>
          <w:rtl w:val="true"/>
        </w:rPr>
        <w:t>בעמ</w:t>
      </w:r>
      <w:r>
        <w:rPr>
          <w:rtl w:val="true"/>
        </w:rPr>
        <w:t xml:space="preserve">' </w:t>
      </w:r>
      <w:r>
        <w:rPr/>
        <w:t>2</w:t>
      </w:r>
      <w:r>
        <w:rPr>
          <w:rtl w:val="true"/>
        </w:rPr>
        <w:t>).</w:t>
      </w:r>
    </w:p>
    <w:p>
      <w:pPr>
        <w:pStyle w:val="Ruller5"/>
        <w:ind w:end="1282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לאור הדברים הללו</w:t>
      </w:r>
      <w:r>
        <w:rPr>
          <w:rtl w:val="true"/>
        </w:rPr>
        <w:t xml:space="preserve">, </w:t>
      </w:r>
      <w:r>
        <w:rPr>
          <w:rtl w:val="true"/>
        </w:rPr>
        <w:t>מצאנו כי במקרה זה יש להחמיר את עונשו של המשיב</w:t>
      </w:r>
      <w:r>
        <w:rPr>
          <w:rtl w:val="true"/>
        </w:rPr>
        <w:t xml:space="preserve">. </w:t>
      </w:r>
      <w:r>
        <w:rPr>
          <w:rtl w:val="true"/>
        </w:rPr>
        <w:t>זאת בשים לב לחומרת העבירה</w:t>
      </w:r>
      <w:r>
        <w:rPr>
          <w:rtl w:val="true"/>
        </w:rPr>
        <w:t xml:space="preserve">; </w:t>
      </w:r>
      <w:r>
        <w:rPr>
          <w:rtl w:val="true"/>
        </w:rPr>
        <w:t>לכך שמדובר בשני כלי נשק מסוג תת מקלע</w:t>
      </w:r>
      <w:r>
        <w:rPr>
          <w:rtl w:val="true"/>
        </w:rPr>
        <w:t xml:space="preserve">; </w:t>
      </w:r>
      <w:r>
        <w:rPr>
          <w:rtl w:val="true"/>
        </w:rPr>
        <w:t>לנסיעתו המהירה של המשיב לאחר שאותתו לו השוטרים לעצור</w:t>
      </w:r>
      <w:r>
        <w:rPr>
          <w:rtl w:val="true"/>
        </w:rPr>
        <w:t xml:space="preserve">; </w:t>
      </w:r>
      <w:r>
        <w:rPr>
          <w:rtl w:val="true"/>
        </w:rPr>
        <w:t>לכך שלא ניתן הסבר מספק למטרת ההחזקה בנשק ולעברו הפלילי של המשיב</w:t>
      </w:r>
      <w:r>
        <w:rPr>
          <w:rtl w:val="true"/>
        </w:rPr>
        <w:t xml:space="preserve">, </w:t>
      </w:r>
      <w:r>
        <w:rPr>
          <w:rtl w:val="true"/>
        </w:rPr>
        <w:t>בדגש על תקופות המאסר הממושכות והעבירות הדומות בהן הורשע</w:t>
      </w:r>
      <w:r>
        <w:rPr>
          <w:rtl w:val="true"/>
        </w:rPr>
        <w:t xml:space="preserve">. </w:t>
      </w:r>
      <w:r>
        <w:rPr>
          <w:rtl w:val="true"/>
        </w:rPr>
        <w:t>לא נעלמה מעינינו העובדה כי המשיב שיקם את חייו בצורה טובה</w:t>
      </w:r>
      <w:r>
        <w:rPr>
          <w:rtl w:val="true"/>
        </w:rPr>
        <w:t xml:space="preserve">, </w:t>
      </w:r>
      <w:r>
        <w:rPr>
          <w:rtl w:val="true"/>
        </w:rPr>
        <w:t>נמנע מביצוע עבירות במשך שנים רבות</w:t>
      </w:r>
      <w:r>
        <w:rPr>
          <w:rtl w:val="true"/>
        </w:rPr>
        <w:t xml:space="preserve">, </w:t>
      </w:r>
      <w:r>
        <w:rPr>
          <w:rtl w:val="true"/>
        </w:rPr>
        <w:t>וקיבל המלצות חיוביות משירות המבחן</w:t>
      </w:r>
      <w:r>
        <w:rPr>
          <w:rtl w:val="true"/>
        </w:rPr>
        <w:t xml:space="preserve">. </w:t>
      </w:r>
      <w:r>
        <w:rPr>
          <w:rtl w:val="true"/>
        </w:rPr>
        <w:t>אולם</w:t>
      </w:r>
      <w:r>
        <w:rPr>
          <w:rtl w:val="true"/>
        </w:rPr>
        <w:t xml:space="preserve">, </w:t>
      </w:r>
      <w:r>
        <w:rPr>
          <w:rtl w:val="true"/>
        </w:rPr>
        <w:t>מדובר בעבירות חמורות</w:t>
      </w:r>
      <w:r>
        <w:rPr>
          <w:rtl w:val="true"/>
        </w:rPr>
        <w:t xml:space="preserve">, </w:t>
      </w:r>
      <w:r>
        <w:rPr>
          <w:rtl w:val="true"/>
        </w:rPr>
        <w:t>ובהתחשב בנסיבות שנמנו לעיל</w:t>
      </w:r>
      <w:r>
        <w:rPr>
          <w:rtl w:val="true"/>
        </w:rPr>
        <w:t xml:space="preserve">, </w:t>
      </w:r>
      <w:r>
        <w:rPr>
          <w:rtl w:val="true"/>
        </w:rPr>
        <w:t>על העונש להלום את חומרתן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>
          <w:rFonts w:ascii="Century" w:hAnsi="Century" w:cs="Century"/>
        </w:rPr>
      </w:pPr>
      <w:r>
        <w:rPr>
          <w:rtl w:val="true"/>
        </w:rPr>
        <w:tab/>
      </w:r>
      <w:r>
        <w:rPr>
          <w:rtl w:val="true"/>
        </w:rPr>
        <w:t>סוף דבר</w:t>
      </w:r>
      <w:r>
        <w:rPr>
          <w:rtl w:val="true"/>
        </w:rPr>
        <w:t xml:space="preserve">: </w:t>
      </w:r>
      <w:r>
        <w:rPr>
          <w:rtl w:val="true"/>
        </w:rPr>
        <w:t>דין ערעור המדינה להתקבל</w:t>
      </w:r>
      <w:r>
        <w:rPr>
          <w:rtl w:val="true"/>
        </w:rPr>
        <w:t xml:space="preserve">. </w:t>
      </w:r>
      <w:r>
        <w:rPr>
          <w:rtl w:val="true"/>
        </w:rPr>
        <w:t xml:space="preserve">כלל הוא כי </w:t>
      </w:r>
      <w:r>
        <w:rPr>
          <w:sz w:val="22"/>
          <w:sz w:val="22"/>
          <w:rtl w:val="true"/>
        </w:rPr>
        <w:t>ערכאת הערעור אינה ממצה את הדין</w:t>
      </w:r>
      <w:r>
        <w:rPr>
          <w:rtl w:val="true"/>
        </w:rPr>
        <w:t xml:space="preserve">, </w:t>
      </w:r>
      <w:r>
        <w:rPr>
          <w:rtl w:val="true"/>
        </w:rPr>
        <w:t>ולכן נחמיר בעונש</w:t>
      </w:r>
      <w:r>
        <w:rPr>
          <w:sz w:val="22"/>
          <w:sz w:val="22"/>
          <w:rtl w:val="true"/>
        </w:rPr>
        <w:t xml:space="preserve"> בצורה מתונ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כך ש</w:t>
      </w:r>
      <w:r>
        <w:rPr>
          <w:rFonts w:ascii="Century" w:hAnsi="Century" w:cs="Century"/>
          <w:rtl w:val="true"/>
        </w:rPr>
        <w:t xml:space="preserve">עונש המאסר בפועל יעמוד על </w:t>
      </w:r>
      <w:r>
        <w:rPr>
          <w:rFonts w:cs="Century" w:ascii="Century" w:hAnsi="Century"/>
        </w:rPr>
        <w:t>24</w:t>
      </w:r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Century"/>
          <w:rtl w:val="true"/>
        </w:rPr>
        <w:t>חודשים</w:t>
      </w:r>
      <w:r>
        <w:rPr>
          <w:rFonts w:cs="Century" w:ascii="Century" w:hAnsi="Century"/>
          <w:rtl w:val="true"/>
        </w:rPr>
        <w:t xml:space="preserve">. </w:t>
      </w:r>
      <w:r>
        <w:rPr>
          <w:rFonts w:ascii="Century" w:hAnsi="Century" w:cs="Century"/>
          <w:rtl w:val="true"/>
        </w:rPr>
        <w:t>שאר רכיבי העונש יוותרו על כנם כפי שקבע בית המשפט קמא</w:t>
      </w:r>
      <w:r>
        <w:rPr>
          <w:rFonts w:cs="Century" w:ascii="Century" w:hAnsi="Century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1"/>
        <w:ind w:end="0"/>
        <w:jc w:val="both"/>
        <w:rPr/>
      </w:pPr>
      <w:r>
        <w:rPr>
          <w:rFonts w:eastAsia="Arial TUR" w:cs="Arial TUR"/>
          <w:rtl w:val="true"/>
        </w:rPr>
        <w:t xml:space="preserve"> 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>, ‏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בכסלו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(‏</w:t>
      </w:r>
      <w:r>
        <w:rPr/>
        <w:t>29.11.2018</w:t>
      </w:r>
      <w:r>
        <w:rPr>
          <w:rtl w:val="true"/>
        </w:rPr>
        <w:t xml:space="preserve">).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1"/>
              <w:ind w:end="0"/>
              <w:jc w:val="center"/>
              <w:rPr/>
            </w:pPr>
            <w:r>
              <w:rPr>
                <w:rtl w:val="true"/>
              </w:rPr>
              <w:t>המשנה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לנשיאה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381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Ruller381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54678313</w:t>
      </w:r>
    </w:p>
    <w:p>
      <w:pPr>
        <w:pStyle w:val="Ruller381"/>
        <w:ind w:end="0"/>
        <w:jc w:val="start"/>
        <w:rPr>
          <w:color w:val="FFFFFF"/>
          <w:sz w:val="16"/>
          <w:szCs w:val="2"/>
        </w:rPr>
      </w:pPr>
      <w:r>
        <w:rPr>
          <w:color w:val="FFFFFF"/>
          <w:sz w:val="16"/>
          <w:szCs w:val="2"/>
          <w:rtl w:val="true"/>
        </w:rPr>
      </w:r>
    </w:p>
    <w:p>
      <w:pPr>
        <w:pStyle w:val="Ruller381"/>
        <w:ind w:end="0"/>
        <w:jc w:val="start"/>
        <w:rPr/>
      </w:pPr>
      <w:r>
        <w:rPr>
          <w:rFonts w:cs="Times New Roman"/>
          <w:sz w:val="16"/>
          <w:rtl w:val="true"/>
        </w:rPr>
        <w:t xml:space="preserve">   </w:t>
      </w:r>
      <w:r>
        <w:rPr>
          <w:sz w:val="16"/>
        </w:rPr>
        <w:t>18033360</w:t>
      </w:r>
      <w:r>
        <w:rPr>
          <w:sz w:val="16"/>
          <w:rtl w:val="true"/>
        </w:rPr>
        <w:t>_</w:t>
      </w:r>
      <w:r>
        <w:rPr>
          <w:sz w:val="16"/>
        </w:rPr>
        <w:t>Y02.doc</w:t>
      </w:r>
      <w:r>
        <w:rPr>
          <w:sz w:val="16"/>
          <w:rtl w:val="true"/>
        </w:rPr>
        <w:t xml:space="preserve">   </w:t>
      </w:r>
      <w:r>
        <w:rPr>
          <w:sz w:val="16"/>
          <w:sz w:val="16"/>
          <w:rtl w:val="true"/>
        </w:rPr>
        <w:t>חכ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>'</w:t>
      </w:r>
      <w:r>
        <w:rPr>
          <w:rtl w:val="true"/>
        </w:rPr>
        <w:t xml:space="preserve">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16">
        <w:r>
          <w:rPr>
            <w:rStyle w:val="Hyperlink"/>
            <w:color w:val="548DD4"/>
            <w:sz w:val="16"/>
            <w:u w:val="single"/>
          </w:rPr>
          <w:t>supreme.court.gov.il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Times New Roman"/>
          <w:rtl w:val="true"/>
        </w:rPr>
        <w:t xml:space="preserve"> </w:t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/>
          <w:color w:val="000000"/>
          <w:szCs w:val="22"/>
          <w:rtl w:val="true"/>
        </w:rPr>
        <w:t>נ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 xml:space="preserve">סולברג </w:t>
      </w:r>
      <w:r>
        <w:rPr>
          <w:rFonts w:cs="David" w:ascii="David" w:hAnsi="David"/>
          <w:color w:val="000000"/>
          <w:szCs w:val="22"/>
        </w:rPr>
        <w:t>54678313-3336/18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17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18"/>
      <w:footerReference w:type="default" r:id="rId19"/>
      <w:type w:val="nextPage"/>
      <w:pgSz w:w="11906" w:h="16838"/>
      <w:pgMar w:left="1797" w:right="1797" w:gutter="0" w:header="567" w:top="1701" w:footer="397" w:bottom="1440"/>
      <w:pgNumType w:start="1" w:fmt="decimal"/>
      <w:formProt w:val="false"/>
      <w:textDirection w:val="lrTb"/>
      <w:bidi/>
      <w:rtlGutter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aramond">
    <w:charset w:val="00" w:characterSet="windows-1252"/>
    <w:family w:val="roman"/>
    <w:pitch w:val="variable"/>
  </w:font>
  <w:font w:name="FrankRuehl">
    <w:charset w:val="00" w:characterSet="windows-1252"/>
    <w:family w:val="swiss"/>
    <w:pitch w:val="variable"/>
  </w:font>
  <w:font w:name="Century">
    <w:charset w:val="00" w:characterSet="windows-1252"/>
    <w:family w:val="roman"/>
    <w:pitch w:val="variable"/>
  </w:font>
  <w:font w:name="David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10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3336/18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השאם סמארה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907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  <w:textAlignment w:val="baseline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DefaultParagraphFont">
    <w:name w:val="Default Paragraph Font"/>
    <w:qFormat/>
    <w:rPr/>
  </w:style>
  <w:style w:type="character" w:styleId="Delete">
    <w:name w:val="Delete"/>
    <w:qFormat/>
    <w:rPr>
      <w:strike/>
    </w:rPr>
  </w:style>
  <w:style w:type="character" w:styleId="Hand">
    <w:name w:val="Hand"/>
    <w:qFormat/>
    <w:rPr>
      <w:rFonts w:cs="Guttman Yad"/>
    </w:rPr>
  </w:style>
  <w:style w:type="character" w:styleId="PageNumber">
    <w:name w:val="page number"/>
    <w:basedOn w:val="DefaultParagraphFont"/>
    <w:rPr/>
  </w:style>
  <w:style w:type="character" w:styleId="Ruller3">
    <w:name w:val="Ruller 3 תו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qFormat/>
    <w:rPr>
      <w:rFonts w:cs="David"/>
      <w:sz w:val="22"/>
      <w:szCs w:val="28"/>
      <w:lang w:val="en-US" w:bidi="he-IL"/>
    </w:rPr>
  </w:style>
  <w:style w:type="character" w:styleId="Ruller38">
    <w:name w:val="סגנון Ruller 3 + (מורכב) ‏8 נק תו"/>
    <w:qFormat/>
    <w:rPr>
      <w:rFonts w:cs="David"/>
      <w:sz w:val="22"/>
      <w:szCs w:val="16"/>
      <w:lang w:val="en-US" w:bidi="he-IL"/>
    </w:rPr>
  </w:style>
  <w:style w:type="character" w:styleId="Hyperlink">
    <w:name w:val="Hyperlink"/>
    <w:rPr>
      <w:color w:val="0000FF"/>
      <w:u w:val="single"/>
    </w:rPr>
  </w:style>
  <w:style w:type="character" w:styleId="Ruller4">
    <w:name w:val="Ruller4 תו"/>
    <w:qFormat/>
    <w:rPr>
      <w:rFonts w:ascii="Arial TUR" w:hAnsi="Arial TUR" w:cs="FrankRuehl"/>
      <w:spacing w:val="10"/>
      <w:sz w:val="22"/>
      <w:szCs w:val="28"/>
    </w:rPr>
  </w:style>
  <w:style w:type="character" w:styleId="CharChar">
    <w:name w:val=" Char Char"/>
    <w:qFormat/>
    <w:rPr>
      <w:rFonts w:ascii="Tahoma" w:hAnsi="Tahoma" w:cs="Tahoma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spacing w:lineRule="auto" w:line="360"/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" w:hAnsi="Arial TUR" w:cs="DavidFix;Times New Roman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spacing w:lineRule="auto" w:line="360"/>
      <w:ind w:hanging="0" w:start="0" w:end="0"/>
      <w:jc w:val="both"/>
    </w:pPr>
    <w:rPr>
      <w:rFonts w:cs="David"/>
      <w:b/>
      <w:bCs/>
      <w:u w:val="single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2">
    <w:name w:val="ñâðåï2"/>
    <w:basedOn w:val="Normal"/>
    <w:qFormat/>
    <w:pPr>
      <w:overflowPunct w:val="true"/>
      <w:ind w:hanging="0" w:start="0" w:end="0"/>
      <w:jc w:val="start"/>
      <w:textAlignment w:val="auto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  <w:textAlignment w:val="auto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  <w:textAlignment w:val="auto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/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Ruller42">
    <w:name w:val="Ruller 4 ממוספר"/>
    <w:basedOn w:val="Ruller41"/>
    <w:next w:val="Ruller41"/>
    <w:qFormat/>
    <w:pPr>
      <w:numPr>
        <w:ilvl w:val="0"/>
        <w:numId w:val="1"/>
      </w:numPr>
      <w:ind w:hanging="0" w:start="0" w:end="0"/>
      <w:jc w:val="both"/>
    </w:pPr>
    <w:rPr>
      <w:rFonts w:ascii="Garamond" w:hAnsi="Garamond" w:cs="Garamond"/>
      <w:sz w:val="24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8"/>
      <w:szCs w:val="18"/>
    </w:rPr>
  </w:style>
  <w:style w:type="paragraph" w:styleId="Style14">
    <w:name w:val="ללא מרווח"/>
    <w:qFormat/>
    <w:pPr>
      <w:widowControl/>
      <w:overflowPunct w:val="false"/>
      <w:autoSpaceDE w:val="false"/>
      <w:bidi w:val="1"/>
      <w:ind w:hanging="0" w:start="0" w:end="0"/>
      <w:jc w:val="start"/>
      <w:textAlignment w:val="baseline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0590832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144.a" TargetMode="External"/><Relationship Id="rId5" Type="http://schemas.openxmlformats.org/officeDocument/2006/relationships/hyperlink" Target="http://www.nevo.co.il/law/70301/144.b" TargetMode="External"/><Relationship Id="rId6" Type="http://schemas.openxmlformats.org/officeDocument/2006/relationships/hyperlink" Target="http://www.nevo.co.il/case/20590832" TargetMode="External"/><Relationship Id="rId7" Type="http://schemas.openxmlformats.org/officeDocument/2006/relationships/hyperlink" Target="http://www.nevo.co.il/law/70301/144.b" TargetMode="External"/><Relationship Id="rId8" Type="http://schemas.openxmlformats.org/officeDocument/2006/relationships/hyperlink" Target="http://www.nevo.co.il/law/70301" TargetMode="External"/><Relationship Id="rId9" Type="http://schemas.openxmlformats.org/officeDocument/2006/relationships/hyperlink" Target="http://www.nevo.co.il/law/70301/144.a" TargetMode="External"/><Relationship Id="rId10" Type="http://schemas.openxmlformats.org/officeDocument/2006/relationships/hyperlink" Target="http://www.nevo.co.il/case/5875466" TargetMode="External"/><Relationship Id="rId11" Type="http://schemas.openxmlformats.org/officeDocument/2006/relationships/hyperlink" Target="http://www.nevo.co.il/case/21506839" TargetMode="External"/><Relationship Id="rId12" Type="http://schemas.openxmlformats.org/officeDocument/2006/relationships/hyperlink" Target="http://www.nevo.co.il/case/5724364" TargetMode="External"/><Relationship Id="rId13" Type="http://schemas.openxmlformats.org/officeDocument/2006/relationships/hyperlink" Target="http://www.nevo.co.il/case/6473037" TargetMode="External"/><Relationship Id="rId14" Type="http://schemas.openxmlformats.org/officeDocument/2006/relationships/hyperlink" Target="http://www.nevo.co.il/case/5878682" TargetMode="External"/><Relationship Id="rId15" Type="http://schemas.openxmlformats.org/officeDocument/2006/relationships/hyperlink" Target="http://www.nevo.co.il/case/6100233" TargetMode="External"/><Relationship Id="rId16" Type="http://schemas.openxmlformats.org/officeDocument/2006/relationships/hyperlink" Target="https://supreme.court.gov.il/" TargetMode="External"/><Relationship Id="rId17" Type="http://schemas.openxmlformats.org/officeDocument/2006/relationships/hyperlink" Target="http://www.nevo.co.il/advertisements/nevo-100.doc" TargetMode="External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2018-12-03T12:02:00Z</dcterms:created>
  <dc:creator> </dc:creator>
  <dc:description/>
  <cp:keywords/>
  <dc:language>en-IL</dc:language>
  <cp:lastModifiedBy>hofit</cp:lastModifiedBy>
  <cp:lastPrinted>2018-11-15T08:30:00Z</cp:lastPrinted>
  <dcterms:modified xsi:type="dcterms:W3CDTF">2018-12-03T12:02:00Z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השאם סמארה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20590832:2;5875466;21506839;5724364;6473037;5878682;6100233</vt:lpwstr>
  </property>
  <property fmtid="{D5CDD505-2E9C-101B-9397-08002B2CF9AE}" pid="9" name="CITY">
    <vt:lpwstr/>
  </property>
  <property fmtid="{D5CDD505-2E9C-101B-9397-08002B2CF9AE}" pid="10" name="DATE">
    <vt:lpwstr>20181129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נ' סולברג;ע' גרוסקופף;ח' מלצר</vt:lpwstr>
  </property>
  <property fmtid="{D5CDD505-2E9C-101B-9397-08002B2CF9AE}" pid="14" name="LAWLISTTMP1">
    <vt:lpwstr>70301/144.b;144.a</vt:lpwstr>
  </property>
  <property fmtid="{D5CDD505-2E9C-101B-9397-08002B2CF9AE}" pid="15" name="LAWYER">
    <vt:lpwstr>ברכה וייס;אופיר טישלר;אלי כהן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METAKZER">
    <vt:lpwstr>נעה</vt:lpwstr>
  </property>
  <property fmtid="{D5CDD505-2E9C-101B-9397-08002B2CF9AE}" pid="22" name="NEWPARTA">
    <vt:lpwstr/>
  </property>
  <property fmtid="{D5CDD505-2E9C-101B-9397-08002B2CF9AE}" pid="23" name="NEWPARTB">
    <vt:lpwstr/>
  </property>
  <property fmtid="{D5CDD505-2E9C-101B-9397-08002B2CF9AE}" pid="24" name="NEWPARTC">
    <vt:lpwstr/>
  </property>
  <property fmtid="{D5CDD505-2E9C-101B-9397-08002B2CF9AE}" pid="25" name="NEWPROC">
    <vt:lpwstr/>
  </property>
  <property fmtid="{D5CDD505-2E9C-101B-9397-08002B2CF9AE}" pid="26" name="NOSE11">
    <vt:lpwstr>עונשין</vt:lpwstr>
  </property>
  <property fmtid="{D5CDD505-2E9C-101B-9397-08002B2CF9AE}" pid="27" name="NOSE110">
    <vt:lpwstr/>
  </property>
  <property fmtid="{D5CDD505-2E9C-101B-9397-08002B2CF9AE}" pid="28" name="NOSE12">
    <vt:lpwstr>עונשין</vt:lpwstr>
  </property>
  <property fmtid="{D5CDD505-2E9C-101B-9397-08002B2CF9AE}" pid="29" name="NOSE13">
    <vt:lpwstr>עונשין</vt:lpwstr>
  </property>
  <property fmtid="{D5CDD505-2E9C-101B-9397-08002B2CF9AE}" pid="30" name="NOSE14">
    <vt:lpwstr/>
  </property>
  <property fmtid="{D5CDD505-2E9C-101B-9397-08002B2CF9AE}" pid="31" name="NOSE15">
    <vt:lpwstr/>
  </property>
  <property fmtid="{D5CDD505-2E9C-101B-9397-08002B2CF9AE}" pid="32" name="NOSE16">
    <vt:lpwstr/>
  </property>
  <property fmtid="{D5CDD505-2E9C-101B-9397-08002B2CF9AE}" pid="33" name="NOSE17">
    <vt:lpwstr/>
  </property>
  <property fmtid="{D5CDD505-2E9C-101B-9397-08002B2CF9AE}" pid="34" name="NOSE18">
    <vt:lpwstr/>
  </property>
  <property fmtid="{D5CDD505-2E9C-101B-9397-08002B2CF9AE}" pid="35" name="NOSE19">
    <vt:lpwstr/>
  </property>
  <property fmtid="{D5CDD505-2E9C-101B-9397-08002B2CF9AE}" pid="36" name="NOSE1ID">
    <vt:lpwstr>77;77;77</vt:lpwstr>
  </property>
  <property fmtid="{D5CDD505-2E9C-101B-9397-08002B2CF9AE}" pid="37" name="NOSE21">
    <vt:lpwstr>ענישה</vt:lpwstr>
  </property>
  <property fmtid="{D5CDD505-2E9C-101B-9397-08002B2CF9AE}" pid="38" name="NOSE210">
    <vt:lpwstr/>
  </property>
  <property fmtid="{D5CDD505-2E9C-101B-9397-08002B2CF9AE}" pid="39" name="NOSE22">
    <vt:lpwstr>ענישה</vt:lpwstr>
  </property>
  <property fmtid="{D5CDD505-2E9C-101B-9397-08002B2CF9AE}" pid="40" name="NOSE23">
    <vt:lpwstr>עבירות</vt:lpwstr>
  </property>
  <property fmtid="{D5CDD505-2E9C-101B-9397-08002B2CF9AE}" pid="41" name="NOSE24">
    <vt:lpwstr/>
  </property>
  <property fmtid="{D5CDD505-2E9C-101B-9397-08002B2CF9AE}" pid="42" name="NOSE25">
    <vt:lpwstr/>
  </property>
  <property fmtid="{D5CDD505-2E9C-101B-9397-08002B2CF9AE}" pid="43" name="NOSE26">
    <vt:lpwstr/>
  </property>
  <property fmtid="{D5CDD505-2E9C-101B-9397-08002B2CF9AE}" pid="44" name="NOSE27">
    <vt:lpwstr/>
  </property>
  <property fmtid="{D5CDD505-2E9C-101B-9397-08002B2CF9AE}" pid="45" name="NOSE28">
    <vt:lpwstr/>
  </property>
  <property fmtid="{D5CDD505-2E9C-101B-9397-08002B2CF9AE}" pid="46" name="NOSE29">
    <vt:lpwstr/>
  </property>
  <property fmtid="{D5CDD505-2E9C-101B-9397-08002B2CF9AE}" pid="47" name="NOSE2ID">
    <vt:lpwstr>1446;1446;1443</vt:lpwstr>
  </property>
  <property fmtid="{D5CDD505-2E9C-101B-9397-08002B2CF9AE}" pid="48" name="NOSE31">
    <vt:lpwstr>מדיניות ענישה: עבירות נשק</vt:lpwstr>
  </property>
  <property fmtid="{D5CDD505-2E9C-101B-9397-08002B2CF9AE}" pid="49" name="NOSE310">
    <vt:lpwstr/>
  </property>
  <property fmtid="{D5CDD505-2E9C-101B-9397-08002B2CF9AE}" pid="50" name="NOSE32">
    <vt:lpwstr>מדיניות ענישה: התערבות ערכאת ערעור</vt:lpwstr>
  </property>
  <property fmtid="{D5CDD505-2E9C-101B-9397-08002B2CF9AE}" pid="51" name="NOSE33">
    <vt:lpwstr>עבירות נשק</vt:lpwstr>
  </property>
  <property fmtid="{D5CDD505-2E9C-101B-9397-08002B2CF9AE}" pid="52" name="NOSE34">
    <vt:lpwstr/>
  </property>
  <property fmtid="{D5CDD505-2E9C-101B-9397-08002B2CF9AE}" pid="53" name="NOSE35">
    <vt:lpwstr/>
  </property>
  <property fmtid="{D5CDD505-2E9C-101B-9397-08002B2CF9AE}" pid="54" name="NOSE36">
    <vt:lpwstr/>
  </property>
  <property fmtid="{D5CDD505-2E9C-101B-9397-08002B2CF9AE}" pid="55" name="NOSE37">
    <vt:lpwstr/>
  </property>
  <property fmtid="{D5CDD505-2E9C-101B-9397-08002B2CF9AE}" pid="56" name="NOSE38">
    <vt:lpwstr/>
  </property>
  <property fmtid="{D5CDD505-2E9C-101B-9397-08002B2CF9AE}" pid="57" name="NOSE39">
    <vt:lpwstr/>
  </property>
  <property fmtid="{D5CDD505-2E9C-101B-9397-08002B2CF9AE}" pid="58" name="NOSE3ID">
    <vt:lpwstr>13800;8982;15842</vt:lpwstr>
  </property>
  <property fmtid="{D5CDD505-2E9C-101B-9397-08002B2CF9AE}" pid="59" name="PADIDATE">
    <vt:lpwstr>20181202</vt:lpwstr>
  </property>
  <property fmtid="{D5CDD505-2E9C-101B-9397-08002B2CF9AE}" pid="60" name="PADIMAIL">
    <vt:lpwstr>YES</vt:lpwstr>
  </property>
  <property fmtid="{D5CDD505-2E9C-101B-9397-08002B2CF9AE}" pid="61" name="PAGE">
    <vt:lpwstr/>
  </property>
  <property fmtid="{D5CDD505-2E9C-101B-9397-08002B2CF9AE}" pid="62" name="PART">
    <vt:lpwstr/>
  </property>
  <property fmtid="{D5CDD505-2E9C-101B-9397-08002B2CF9AE}" pid="63" name="PROCESS">
    <vt:lpwstr>עפ</vt:lpwstr>
  </property>
  <property fmtid="{D5CDD505-2E9C-101B-9397-08002B2CF9AE}" pid="64" name="PROCNUM">
    <vt:lpwstr>3336</vt:lpwstr>
  </property>
  <property fmtid="{D5CDD505-2E9C-101B-9397-08002B2CF9AE}" pid="65" name="PROCYEAR">
    <vt:lpwstr>18</vt:lpwstr>
  </property>
  <property fmtid="{D5CDD505-2E9C-101B-9397-08002B2CF9AE}" pid="66" name="PSAKDIN">
    <vt:lpwstr>פסק-דין</vt:lpwstr>
  </property>
  <property fmtid="{D5CDD505-2E9C-101B-9397-08002B2CF9AE}" pid="67" name="TYPE">
    <vt:lpwstr>1</vt:lpwstr>
  </property>
  <property fmtid="{D5CDD505-2E9C-101B-9397-08002B2CF9AE}" pid="68" name="TYPE_ABS_DATE">
    <vt:lpwstr>410120181129</vt:lpwstr>
  </property>
  <property fmtid="{D5CDD505-2E9C-101B-9397-08002B2CF9AE}" pid="69" name="TYPE_N_DATE">
    <vt:lpwstr>41020181129</vt:lpwstr>
  </property>
  <property fmtid="{D5CDD505-2E9C-101B-9397-08002B2CF9AE}" pid="70" name="VOLUME">
    <vt:lpwstr/>
  </property>
  <property fmtid="{D5CDD505-2E9C-101B-9397-08002B2CF9AE}" pid="71" name="WORDNUMPAGES">
    <vt:lpwstr>9</vt:lpwstr>
  </property>
</Properties>
</file>