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50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1"/>
        <w:gridCol w:w="3584"/>
      </w:tblGrid>
      <w:tr>
        <w:trPr>
          <w:trHeight w:val="670" w:hRule="exact"/>
        </w:trPr>
        <w:tc>
          <w:tcPr>
            <w:tcW w:w="8505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בירושלים בשבתו כבית</w:t>
            </w:r>
            <w:r>
              <w:rPr>
                <w:rFonts w:cs="Tahoma" w:ascii="Tahoma" w:hAnsi="Tahoma"/>
                <w:b/>
                <w:bCs/>
                <w:color w:val="00008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משפט לערעורים פליליים</w:t>
            </w:r>
          </w:p>
        </w:tc>
      </w:tr>
      <w:tr>
        <w:trPr>
          <w:trHeight w:val="264" w:hRule="atLeast"/>
        </w:trPr>
        <w:tc>
          <w:tcPr>
            <w:tcW w:w="4921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רפי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כרמל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אב</w:t>
            </w:r>
            <w:r>
              <w:rPr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ד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     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כרמי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מוסק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     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כב</w:t>
            </w:r>
            <w:r>
              <w:rPr>
                <w:b/>
                <w:bCs/>
                <w:sz w:val="28"/>
                <w:szCs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שירלי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>רנר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584" w:type="dxa"/>
            <w:tcBorders/>
          </w:tcPr>
          <w:p>
            <w:pPr>
              <w:pStyle w:val="Header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</w:t>
            </w:r>
            <w:r>
              <w:rPr>
                <w:rFonts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33947-10-17</w:t>
            </w:r>
          </w:p>
        </w:tc>
      </w:tr>
    </w:tbl>
    <w:p>
      <w:pPr>
        <w:pStyle w:val="Header"/>
        <w:ind w:end="0"/>
        <w:jc w:val="start"/>
        <w:rPr>
          <w:rFonts w:cs="Times New Roman"/>
        </w:rPr>
      </w:pPr>
      <w:bookmarkStart w:id="0" w:name="LastJudge"/>
      <w:bookmarkEnd w:id="0"/>
      <w:r>
        <w:rPr>
          <w:rFonts w:cs="Times New Roman"/>
          <w:rtl w:val="true"/>
        </w:rPr>
        <w:t xml:space="preserve"> </w:t>
      </w:r>
    </w:p>
    <w:p>
      <w:pPr>
        <w:pStyle w:val="Normal"/>
        <w:suppressLineNumbers/>
        <w:ind w:end="0"/>
        <w:jc w:val="start"/>
        <w:rPr>
          <w:spacing w:val="22"/>
          <w:sz w:val="26"/>
          <w:szCs w:val="26"/>
        </w:rPr>
      </w:pPr>
      <w:r>
        <w:rPr>
          <w:spacing w:val="22"/>
          <w:sz w:val="26"/>
          <w:szCs w:val="26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bidi w:val="0"/>
              <w:snapToGrid w:val="false"/>
              <w:spacing w:lineRule="auto" w:line="48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</w:rPr>
            </w:r>
            <w:bookmarkStart w:id="1" w:name="FirstAppellant"/>
            <w:bookmarkStart w:id="2" w:name="FirstAppellant"/>
            <w:bookmarkEnd w:id="2"/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המערערת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spacing w:val="22"/>
                <w:sz w:val="32"/>
                <w:szCs w:val="28"/>
              </w:rPr>
            </w:pP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ישראל</w:t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ascii="Arial (W1);Arial" w:hAnsi="Arial (W1);Arial" w:cs="Arial (W1);Arial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באמצעות פרקליטות מחוז ירושלים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napToGrid w:val="false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</w:r>
          </w:p>
          <w:p>
            <w:pPr>
              <w:pStyle w:val="Normal"/>
              <w:spacing w:lineRule="auto" w:line="480"/>
              <w:ind w:end="0"/>
              <w:jc w:val="center"/>
              <w:rPr>
                <w:b/>
                <w:bCs/>
                <w:spacing w:val="22"/>
                <w:sz w:val="32"/>
                <w:szCs w:val="28"/>
              </w:rPr>
            </w:pP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נגד</w:t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snapToGrid w:val="false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</w:r>
            <w:bookmarkStart w:id="3" w:name="FirstLawyer"/>
            <w:bookmarkStart w:id="4" w:name="FirstLawyer"/>
            <w:bookmarkEnd w:id="4"/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המשיב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napToGrid w:val="false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spacing w:val="22"/>
                <w:sz w:val="32"/>
                <w:szCs w:val="28"/>
              </w:rPr>
            </w:pP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שלמה</w:t>
            </w:r>
            <w:r>
              <w:rPr>
                <w:rFonts w:cs="Times New Roman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 xml:space="preserve"> </w:t>
            </w:r>
            <w:r>
              <w:rPr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קרוקוצקי</w:t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Arial (W1);Arial" w:hAnsi="Arial (W1);Arial" w:cs="Arial (W1);Arial"/>
                <w:b/>
                <w:bCs/>
                <w:spacing w:val="22"/>
                <w:sz w:val="32"/>
                <w:szCs w:val="28"/>
              </w:rPr>
            </w:pPr>
            <w:r>
              <w:rPr>
                <w:rFonts w:ascii="Arial (W1);Arial" w:hAnsi="Arial (W1);Arial" w:cs="Arial (W1);Arial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ע</w:t>
            </w: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  <w:t>"</w:t>
            </w:r>
            <w:r>
              <w:rPr>
                <w:rFonts w:ascii="Arial (W1);Arial" w:hAnsi="Arial (W1);Arial" w:cs="Arial (W1);Arial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י ב</w:t>
            </w: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  <w:t>"</w:t>
            </w:r>
            <w:r>
              <w:rPr>
                <w:rFonts w:ascii="Arial (W1);Arial" w:hAnsi="Arial (W1);Arial" w:cs="Arial (W1);Arial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כ עוה</w:t>
            </w:r>
            <w:r>
              <w:rPr>
                <w:rFonts w:cs="Arial (W1);Arial" w:ascii="Arial (W1);Arial" w:hAnsi="Arial (W1);Arial"/>
                <w:b/>
                <w:bCs/>
                <w:spacing w:val="22"/>
                <w:sz w:val="32"/>
                <w:szCs w:val="28"/>
                <w:rtl w:val="true"/>
              </w:rPr>
              <w:t>"</w:t>
            </w:r>
            <w:r>
              <w:rPr>
                <w:rFonts w:ascii="Arial (W1);Arial" w:hAnsi="Arial (W1);Arial" w:cs="Arial (W1);Arial"/>
                <w:b/>
                <w:b/>
                <w:bCs/>
                <w:spacing w:val="22"/>
                <w:sz w:val="32"/>
                <w:sz w:val="32"/>
                <w:szCs w:val="28"/>
                <w:rtl w:val="true"/>
              </w:rPr>
              <w:t>ד שגיא גרינפלד ויהונתן דנה</w:t>
            </w:r>
          </w:p>
        </w:tc>
      </w:tr>
    </w:tbl>
    <w:p>
      <w:pPr>
        <w:pStyle w:val="Normal"/>
        <w:suppressLineNumbers/>
        <w:ind w:end="0"/>
        <w:jc w:val="start"/>
        <w:rPr>
          <w:spacing w:val="22"/>
        </w:rPr>
      </w:pPr>
      <w:r>
        <w:rPr>
          <w:spacing w:val="22"/>
          <w:rtl w:val="true"/>
        </w:rPr>
      </w:r>
    </w:p>
    <w:p>
      <w:pPr>
        <w:pStyle w:val="Normal"/>
        <w:suppressLineNumbers/>
        <w:ind w:end="0"/>
        <w:jc w:val="start"/>
        <w:rPr>
          <w:spacing w:val="22"/>
        </w:rPr>
      </w:pPr>
      <w:r>
        <w:rPr>
          <w:spacing w:val="22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pacing w:val="22"/>
                <w:sz w:val="40"/>
                <w:szCs w:val="40"/>
                <w:u w:val="single"/>
              </w:rPr>
            </w:pPr>
            <w:bookmarkStart w:id="5" w:name="PsakDin"/>
            <w:bookmarkEnd w:id="5"/>
            <w:r>
              <w:rPr>
                <w:rFonts w:ascii="Arial" w:hAnsi="Arial" w:cs="Arial"/>
                <w:b/>
                <w:b/>
                <w:bCs/>
                <w:spacing w:val="22"/>
                <w:sz w:val="40"/>
                <w:sz w:val="40"/>
                <w:szCs w:val="40"/>
                <w:u w:val="single"/>
                <w:rtl w:val="true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" w:hAnsi="Arial" w:cs="Arial"/>
                <w:b/>
                <w:bCs/>
                <w:spacing w:val="22"/>
                <w:sz w:val="28"/>
                <w:szCs w:val="28"/>
                <w:u w:val="single"/>
              </w:rPr>
            </w:pPr>
            <w:r>
              <w:rPr>
                <w:rFonts w:cs="Arial" w:ascii="Arial" w:hAnsi="Arial"/>
                <w:b/>
                <w:bCs/>
                <w:spacing w:val="22"/>
                <w:sz w:val="28"/>
                <w:szCs w:val="28"/>
                <w:u w:val="singl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b/>
          <w:bCs/>
          <w:spacing w:val="22"/>
        </w:rPr>
      </w:pPr>
      <w:r>
        <w:rPr>
          <w:rFonts w:ascii="Arial" w:hAnsi="Arial" w:cs="Arial"/>
          <w:b/>
          <w:b/>
          <w:bCs/>
          <w:spacing w:val="22"/>
          <w:rtl w:val="true"/>
        </w:rPr>
        <w:t xml:space="preserve">ערעור על גזר דינו של בית משפט השלום בירושלים </w:t>
      </w:r>
      <w:r>
        <w:rPr>
          <w:rFonts w:cs="Arial" w:ascii="Arial" w:hAnsi="Arial"/>
          <w:b/>
          <w:bCs/>
          <w:spacing w:val="22"/>
          <w:rtl w:val="true"/>
        </w:rPr>
        <w:t>(</w:t>
      </w:r>
      <w:r>
        <w:rPr>
          <w:rFonts w:ascii="Arial" w:hAnsi="Arial" w:cs="Arial"/>
          <w:b/>
          <w:b/>
          <w:bCs/>
          <w:spacing w:val="22"/>
          <w:rtl w:val="true"/>
        </w:rPr>
        <w:t>כב</w:t>
      </w:r>
      <w:r>
        <w:rPr>
          <w:rFonts w:cs="Arial" w:ascii="Arial" w:hAnsi="Arial"/>
          <w:b/>
          <w:bCs/>
          <w:spacing w:val="22"/>
          <w:rtl w:val="true"/>
        </w:rPr>
        <w:t xml:space="preserve">' </w:t>
      </w:r>
      <w:r>
        <w:rPr>
          <w:rFonts w:ascii="Arial" w:hAnsi="Arial" w:cs="Arial"/>
          <w:b/>
          <w:b/>
          <w:bCs/>
          <w:spacing w:val="22"/>
          <w:rtl w:val="true"/>
        </w:rPr>
        <w:t>השופט שמואל הרבסט</w:t>
      </w:r>
      <w:r>
        <w:rPr>
          <w:rFonts w:cs="Arial" w:ascii="Arial" w:hAnsi="Arial"/>
          <w:b/>
          <w:bCs/>
          <w:spacing w:val="22"/>
          <w:rtl w:val="true"/>
        </w:rPr>
        <w:t xml:space="preserve">) </w:t>
      </w:r>
      <w:r>
        <w:rPr>
          <w:rFonts w:ascii="Arial" w:hAnsi="Arial" w:cs="Arial"/>
          <w:b/>
          <w:b/>
          <w:bCs/>
          <w:spacing w:val="22"/>
          <w:rtl w:val="true"/>
        </w:rPr>
        <w:t xml:space="preserve">מיום </w:t>
      </w:r>
      <w:r>
        <w:rPr>
          <w:rFonts w:cs="Arial" w:ascii="Arial" w:hAnsi="Arial"/>
          <w:b/>
          <w:bCs/>
          <w:spacing w:val="22"/>
        </w:rPr>
        <w:t>7.9.17</w:t>
      </w:r>
      <w:r>
        <w:rPr>
          <w:rFonts w:cs="Arial" w:ascii="Arial" w:hAnsi="Arial"/>
          <w:b/>
          <w:bCs/>
          <w:spacing w:val="22"/>
          <w:rtl w:val="true"/>
        </w:rPr>
        <w:t xml:space="preserve"> </w:t>
      </w:r>
      <w:r>
        <w:rPr>
          <w:rFonts w:ascii="Arial" w:hAnsi="Arial" w:cs="Arial"/>
          <w:b/>
          <w:b/>
          <w:bCs/>
          <w:spacing w:val="22"/>
          <w:rtl w:val="true"/>
        </w:rPr>
        <w:t>ב</w:t>
      </w:r>
      <w:hyperlink r:id="rId2">
        <w:r>
          <w:rPr>
            <w:rStyle w:val="Hyperlink"/>
            <w:rFonts w:ascii="Arial" w:hAnsi="Arial" w:cs="Arial"/>
            <w:b/>
            <w:b/>
            <w:bCs/>
            <w:color w:val="0000FF"/>
            <w:spacing w:val="22"/>
            <w:u w:val="single"/>
            <w:rtl w:val="true"/>
          </w:rPr>
          <w:t>ת</w:t>
        </w:r>
        <w:r>
          <w:rPr>
            <w:rStyle w:val="Hyperlink"/>
            <w:rFonts w:cs="Arial" w:ascii="Arial" w:hAnsi="Arial"/>
            <w:b/>
            <w:bCs/>
            <w:color w:val="0000FF"/>
            <w:spacing w:val="22"/>
            <w:u w:val="single"/>
            <w:rtl w:val="true"/>
          </w:rPr>
          <w:t>"</w:t>
        </w:r>
        <w:r>
          <w:rPr>
            <w:rStyle w:val="Hyperlink"/>
            <w:rFonts w:ascii="Arial" w:hAnsi="Arial" w:cs="Arial"/>
            <w:b/>
            <w:b/>
            <w:bCs/>
            <w:color w:val="0000FF"/>
            <w:spacing w:val="22"/>
            <w:u w:val="single"/>
            <w:rtl w:val="true"/>
          </w:rPr>
          <w:t xml:space="preserve">פ </w:t>
        </w:r>
        <w:r>
          <w:rPr>
            <w:rStyle w:val="Hyperlink"/>
            <w:rFonts w:cs="Arial" w:ascii="Arial" w:hAnsi="Arial"/>
            <w:b/>
            <w:bCs/>
            <w:color w:val="0000FF"/>
            <w:spacing w:val="22"/>
            <w:u w:val="single"/>
          </w:rPr>
          <w:t>44314-05-16</w:t>
        </w:r>
      </w:hyperlink>
      <w:r>
        <w:rPr>
          <w:rFonts w:cs="Arial" w:ascii="Arial" w:hAnsi="Arial"/>
          <w:b/>
          <w:bCs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b/>
          <w:bCs/>
          <w:spacing w:val="22"/>
        </w:rPr>
      </w:pPr>
      <w:r>
        <w:rPr>
          <w:rFonts w:cs="Arial" w:ascii="Arial" w:hAnsi="Arial"/>
          <w:b/>
          <w:bCs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pacing w:val="22"/>
        </w:rPr>
      </w:pPr>
      <w:r>
        <w:rPr>
          <w:rFonts w:cs="Arial" w:ascii="Arial" w:hAnsi="Arial"/>
          <w:b/>
          <w:bCs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Miriam" w:hAnsi="Miriam" w:cs="Miriam"/>
          <w:b/>
          <w:bCs/>
          <w:spacing w:val="22"/>
        </w:rPr>
      </w:pPr>
      <w:r>
        <w:rPr>
          <w:rFonts w:ascii="Miriam" w:hAnsi="Miriam" w:cs="Miriam"/>
          <w:b/>
          <w:b/>
          <w:bCs/>
          <w:spacing w:val="22"/>
          <w:rtl w:val="true"/>
        </w:rPr>
        <w:t>כללי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</w:rPr>
        <w:t>1</w:t>
      </w:r>
      <w:r>
        <w:rPr>
          <w:rFonts w:cs="Arial" w:ascii="Arial" w:hAnsi="Arial"/>
          <w:spacing w:val="22"/>
          <w:rtl w:val="true"/>
        </w:rPr>
        <w:t>.</w:t>
        <w:tab/>
      </w:r>
      <w:bookmarkStart w:id="6" w:name="ABSTRACT_START"/>
      <w:bookmarkEnd w:id="6"/>
      <w:r>
        <w:rPr>
          <w:rFonts w:ascii="Arial" w:hAnsi="Arial" w:cs="Arial"/>
          <w:spacing w:val="22"/>
          <w:rtl w:val="true"/>
        </w:rPr>
        <w:t xml:space="preserve">המשיב הורשע בסחר בסם מסוכן </w:t>
      </w:r>
      <w:r>
        <w:rPr>
          <w:rFonts w:cs="Arial" w:ascii="Arial" w:hAnsi="Arial"/>
          <w:spacing w:val="22"/>
          <w:rtl w:val="true"/>
        </w:rPr>
        <w:t>(</w:t>
      </w:r>
      <w:r>
        <w:rPr>
          <w:rFonts w:cs="Arial" w:ascii="Arial" w:hAnsi="Arial"/>
          <w:spacing w:val="22"/>
        </w:rPr>
        <w:t>6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עבירות</w:t>
      </w:r>
      <w:r>
        <w:rPr>
          <w:rFonts w:cs="Arial" w:ascii="Arial" w:hAnsi="Arial"/>
          <w:spacing w:val="22"/>
          <w:rtl w:val="true"/>
        </w:rPr>
        <w:t xml:space="preserve">) </w:t>
      </w:r>
      <w:r>
        <w:rPr>
          <w:rFonts w:ascii="Arial" w:hAnsi="Arial" w:cs="Arial"/>
          <w:spacing w:val="22"/>
          <w:rtl w:val="true"/>
        </w:rPr>
        <w:t>ובהחזקת סם מסוכן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 xml:space="preserve">בגזר הדין בוטלה הרשעתו והוא נדון ל – </w:t>
      </w:r>
      <w:r>
        <w:rPr>
          <w:rFonts w:cs="Arial" w:ascii="Arial" w:hAnsi="Arial"/>
          <w:spacing w:val="22"/>
        </w:rPr>
        <w:t>420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שעות של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צ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 xml:space="preserve">צו מבחן למשך שנה והתחייבות עצמית בסך </w:t>
      </w:r>
      <w:r>
        <w:rPr>
          <w:rFonts w:cs="Arial" w:ascii="Arial" w:hAnsi="Arial"/>
          <w:spacing w:val="22"/>
        </w:rPr>
        <w:t>10,000</w:t>
      </w:r>
      <w:r>
        <w:rPr>
          <w:rFonts w:cs="Arial" w:ascii="Arial" w:hAnsi="Arial"/>
          <w:spacing w:val="22"/>
          <w:rtl w:val="true"/>
        </w:rPr>
        <w:t xml:space="preserve"> ₪ </w:t>
      </w:r>
      <w:r>
        <w:rPr>
          <w:rFonts w:ascii="Arial" w:hAnsi="Arial" w:cs="Arial"/>
          <w:spacing w:val="22"/>
          <w:rtl w:val="true"/>
        </w:rPr>
        <w:t>בגין כל עבירה על פקודת הסמים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הערעור מופנה כנגד אי ההרשעה וכנגד קולת העונש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  <w:bookmarkStart w:id="7" w:name="ABSTRACT_END"/>
      <w:bookmarkStart w:id="8" w:name="ABSTRACT_END"/>
      <w:bookmarkEnd w:id="8"/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</w:rPr>
        <w:t>2</w:t>
      </w:r>
      <w:r>
        <w:rPr>
          <w:rFonts w:cs="Arial" w:ascii="Arial" w:hAnsi="Arial"/>
          <w:spacing w:val="22"/>
          <w:rtl w:val="true"/>
        </w:rPr>
        <w:t>.</w:t>
        <w:tab/>
      </w:r>
      <w:r>
        <w:rPr>
          <w:rFonts w:ascii="Arial" w:hAnsi="Arial" w:cs="Arial"/>
          <w:spacing w:val="22"/>
          <w:rtl w:val="true"/>
        </w:rPr>
        <w:t>כתב האישום המתוקן כולל שבעה אישומים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 xml:space="preserve">המתארים שש עסקות סחר בסם מסוכן מסוג קנבוס שביצע המשיב בתקופה שבין יום </w:t>
      </w:r>
      <w:r>
        <w:rPr>
          <w:rFonts w:cs="Arial" w:ascii="Arial" w:hAnsi="Arial"/>
          <w:spacing w:val="22"/>
        </w:rPr>
        <w:t>22.2.16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 xml:space="preserve">ליום </w:t>
      </w:r>
      <w:r>
        <w:rPr>
          <w:rFonts w:cs="Arial" w:ascii="Arial" w:hAnsi="Arial"/>
          <w:spacing w:val="22"/>
        </w:rPr>
        <w:t>22.3.16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 xml:space="preserve">משקל הסם נע בין </w:t>
      </w:r>
      <w:r>
        <w:rPr>
          <w:rFonts w:cs="Arial" w:ascii="Arial" w:hAnsi="Arial"/>
          <w:spacing w:val="22"/>
        </w:rPr>
        <w:t>2</w:t>
      </w:r>
      <w:r>
        <w:rPr>
          <w:rFonts w:cs="Arial" w:ascii="Arial" w:hAnsi="Arial"/>
          <w:spacing w:val="22"/>
          <w:rtl w:val="true"/>
        </w:rPr>
        <w:t xml:space="preserve">  </w:t>
      </w:r>
      <w:r>
        <w:rPr>
          <w:rFonts w:ascii="Arial" w:hAnsi="Arial" w:cs="Arial"/>
          <w:spacing w:val="22"/>
          <w:rtl w:val="true"/>
        </w:rPr>
        <w:t xml:space="preserve">ל </w:t>
      </w:r>
      <w:r>
        <w:rPr>
          <w:rFonts w:cs="Arial" w:ascii="Arial" w:hAnsi="Arial"/>
          <w:spacing w:val="22"/>
          <w:rtl w:val="true"/>
        </w:rPr>
        <w:t xml:space="preserve">- </w:t>
      </w:r>
      <w:r>
        <w:rPr>
          <w:rFonts w:cs="Arial" w:ascii="Arial" w:hAnsi="Arial"/>
          <w:spacing w:val="22"/>
        </w:rPr>
        <w:t>10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 xml:space="preserve">גרם שנמכר ללקוחות שונים בתמורה הנעה בין </w:t>
      </w:r>
      <w:r>
        <w:rPr>
          <w:rFonts w:cs="Arial" w:ascii="Arial" w:hAnsi="Arial"/>
          <w:spacing w:val="22"/>
        </w:rPr>
        <w:t>200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ל</w:t>
      </w:r>
      <w:r>
        <w:rPr>
          <w:rFonts w:cs="Arial" w:ascii="Arial" w:hAnsi="Arial"/>
          <w:spacing w:val="22"/>
          <w:rtl w:val="true"/>
        </w:rPr>
        <w:t xml:space="preserve">- </w:t>
      </w:r>
      <w:r>
        <w:rPr>
          <w:rFonts w:cs="Arial" w:ascii="Arial" w:hAnsi="Arial"/>
          <w:spacing w:val="22"/>
        </w:rPr>
        <w:t>1,000</w:t>
      </w:r>
      <w:r>
        <w:rPr>
          <w:rFonts w:cs="Arial" w:ascii="Arial" w:hAnsi="Arial"/>
          <w:spacing w:val="22"/>
          <w:rtl w:val="true"/>
        </w:rPr>
        <w:t xml:space="preserve"> ₪. </w:t>
      </w:r>
      <w:r>
        <w:rPr>
          <w:rFonts w:ascii="Arial" w:hAnsi="Arial" w:cs="Arial"/>
          <w:spacing w:val="22"/>
          <w:rtl w:val="true"/>
        </w:rPr>
        <w:t xml:space="preserve">באישום אחד החזיק המשיב ב – </w:t>
      </w:r>
      <w:r>
        <w:rPr>
          <w:rFonts w:cs="Arial" w:ascii="Arial" w:hAnsi="Arial"/>
          <w:spacing w:val="22"/>
        </w:rPr>
        <w:t>1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גרם סם מסוג קנבוס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Fonts w:ascii="Miriam" w:hAnsi="Miriam" w:cs="Miriam"/>
          <w:b/>
          <w:b/>
          <w:bCs/>
          <w:spacing w:val="22"/>
          <w:rtl w:val="true"/>
        </w:rPr>
        <w:t>טענות</w:t>
      </w:r>
      <w:r>
        <w:rPr>
          <w:rFonts w:ascii="Miriam" w:hAnsi="Miriam" w:cs="Miriam"/>
          <w:b/>
          <w:b/>
          <w:bCs/>
          <w:spacing w:val="22"/>
          <w:rtl w:val="true"/>
        </w:rPr>
        <w:t xml:space="preserve"> </w:t>
      </w:r>
      <w:r>
        <w:rPr>
          <w:rFonts w:ascii="Miriam" w:hAnsi="Miriam" w:cs="Miriam"/>
          <w:b/>
          <w:b/>
          <w:bCs/>
          <w:spacing w:val="22"/>
          <w:rtl w:val="true"/>
        </w:rPr>
        <w:t>הצדדים</w:t>
      </w:r>
      <w:r>
        <w:rPr>
          <w:rFonts w:cs="Miriam" w:ascii="Miriam" w:hAnsi="Miriam"/>
          <w:b/>
          <w:bCs/>
          <w:spacing w:val="22"/>
          <w:rtl w:val="true"/>
        </w:rPr>
        <w:tab/>
      </w:r>
    </w:p>
    <w:p>
      <w:pPr>
        <w:pStyle w:val="Normal"/>
        <w:spacing w:lineRule="auto" w:line="360" w:before="0" w:after="12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</w:rPr>
        <w:t>3</w:t>
      </w:r>
      <w:r>
        <w:rPr>
          <w:rFonts w:cs="Arial" w:ascii="Arial" w:hAnsi="Arial"/>
          <w:spacing w:val="22"/>
          <w:rtl w:val="true"/>
        </w:rPr>
        <w:t>.</w:t>
        <w:tab/>
      </w:r>
      <w:r>
        <w:rPr>
          <w:rFonts w:ascii="Arial" w:hAnsi="Arial" w:cs="Arial"/>
          <w:spacing w:val="22"/>
          <w:rtl w:val="true"/>
        </w:rPr>
        <w:t>המערערת עותרת להרשעת המשיב והחמרה בעונשו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ב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 xml:space="preserve">כ המערערת טענה כי גזר הדין אינו עולה בקנה אחד עם עקרונות יסוד שנקבעו בפסיקה בסוגית ההימנעות מהרשעה ועם תיקון </w:t>
      </w:r>
      <w:r>
        <w:rPr>
          <w:rFonts w:cs="Arial" w:ascii="Arial" w:hAnsi="Arial"/>
          <w:spacing w:val="22"/>
        </w:rPr>
        <w:t>113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בעניין הבניית הענישה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לפי הלכת כתב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הימנעות מהרשעה אפשרית בהצטבר שני גורמים</w:t>
      </w:r>
      <w:r>
        <w:rPr>
          <w:rFonts w:cs="Arial" w:ascii="Arial" w:hAnsi="Arial"/>
          <w:spacing w:val="22"/>
          <w:rtl w:val="true"/>
        </w:rPr>
        <w:t xml:space="preserve">: </w:t>
      </w:r>
      <w:r>
        <w:rPr>
          <w:rFonts w:ascii="Arial" w:hAnsi="Arial" w:cs="Arial"/>
          <w:spacing w:val="22"/>
          <w:rtl w:val="true"/>
        </w:rPr>
        <w:t>על ההרשעה לפגוע פגיעה חמורה בשיקום הנאשם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וסוג העבירה מאפשר לוותר בנסיבות המקרה על ההרשעה מבלי לפגוע באופן מהותי בשיקולי הענישה האחרים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עבירות הסמים הינן עבירות בעלות חומרה רבה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לגביהן נקבע בפסיקה כי יש להילחם בה</w:t>
      </w:r>
      <w:r>
        <w:rPr>
          <w:rFonts w:ascii="Arial" w:hAnsi="Arial" w:cs="Arial"/>
          <w:spacing w:val="22"/>
          <w:rtl w:val="true"/>
        </w:rPr>
        <w:t>ן</w:t>
      </w:r>
      <w:r>
        <w:rPr>
          <w:rFonts w:ascii="Arial" w:hAnsi="Arial" w:cs="Arial"/>
          <w:spacing w:val="22"/>
          <w:rtl w:val="true"/>
        </w:rPr>
        <w:t xml:space="preserve"> מלחמת חורמה ולפגוע בכל חוליה מחוליות שרשרת הסם עד למיגורה הסופי של התופעה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עניינו של המשיב אינו שונה מעניינים של נאשמים אחרים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נעדרי עבר פלילי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אשר הורשעו בעבירת סחר בסמים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לא הוכחה פגיעה חמורה ויוצאת דופן בו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ואין מדובר בנסיבות מיוחדות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חריגות ויוצאות דופן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המצדיקות את הסטייה מהכלל בדבר הרשעה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המשיב שוחרר מצה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ל עוד בטרם הוכרע דינו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וזאת בנימוק אי התאמה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גם אם הוא ירצה לנסות להתגייס לצה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ל כיום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אין בכך כדי להצדיק את אי הרשעתו ולא ניתן לומר כי הרשעה פוסלת מיידית מועמד מלשרת בצה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ל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עוד נטען כי גזר הדין סוטה לקולה באופן משמעותי ובלתי מידתי ממתחם הענישה ההולם לעבירות דנן בנימוק של שיקולי שיקום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 xml:space="preserve">בית משפט קמא קבע כי מתחם הענישה נע </w:t>
      </w:r>
      <w:r>
        <w:rPr>
          <w:rFonts w:ascii="Arial" w:hAnsi="Arial" w:cs="Arial"/>
          <w:spacing w:val="22"/>
          <w:rtl w:val="true"/>
        </w:rPr>
        <w:t>בין</w:t>
      </w:r>
      <w:r>
        <w:rPr>
          <w:rFonts w:ascii="Arial" w:hAnsi="Arial" w:cs="Arial"/>
          <w:spacing w:val="22"/>
          <w:rtl w:val="true"/>
        </w:rPr>
        <w:t xml:space="preserve"> </w:t>
      </w:r>
      <w:r>
        <w:rPr>
          <w:rFonts w:cs="Arial" w:ascii="Arial" w:hAnsi="Arial"/>
          <w:spacing w:val="22"/>
        </w:rPr>
        <w:t>8</w:t>
      </w:r>
      <w:r>
        <w:rPr>
          <w:rFonts w:cs="Arial" w:ascii="Arial" w:hAnsi="Arial"/>
          <w:spacing w:val="22"/>
        </w:rPr>
        <w:t>-10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>חודשים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אך הטיל על המשיב של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צ והתחייבות בלבד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נטען כי שיקול השיקום אינו עומד לבדו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ועל כן גם חריגה ממתחם הענישה צריכה להיעשות בצורה מידתית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במקרה דנן יש לתת משקל הולם לנסיבות המחמירות שבביצוע העבירות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המתבטאות במספר הפעמים בהן עבר המשיב את העבירות ובזהות האנשים להם מכר את הסמים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המלמדות גם כי אין מדובר במשיב שמעד מעידה אחת וחד פעמית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עוד טענה המערערת כי עונש המבוסס על של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 xml:space="preserve">צ אינו הולם את העבירה בה הורשע </w:t>
      </w:r>
      <w:r>
        <w:rPr>
          <w:rFonts w:ascii="Arial" w:hAnsi="Arial" w:cs="Arial"/>
          <w:spacing w:val="22"/>
          <w:rtl w:val="true"/>
        </w:rPr>
        <w:t xml:space="preserve">המשיב </w:t>
      </w:r>
      <w:r>
        <w:rPr>
          <w:rFonts w:ascii="Arial" w:hAnsi="Arial" w:cs="Arial"/>
          <w:spacing w:val="22"/>
          <w:rtl w:val="true"/>
        </w:rPr>
        <w:t>ואת נסיבותיה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אינו מידתי ואין בו כדי להרתיע את המשיב ואת כלל הציבור מעבירות סמים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ובכך הוא פוגע באופן ניכר בשיקולי הענישה האחרים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עוד באה הפניה לפסיקה התומכת בעמדת המערערת לפיה העונש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בנסיבות מקרה זה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הכולל אי הרשעה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אינו מידתי ואינו מרתיע ואין בו התחשבות בשיקולי ענישה למעט בשיקולי השיקום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על כן יש להרשיע את הנאשם ולגזור עונש הולם המתחשב בהליך השיקום שאינו יוצא דופן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 w:before="0" w:after="12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  <w:tab/>
      </w:r>
      <w:r>
        <w:rPr>
          <w:rFonts w:ascii="Arial" w:hAnsi="Arial" w:cs="Arial"/>
          <w:spacing w:val="22"/>
          <w:rtl w:val="true"/>
        </w:rPr>
        <w:t>ב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כ המשיב טען כי אין מקום להתערב בהחלטתו המנומקת של בית משפט קמא שנסמכה על המלצת גורמי השיקום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ההליכים נמשכו על פני שנתיים לאור הליכי הטיפול והשיקום המביאים בחשבון את כלל הנסיבות האישיות והמיוחדות והשיקול האינדבידואלי גובר על השיקול הציבורי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המשיב היה בעת ביצוע העבירות על גבול הקטינות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המשיב עזב את המסגרת החרדית ומשפחתו התנתקה ממנו בשלב מסוים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המשיב עובד למחייתו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בשעתו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הוחלט שלא לגייסו לצה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ל והמשיב מבקש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למרות זאת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להתגייס והרשעה תסכל זאת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וכן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מדובר בסמים קלים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למשיב אין הרשעות קודמות וכלל הנסיבות מובילות לכך שיש להותיר את ההחלטה על כנה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גילו ורצונו של המשיב להתגייס מובילים להעדפת שיקולי השיקום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די באלה לדחות את הערעור בכל מקרה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כאשר מדובר באדם צעיר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קשה להצביע על פגיעה ממשית אך יש בהרשעה כדי  לפגוע בעתידו ובאפשרויות התעסוקה העומדות לו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ובאה הפניה להחלטות אשר יש בהן לתמוך בעמדת המשיב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מדובר במעשים ברף הנמוך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הסם נמכר לחברים שרצו לרכוש סם ללא הפקת רווח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מעשים שנמשכו על פני חודש וחצי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מדובר בשיקום יוצא דופן ומוצלח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b/>
          <w:bCs/>
          <w:spacing w:val="22"/>
        </w:rPr>
      </w:pPr>
      <w:r>
        <w:rPr>
          <w:rFonts w:cs="Arial" w:ascii="Arial" w:hAnsi="Arial"/>
          <w:b/>
          <w:bCs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b/>
          <w:bCs/>
          <w:spacing w:val="22"/>
        </w:rPr>
      </w:pPr>
      <w:r>
        <w:rPr>
          <w:rFonts w:ascii="Arial" w:hAnsi="Arial" w:cs="Arial"/>
          <w:b/>
          <w:b/>
          <w:bCs/>
          <w:spacing w:val="22"/>
          <w:rtl w:val="true"/>
        </w:rPr>
        <w:t>תסקיר שירות המבחן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Arial" w:ascii="Arial" w:hAnsi="Arial"/>
          <w:spacing w:val="22"/>
        </w:rPr>
        <w:t>4</w:t>
      </w:r>
      <w:r>
        <w:rPr>
          <w:rFonts w:cs="Arial" w:ascii="Arial" w:hAnsi="Arial"/>
          <w:spacing w:val="22"/>
          <w:rtl w:val="true"/>
        </w:rPr>
        <w:t>.</w:t>
        <w:tab/>
      </w:r>
      <w:r>
        <w:rPr>
          <w:rFonts w:ascii="Arial" w:hAnsi="Arial" w:cs="Arial"/>
          <w:spacing w:val="22"/>
          <w:rtl w:val="true"/>
        </w:rPr>
        <w:t>מתסקיר שירות המבחן שנערך בעניינו של המשיב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 xml:space="preserve">יליד </w:t>
      </w:r>
      <w:r>
        <w:rPr>
          <w:rFonts w:cs="Arial" w:ascii="Arial" w:hAnsi="Arial"/>
          <w:spacing w:val="22"/>
        </w:rPr>
        <w:t>1996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עולה כי הינו רווק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ללא עבר פלילי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עד למעצרו בתיק זה עבד בעבודות מזדמנות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שירות המבחן העריך כי ביצע את העבירות בתקופה משברית על רקע של היעדר מסגרת ותמיכה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המשיב השתתף בהליך טיפולי ושיקומי במשך כשנה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ממנו נתרם וקודם ובמהלכו קיבל אחריות מלאה לביצוע העבירות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זיהה את המניעים לביצוע העבירות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הביע חרטה והפסיק לצרוך סמים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הומלץ לבטל את הרשעתו ולהעדיף דרכי שיקום בעניינו</w:t>
      </w:r>
      <w:r>
        <w:rPr>
          <w:rFonts w:cs="Arial" w:ascii="Arial" w:hAnsi="Arial"/>
          <w:spacing w:val="22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rFonts w:ascii="Miriam" w:hAnsi="Miriam" w:cs="Miriam"/>
          <w:b/>
          <w:bCs/>
          <w:spacing w:val="22"/>
        </w:rPr>
      </w:pPr>
      <w:r>
        <w:rPr>
          <w:rFonts w:cs="Miriam" w:ascii="Miriam" w:hAnsi="Miriam"/>
          <w:b/>
          <w:bCs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Miriam" w:hAnsi="Miriam" w:cs="Miriam"/>
          <w:b/>
          <w:bCs/>
          <w:spacing w:val="22"/>
        </w:rPr>
      </w:pPr>
      <w:r>
        <w:rPr>
          <w:rFonts w:ascii="Miriam" w:hAnsi="Miriam" w:cs="Miriam"/>
          <w:b/>
          <w:b/>
          <w:bCs/>
          <w:spacing w:val="22"/>
          <w:rtl w:val="true"/>
        </w:rPr>
        <w:t>דיון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</w:rPr>
        <w:t>5</w:t>
      </w:r>
      <w:r>
        <w:rPr>
          <w:rFonts w:cs="Arial" w:ascii="Arial" w:hAnsi="Arial"/>
          <w:spacing w:val="22"/>
          <w:rtl w:val="true"/>
        </w:rPr>
        <w:t>.</w:t>
        <w:tab/>
      </w:r>
      <w:r>
        <w:rPr>
          <w:rFonts w:ascii="Arial" w:hAnsi="Arial" w:cs="Arial"/>
          <w:spacing w:val="22"/>
          <w:rtl w:val="true"/>
        </w:rPr>
        <w:t>אכן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מדובר בעבירות סחר בסם מסוכן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עם זאת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מדובר בעבירות שנעשו על פני פרק זמן קצר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בסמים קלים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ברגיל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בהעדר נסיבות מיוחדות או חריגות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וחרף שמדובר בבחור צעיר ללא הרשעות קודמות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לא היה מקום להימנע מהרשעה</w:t>
      </w:r>
      <w:r>
        <w:rPr>
          <w:rFonts w:cs="Arial" w:ascii="Arial" w:hAnsi="Arial"/>
          <w:spacing w:val="22"/>
          <w:rtl w:val="true"/>
        </w:rPr>
        <w:t xml:space="preserve">. </w:t>
      </w:r>
      <w:r>
        <w:rPr>
          <w:rFonts w:ascii="Arial" w:hAnsi="Arial" w:cs="Arial"/>
          <w:spacing w:val="22"/>
          <w:rtl w:val="true"/>
        </w:rPr>
        <w:t>יחד עם זאת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ובעיקר לאור הליך השיקום הארוך והמוצלח אותו עבר המשיב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הליך אותו ליווה בית משפט קמא באורח צמוד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ביצוע העבירות על רקע משברי ונראה כי מדובר באירוע חולף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שקלול כלל הנתונים מוליך למסקנה כי לא מצאנו שנפלה טעות בהחלטתו של בית משפט קמא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  <w:tab/>
      </w:r>
      <w:r>
        <w:rPr>
          <w:rFonts w:ascii="Arial" w:hAnsi="Arial" w:cs="Arial"/>
          <w:spacing w:val="22"/>
          <w:rtl w:val="true"/>
        </w:rPr>
        <w:t>על כן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הערעור נדחה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" w:hAnsi="Arial" w:cs="Arial"/>
          <w:spacing w:val="22"/>
        </w:rPr>
      </w:pPr>
      <w:r>
        <w:rPr>
          <w:rFonts w:ascii="Arial" w:hAnsi="Arial" w:cs="Arial"/>
          <w:spacing w:val="22"/>
          <w:rtl w:val="true"/>
        </w:rPr>
        <w:t>ניתן היום</w:t>
      </w:r>
      <w:r>
        <w:rPr>
          <w:rFonts w:cs="Arial" w:ascii="Arial" w:hAnsi="Arial"/>
          <w:spacing w:val="22"/>
          <w:rtl w:val="true"/>
        </w:rPr>
        <w:t xml:space="preserve">,  </w:t>
      </w:r>
      <w:r>
        <w:rPr>
          <w:rFonts w:ascii="Arial" w:hAnsi="Arial" w:cs="Arial"/>
          <w:spacing w:val="22"/>
          <w:rtl w:val="true"/>
        </w:rPr>
        <w:t>ד</w:t>
      </w:r>
      <w:r>
        <w:rPr>
          <w:rFonts w:cs="Arial" w:ascii="Arial" w:hAnsi="Arial"/>
          <w:spacing w:val="22"/>
          <w:rtl w:val="true"/>
        </w:rPr>
        <w:t xml:space="preserve">' </w:t>
      </w:r>
      <w:r>
        <w:rPr>
          <w:rFonts w:ascii="Arial" w:hAnsi="Arial" w:cs="Arial"/>
          <w:spacing w:val="22"/>
          <w:rtl w:val="true"/>
        </w:rPr>
        <w:t>ניסן תשע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ח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cs="Arial" w:ascii="Arial" w:hAnsi="Arial"/>
          <w:spacing w:val="22"/>
        </w:rPr>
        <w:t>20</w:t>
      </w:r>
      <w:r>
        <w:rPr>
          <w:rFonts w:cs="Arial" w:ascii="Arial" w:hAnsi="Arial"/>
          <w:spacing w:val="22"/>
          <w:rtl w:val="true"/>
        </w:rPr>
        <w:t xml:space="preserve"> </w:t>
      </w:r>
      <w:r>
        <w:rPr>
          <w:rFonts w:ascii="Arial" w:hAnsi="Arial" w:cs="Arial"/>
          <w:spacing w:val="22"/>
          <w:rtl w:val="true"/>
        </w:rPr>
        <w:t xml:space="preserve">מרץ </w:t>
      </w:r>
      <w:r>
        <w:rPr>
          <w:rFonts w:cs="Arial" w:ascii="Arial" w:hAnsi="Arial"/>
          <w:spacing w:val="22"/>
        </w:rPr>
        <w:t>2018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במעמד ב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>כ המערערת</w:t>
      </w:r>
      <w:r>
        <w:rPr>
          <w:rFonts w:cs="Arial" w:ascii="Arial" w:hAnsi="Arial"/>
          <w:spacing w:val="22"/>
          <w:rtl w:val="true"/>
        </w:rPr>
        <w:t xml:space="preserve">, </w:t>
      </w:r>
      <w:r>
        <w:rPr>
          <w:rFonts w:ascii="Arial" w:hAnsi="Arial" w:cs="Arial"/>
          <w:spacing w:val="22"/>
          <w:rtl w:val="true"/>
        </w:rPr>
        <w:t>ב</w:t>
      </w:r>
      <w:r>
        <w:rPr>
          <w:rFonts w:cs="Arial" w:ascii="Arial" w:hAnsi="Arial"/>
          <w:spacing w:val="22"/>
          <w:rtl w:val="true"/>
        </w:rPr>
        <w:t>"</w:t>
      </w:r>
      <w:r>
        <w:rPr>
          <w:rFonts w:ascii="Arial" w:hAnsi="Arial" w:cs="Arial"/>
          <w:spacing w:val="22"/>
          <w:rtl w:val="true"/>
        </w:rPr>
        <w:t xml:space="preserve">כ </w:t>
      </w:r>
      <w:r>
        <w:rPr>
          <w:rFonts w:ascii="Arial" w:hAnsi="Arial" w:cs="Arial"/>
          <w:spacing w:val="22"/>
          <w:rtl w:val="true"/>
        </w:rPr>
        <w:t>המשיב והמשיב בעצמו</w:t>
      </w:r>
      <w:r>
        <w:rPr>
          <w:rFonts w:cs="Arial" w:ascii="Arial" w:hAnsi="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  <w:tab/>
        <w:tab/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spacing w:val="22"/>
        </w:rPr>
      </w:pPr>
      <w:r>
        <w:rPr>
          <w:rFonts w:cs="Arial" w:ascii="Arial" w:hAnsi="Arial"/>
          <w:spacing w:val="22"/>
          <w:rtl w:val="true"/>
        </w:rPr>
      </w:r>
    </w:p>
    <w:tbl>
      <w:tblPr>
        <w:bidiVisual w:val="true"/>
        <w:tblW w:w="769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54"/>
        <w:gridCol w:w="239"/>
        <w:gridCol w:w="2281"/>
        <w:gridCol w:w="239"/>
        <w:gridCol w:w="2281"/>
      </w:tblGrid>
      <w:tr>
        <w:trPr/>
        <w:tc>
          <w:tcPr>
            <w:tcW w:w="26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pacing w:val="22"/>
              </w:rPr>
            </w:pPr>
            <w:r>
              <w:rPr>
                <w:rFonts w:cs="Courier New" w:ascii="Courier New" w:hAnsi="Courier New"/>
                <w:b/>
                <w:bCs/>
                <w:spacing w:val="22"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pacing w:val="22"/>
              </w:rPr>
            </w:pPr>
            <w:r>
              <w:rPr>
                <w:rFonts w:cs="Courier New" w:ascii="Courier New" w:hAnsi="Courier New"/>
                <w:b/>
                <w:bCs/>
                <w:spacing w:val="22"/>
                <w:rtl w:val="true"/>
              </w:rPr>
            </w:r>
          </w:p>
        </w:tc>
        <w:tc>
          <w:tcPr>
            <w:tcW w:w="228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pacing w:val="22"/>
              </w:rPr>
            </w:pPr>
            <w:r>
              <w:rPr>
                <w:rFonts w:cs="Courier New" w:ascii="Courier New" w:hAnsi="Courier New"/>
                <w:b/>
                <w:bCs/>
                <w:spacing w:val="22"/>
                <w:rtl w:val="true"/>
              </w:rPr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pacing w:val="22"/>
              </w:rPr>
            </w:pPr>
            <w:r>
              <w:rPr>
                <w:rFonts w:cs="Courier New" w:ascii="Courier New" w:hAnsi="Courier New"/>
                <w:b/>
                <w:bCs/>
                <w:spacing w:val="22"/>
                <w:rtl w:val="true"/>
              </w:rPr>
            </w:r>
          </w:p>
        </w:tc>
        <w:tc>
          <w:tcPr>
            <w:tcW w:w="228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cs="Courier New"/>
                <w:b/>
                <w:bCs/>
                <w:spacing w:val="22"/>
              </w:rPr>
            </w:pPr>
            <w:r>
              <w:rPr>
                <w:rFonts w:cs="Courier New" w:ascii="Courier New" w:hAnsi="Courier New"/>
                <w:b/>
                <w:bCs/>
                <w:spacing w:val="22"/>
                <w:rtl w:val="true"/>
              </w:rPr>
            </w:r>
          </w:p>
        </w:tc>
      </w:tr>
      <w:tr>
        <w:trPr/>
        <w:tc>
          <w:tcPr>
            <w:tcW w:w="2654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120"/>
              <w:ind w:end="0"/>
              <w:jc w:val="center"/>
              <w:rPr>
                <w:b/>
                <w:bCs/>
                <w:spacing w:val="22"/>
                <w:sz w:val="28"/>
                <w:lang w:val="en-IL" w:eastAsia="en-IL"/>
              </w:rPr>
            </w:pPr>
            <w:r>
              <w:rPr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>רפי</w:t>
            </w:r>
            <w:r>
              <w:rPr>
                <w:rFonts w:cs="Times New Roman"/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 xml:space="preserve">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>כרמל</w:t>
            </w:r>
            <w:r>
              <w:rPr>
                <w:b/>
                <w:bCs/>
                <w:spacing w:val="22"/>
                <w:sz w:val="28"/>
                <w:rtl w:val="true"/>
                <w:lang w:val="en-IL" w:eastAsia="en-IL"/>
              </w:rPr>
              <w:t xml:space="preserve">,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>שופט</w:t>
            </w:r>
          </w:p>
          <w:p>
            <w:pPr>
              <w:pStyle w:val="Normal"/>
              <w:spacing w:before="120" w:after="120"/>
              <w:ind w:end="0"/>
              <w:jc w:val="center"/>
              <w:rPr>
                <w:b/>
                <w:bCs/>
                <w:spacing w:val="22"/>
                <w:sz w:val="28"/>
                <w:lang w:val="en-IL" w:eastAsia="en-IL"/>
              </w:rPr>
            </w:pPr>
            <w:r>
              <w:rPr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>אב</w:t>
            </w:r>
            <w:r>
              <w:rPr>
                <w:b/>
                <w:bCs/>
                <w:spacing w:val="22"/>
                <w:sz w:val="28"/>
                <w:rtl w:val="true"/>
                <w:lang w:val="en-IL" w:eastAsia="en-IL"/>
              </w:rPr>
              <w:t>"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  <w:lang w:val="en-IL" w:eastAsia="en-IL"/>
              </w:rPr>
              <w:t>ד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before="120" w:after="120"/>
              <w:ind w:end="0"/>
              <w:jc w:val="center"/>
              <w:rPr>
                <w:b/>
                <w:bCs/>
                <w:color w:val="FF0000"/>
                <w:spacing w:val="22"/>
                <w:sz w:val="28"/>
                <w:lang w:val="en-IL" w:eastAsia="en-IL"/>
              </w:rPr>
            </w:pPr>
            <w:r>
              <w:rPr>
                <w:b/>
                <w:bCs/>
                <w:color w:val="FF0000"/>
                <w:spacing w:val="22"/>
                <w:sz w:val="28"/>
                <w:rtl w:val="true"/>
                <w:lang w:val="en-IL" w:eastAsia="en-IL"/>
              </w:rPr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>
            <w:pPr>
              <w:pStyle w:val="Normal"/>
              <w:spacing w:before="120" w:after="120"/>
              <w:ind w:end="0"/>
              <w:jc w:val="center"/>
              <w:rPr>
                <w:b/>
                <w:bCs/>
                <w:spacing w:val="22"/>
                <w:sz w:val="28"/>
              </w:rPr>
            </w:pP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כרמי</w:t>
            </w:r>
            <w:r>
              <w:rPr>
                <w:rFonts w:cs="Times New Roman"/>
                <w:b/>
                <w:b/>
                <w:bCs/>
                <w:spacing w:val="22"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מוסק</w:t>
            </w:r>
            <w:r>
              <w:rPr>
                <w:b/>
                <w:bCs/>
                <w:spacing w:val="22"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שופט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spacing w:before="120" w:after="120"/>
              <w:ind w:end="0"/>
              <w:jc w:val="center"/>
              <w:rPr>
                <w:b/>
                <w:bCs/>
                <w:color w:val="FF0000"/>
                <w:spacing w:val="22"/>
                <w:sz w:val="28"/>
                <w:lang w:val="en-IL" w:eastAsia="en-IL"/>
              </w:rPr>
            </w:pPr>
            <w:r>
              <w:rPr>
                <w:b/>
                <w:bCs/>
                <w:color w:val="FF0000"/>
                <w:spacing w:val="22"/>
                <w:sz w:val="28"/>
                <w:rtl w:val="true"/>
                <w:lang w:val="en-IL" w:eastAsia="en-IL"/>
              </w:rPr>
            </w:r>
          </w:p>
        </w:tc>
        <w:tc>
          <w:tcPr>
            <w:tcW w:w="2281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1039" w:leader="none"/>
              </w:tabs>
              <w:spacing w:before="120" w:after="120"/>
              <w:ind w:end="0"/>
              <w:jc w:val="start"/>
              <w:rPr>
                <w:b/>
                <w:bCs/>
                <w:spacing w:val="22"/>
                <w:lang w:val="en-IL" w:eastAsia="en-IL"/>
              </w:rPr>
            </w:pPr>
            <w:r>
              <w:rPr>
                <w:b/>
                <w:bCs/>
                <w:spacing w:val="22"/>
                <w:rtl w:val="true"/>
              </w:rPr>
              <w:tab/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שירלי</w:t>
            </w:r>
            <w:r>
              <w:rPr>
                <w:rFonts w:cs="Times New Roman"/>
                <w:b/>
                <w:b/>
                <w:bCs/>
                <w:spacing w:val="22"/>
                <w:sz w:val="28"/>
                <w:sz w:val="28"/>
                <w:rtl w:val="true"/>
              </w:rPr>
              <w:t xml:space="preserve">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רנר</w:t>
            </w:r>
            <w:r>
              <w:rPr>
                <w:b/>
                <w:bCs/>
                <w:spacing w:val="22"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pacing w:val="22"/>
                <w:sz w:val="28"/>
                <w:sz w:val="28"/>
                <w:rtl w:val="true"/>
              </w:rPr>
              <w:t>שופטת</w:t>
            </w:r>
          </w:p>
          <w:p>
            <w:pPr>
              <w:pStyle w:val="Normal"/>
              <w:tabs>
                <w:tab w:val="clear" w:pos="720"/>
                <w:tab w:val="center" w:pos="1039" w:leader="none"/>
              </w:tabs>
              <w:spacing w:before="120" w:after="120"/>
              <w:ind w:end="0"/>
              <w:jc w:val="start"/>
              <w:rPr>
                <w:b/>
                <w:bCs/>
                <w:spacing w:val="22"/>
                <w:lang w:val="en-IL" w:eastAsia="en-IL"/>
              </w:rPr>
            </w:pPr>
            <w:r>
              <w:rPr>
                <w:b/>
                <w:bCs/>
                <w:spacing w:val="22"/>
                <w:rtl w:val="true"/>
                <w:lang w:val="en-IL" w:eastAsia="en-IL"/>
              </w:rPr>
            </w:r>
          </w:p>
        </w:tc>
      </w:tr>
    </w:tbl>
    <w:p>
      <w:pPr>
        <w:pStyle w:val="Normal"/>
        <w:ind w:end="0"/>
        <w:jc w:val="start"/>
        <w:rPr>
          <w:color w:val="FFFFFF"/>
          <w:spacing w:val="22"/>
          <w:sz w:val="2"/>
          <w:szCs w:val="2"/>
        </w:rPr>
      </w:pPr>
      <w:r>
        <w:rPr>
          <w:color w:val="FFFFFF"/>
          <w:spacing w:val="22"/>
          <w:sz w:val="2"/>
          <w:szCs w:val="2"/>
        </w:rPr>
        <w:t>5129371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pacing w:val="22"/>
          <w:sz w:val="2"/>
          <w:szCs w:val="2"/>
        </w:rPr>
      </w:pPr>
      <w:r>
        <w:rPr>
          <w:rFonts w:cs="Arial" w:ascii="Arial" w:hAnsi="Arial"/>
          <w:color w:val="FFFFFF"/>
          <w:spacing w:val="22"/>
          <w:sz w:val="2"/>
          <w:szCs w:val="2"/>
        </w:rPr>
        <w:t>54678313</w:t>
      </w:r>
      <w:r>
        <w:rPr>
          <w:rFonts w:cs="Arial" w:ascii="Arial" w:hAnsi="Arial"/>
          <w:color w:val="FFFFFF"/>
          <w:spacing w:val="22"/>
          <w:sz w:val="2"/>
          <w:szCs w:val="2"/>
          <w:rtl w:val="true"/>
        </w:rPr>
        <w:tab/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color w:val="FFFFFF"/>
          <w:spacing w:val="22"/>
          <w:sz w:val="2"/>
          <w:szCs w:val="2"/>
        </w:rPr>
      </w:pPr>
      <w:r>
        <w:rPr>
          <w:rFonts w:cs="Arial" w:ascii="Arial" w:hAnsi="Arial"/>
          <w:color w:val="FFFFFF"/>
          <w:spacing w:val="22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FFFFFF"/>
          <w:sz w:val="2"/>
          <w:szCs w:val="2"/>
        </w:rPr>
      </w:pPr>
      <w:r>
        <w:rPr>
          <w:rFonts w:cs="David" w:ascii="David" w:hAnsi="David"/>
          <w:color w:val="FFFFFF"/>
          <w:sz w:val="2"/>
          <w:szCs w:val="2"/>
        </w:rPr>
        <w:t>54678313</w:t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  <w:r>
        <w:rPr>
          <w:rFonts w:cs="Times New Roman"/>
          <w:color w:val="0000FF"/>
          <w:u w:val="single"/>
          <w:rtl w:val="true"/>
        </w:rPr>
        <w:t xml:space="preserve"> </w:t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  <w:u w:val="single"/>
        </w:rPr>
      </w:pPr>
      <w:r>
        <w:rPr>
          <w:rFonts w:cs="David" w:ascii="David" w:hAnsi="David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רפי כרמל </w:t>
      </w:r>
      <w:r>
        <w:rPr>
          <w:rFonts w:cs="David" w:ascii="David" w:hAnsi="David"/>
          <w:color w:val="000000"/>
          <w:sz w:val="22"/>
          <w:szCs w:val="22"/>
        </w:rPr>
        <w:t>54678313</w:t>
      </w:r>
      <w:r>
        <w:rPr>
          <w:rFonts w:cs="David" w:ascii="David" w:hAnsi="David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4"/>
      <w:footerReference w:type="default" r:id="rId5"/>
      <w:type w:val="nextPage"/>
      <w:pgSz w:w="11906" w:h="16838"/>
      <w:pgMar w:left="1701" w:right="1701" w:gutter="0" w:header="720" w:top="1701" w:footer="737" w:bottom="1134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Arial (W1)">
    <w:altName w:val="Arial"/>
    <w:charset w:val="00" w:characterSet="windows-1252"/>
    <w:family w:val="swiss"/>
    <w:pitch w:val="variable"/>
  </w:font>
  <w:font w:name="Miriam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" w:hAnsi="FrankRuehl" w:cs="FrankRuehl"/>
      </w:rPr>
    </w:pPr>
    <w:r>
      <w:rPr>
        <w:rStyle w:val="PageNumber"/>
        <w:rFonts w:cs="FrankRuehl" w:ascii="FrankRuehl" w:hAnsi="FrankRuehl"/>
        <w:rtl w:val="true"/>
      </w:rPr>
      <w:fldChar w:fldCharType="begin"/>
    </w:r>
    <w:r>
      <w:rPr>
        <w:rtl w:val="true"/>
        <w:rStyle w:val="PageNumber"/>
        <w:rFonts w:cs="FrankRuehl" w:ascii="FrankRuehl" w:hAnsi="FrankRuehl"/>
      </w:rPr>
      <w:instrText xml:space="preserve"> PAGE </w:instrText>
    </w:r>
    <w:r>
      <w:rPr>
        <w:rtl w:val="true"/>
        <w:rStyle w:val="PageNumber"/>
        <w:rFonts w:cs="FrankRuehl" w:ascii="FrankRuehl" w:hAnsi="FrankRuehl"/>
      </w:rPr>
      <w:fldChar w:fldCharType="separate"/>
    </w:r>
    <w:r>
      <w:rPr>
        <w:rtl w:val="true"/>
        <w:rStyle w:val="PageNumber"/>
        <w:rFonts w:cs="FrankRuehl" w:ascii="FrankRuehl" w:hAnsi="FrankRuehl"/>
      </w:rPr>
      <w:t>4</w:t>
    </w:r>
    <w:r>
      <w:rPr>
        <w:rtl w:val="true"/>
        <w:rStyle w:val="PageNumber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י</w:t>
    </w:r>
    <w:r>
      <w:rPr>
        <w:rFonts w:cs="David" w:ascii="David" w:hAnsi="David"/>
        <w:color w:val="000000"/>
        <w:sz w:val="22"/>
        <w:szCs w:val="22"/>
        <w:rtl w:val="true"/>
      </w:rPr>
      <w:t>-</w:t>
    </w:r>
    <w:r>
      <w:rPr>
        <w:rFonts w:ascii="David" w:hAnsi="David"/>
        <w:color w:val="000000"/>
        <w:sz w:val="22"/>
        <w:sz w:val="22"/>
        <w:szCs w:val="22"/>
        <w:rtl w:val="true"/>
      </w:rPr>
      <w:t>ם</w:t>
    </w:r>
    <w:r>
      <w:rPr>
        <w:rFonts w:cs="David" w:ascii="David" w:hAnsi="David"/>
        <w:color w:val="000000"/>
        <w:sz w:val="22"/>
        <w:szCs w:val="22"/>
        <w:rtl w:val="true"/>
      </w:rPr>
      <w:t xml:space="preserve">) </w:t>
    </w:r>
    <w:r>
      <w:rPr>
        <w:rFonts w:cs="David" w:ascii="David" w:hAnsi="David"/>
        <w:color w:val="000000"/>
        <w:sz w:val="22"/>
        <w:szCs w:val="22"/>
      </w:rPr>
      <w:t>33947-10-17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שלמה קרוקוצקי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CharChar1">
    <w:name w:val=" Char Char1"/>
    <w:qFormat/>
    <w:rPr>
      <w:rFonts w:ascii="Times New Roman" w:hAnsi="Times New Roman" w:eastAsia="Times New Roman" w:cs="David"/>
      <w:sz w:val="24"/>
      <w:szCs w:val="24"/>
    </w:rPr>
  </w:style>
  <w:style w:type="character" w:styleId="CharChar">
    <w:name w:val=" Char Char"/>
    <w:qFormat/>
    <w:rPr>
      <w:rFonts w:ascii="Times New Roman" w:hAnsi="Times New Roman" w:eastAsia="Times New Roman" w:cs="David"/>
      <w:sz w:val="24"/>
      <w:szCs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1958374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2018-10-07T13:48:00Z</dcterms:created>
  <dc:creator> </dc:creator>
  <dc:description/>
  <cp:keywords/>
  <dc:language>en-IL</dc:language>
  <cp:lastModifiedBy>run</cp:lastModifiedBy>
  <dcterms:modified xsi:type="dcterms:W3CDTF">2018-10-07T13:48:00Z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שלמה קרוקוצקי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21958374</vt:lpwstr>
  </property>
  <property fmtid="{D5CDD505-2E9C-101B-9397-08002B2CF9AE}" pid="9" name="CITY">
    <vt:lpwstr>י-ם</vt:lpwstr>
  </property>
  <property fmtid="{D5CDD505-2E9C-101B-9397-08002B2CF9AE}" pid="10" name="DATE">
    <vt:lpwstr>20180320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רפי כרמל;כרמי מוסק;שירלי רנר</vt:lpwstr>
  </property>
  <property fmtid="{D5CDD505-2E9C-101B-9397-08002B2CF9AE}" pid="14" name="LAWYER">
    <vt:lpwstr>שגיא גרינפלד ;יהונתן דנה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NEWPARTA">
    <vt:lpwstr>33947</vt:lpwstr>
  </property>
  <property fmtid="{D5CDD505-2E9C-101B-9397-08002B2CF9AE}" pid="21" name="NEWPARTB">
    <vt:lpwstr>10</vt:lpwstr>
  </property>
  <property fmtid="{D5CDD505-2E9C-101B-9397-08002B2CF9AE}" pid="22" name="NEWPARTC">
    <vt:lpwstr>17</vt:lpwstr>
  </property>
  <property fmtid="{D5CDD505-2E9C-101B-9397-08002B2CF9AE}" pid="23" name="NEWPROC">
    <vt:lpwstr>עפ</vt:lpwstr>
  </property>
  <property fmtid="{D5CDD505-2E9C-101B-9397-08002B2CF9AE}" pid="24" name="PADIMAIL">
    <vt:lpwstr/>
  </property>
  <property fmtid="{D5CDD505-2E9C-101B-9397-08002B2CF9AE}" pid="25" name="PAGE">
    <vt:lpwstr/>
  </property>
  <property fmtid="{D5CDD505-2E9C-101B-9397-08002B2CF9AE}" pid="26" name="PART">
    <vt:lpwstr/>
  </property>
  <property fmtid="{D5CDD505-2E9C-101B-9397-08002B2CF9AE}" pid="27" name="PROCESS">
    <vt:lpwstr/>
  </property>
  <property fmtid="{D5CDD505-2E9C-101B-9397-08002B2CF9AE}" pid="28" name="PROCNUM">
    <vt:lpwstr/>
  </property>
  <property fmtid="{D5CDD505-2E9C-101B-9397-08002B2CF9AE}" pid="29" name="PROCYEAR">
    <vt:lpwstr/>
  </property>
  <property fmtid="{D5CDD505-2E9C-101B-9397-08002B2CF9AE}" pid="30" name="PSAKDIN">
    <vt:lpwstr>פסק-דין</vt:lpwstr>
  </property>
  <property fmtid="{D5CDD505-2E9C-101B-9397-08002B2CF9AE}" pid="31" name="TYPE">
    <vt:lpwstr>2</vt:lpwstr>
  </property>
  <property fmtid="{D5CDD505-2E9C-101B-9397-08002B2CF9AE}" pid="32" name="TYPE_ABS_DATE">
    <vt:lpwstr>390020180320</vt:lpwstr>
  </property>
  <property fmtid="{D5CDD505-2E9C-101B-9397-08002B2CF9AE}" pid="33" name="TYPE_N_DATE">
    <vt:lpwstr>39020180320</vt:lpwstr>
  </property>
  <property fmtid="{D5CDD505-2E9C-101B-9397-08002B2CF9AE}" pid="34" name="VOLUME">
    <vt:lpwstr/>
  </property>
  <property fmtid="{D5CDD505-2E9C-101B-9397-08002B2CF9AE}" pid="35" name="WORDNUMPAGES">
    <vt:lpwstr>4</vt:lpwstr>
  </property>
</Properties>
</file>