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785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57"/>
      </w:tblGrid>
      <w:tr>
        <w:trPr/>
        <w:tc>
          <w:tcPr>
            <w:tcW w:w="7857" w:type="dxa"/>
            <w:tcBorders/>
          </w:tcPr>
          <w:p>
            <w:pPr>
              <w:pStyle w:val="FileNumber1"/>
              <w:ind w:end="0"/>
              <w:jc w:val="center"/>
              <w:rPr>
                <w:sz w:val="28"/>
              </w:rPr>
            </w:pPr>
            <w:r>
              <w:rPr>
                <w:rtl w:val="true"/>
              </w:rPr>
              <w:t>בבית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העליון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בשבתו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כבית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לערעורים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פליליים</w:t>
            </w:r>
          </w:p>
        </w:tc>
      </w:tr>
    </w:tbl>
    <w:p>
      <w:pPr>
        <w:pStyle w:val="Normal"/>
        <w:ind w:end="0"/>
        <w:jc w:val="end"/>
        <w:rPr>
          <w:rFonts w:cs="Miriam"/>
          <w:b/>
          <w:bCs/>
          <w:sz w:val="10"/>
          <w:szCs w:val="14"/>
        </w:rPr>
      </w:pPr>
      <w:r>
        <w:rPr>
          <w:rFonts w:cs="Miriam"/>
          <w:b/>
          <w:bCs/>
          <w:sz w:val="10"/>
          <w:szCs w:val="14"/>
          <w:rtl w:val="true"/>
        </w:rPr>
      </w:r>
    </w:p>
    <w:tbl>
      <w:tblPr>
        <w:bidiVisual w:val="true"/>
        <w:tblW w:w="850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01"/>
      </w:tblGrid>
      <w:tr>
        <w:trPr>
          <w:trHeight w:val="342" w:hRule="atLeast"/>
        </w:trPr>
        <w:tc>
          <w:tcPr>
            <w:tcW w:w="8501" w:type="dxa"/>
            <w:tcBorders/>
          </w:tcPr>
          <w:p>
            <w:pPr>
              <w:pStyle w:val="FileNumber"/>
              <w:ind w:end="0"/>
              <w:jc w:val="end"/>
              <w:rPr>
                <w:sz w:val="28"/>
                <w:szCs w:val="28"/>
              </w:rPr>
            </w:pPr>
            <w:bookmarkStart w:id="0" w:name="casename_body"/>
            <w:bookmarkEnd w:id="0"/>
            <w:r>
              <w:rPr>
                <w:sz w:val="28"/>
                <w:sz w:val="28"/>
                <w:szCs w:val="28"/>
                <w:rtl w:val="true"/>
              </w:rPr>
              <w:t>ע</w:t>
            </w:r>
            <w:r>
              <w:rPr>
                <w:sz w:val="28"/>
                <w:szCs w:val="28"/>
                <w:rtl w:val="true"/>
              </w:rPr>
              <w:t>"</w:t>
            </w:r>
            <w:r>
              <w:rPr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sz w:val="28"/>
                <w:szCs w:val="28"/>
              </w:rPr>
              <w:t>3410/17</w:t>
            </w:r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Miriam"/>
                <w:b/>
                <w:bCs/>
              </w:rPr>
            </w:pPr>
            <w:r>
              <w:rPr>
                <w:rtl w:val="true"/>
              </w:rPr>
              <w:t>ל</w:t>
            </w:r>
            <w:r>
              <w:rPr>
                <w:rtl w:val="true"/>
              </w:rPr>
              <w:t>פני</w:t>
            </w:r>
            <w:r>
              <w:rPr>
                <w:rtl w:val="true"/>
              </w:rPr>
              <w:t>:</w:t>
              <w:tab/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שהם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ד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ברק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ארז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  <w:bookmarkStart w:id="1" w:name="LastJudge"/>
            <w:bookmarkStart w:id="2" w:name="LastJudge"/>
            <w:bookmarkEnd w:id="2"/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אלרון</w:t>
            </w:r>
          </w:p>
        </w:tc>
      </w:tr>
    </w:tbl>
    <w:p>
      <w:pPr>
        <w:pStyle w:val="Ruller31"/>
        <w:ind w:end="0"/>
        <w:jc w:val="start"/>
        <w:rPr>
          <w:rFonts w:cs="Miriam"/>
          <w:b/>
          <w:bCs/>
          <w:sz w:val="16"/>
          <w:szCs w:val="22"/>
        </w:rPr>
      </w:pPr>
      <w:r>
        <w:rPr>
          <w:rFonts w:cs="Miriam"/>
          <w:b/>
          <w:bCs/>
          <w:sz w:val="16"/>
          <w:szCs w:val="22"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3" w:name="FirstAppellant"/>
            <w:bookmarkEnd w:id="3"/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ויסאם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ח</w:t>
            </w:r>
            <w:r>
              <w:rPr>
                <w:rtl w:val="true"/>
              </w:rPr>
              <w:t>'</w:t>
            </w:r>
            <w:r>
              <w:rPr>
                <w:rtl w:val="true"/>
              </w:rPr>
              <w:t>טיב</w:t>
            </w:r>
          </w:p>
        </w:tc>
      </w:tr>
    </w:tbl>
    <w:p>
      <w:pPr>
        <w:pStyle w:val="Ruller31"/>
        <w:ind w:end="0"/>
        <w:jc w:val="start"/>
        <w:rPr>
          <w:sz w:val="16"/>
          <w:szCs w:val="22"/>
        </w:rPr>
      </w:pPr>
      <w:r>
        <w:rPr>
          <w:sz w:val="16"/>
          <w:szCs w:val="22"/>
          <w:rtl w:val="true"/>
        </w:rPr>
        <w:tab/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נ</w:t>
            </w:r>
            <w:r>
              <w:rPr>
                <w:rFonts w:cs="Times New Roman"/>
                <w:rtl w:val="true"/>
              </w:rPr>
              <w:t xml:space="preserve">  </w:t>
            </w:r>
            <w:r>
              <w:rPr>
                <w:rtl w:val="true"/>
              </w:rPr>
              <w:t>ג</w:t>
            </w:r>
            <w:r>
              <w:rPr>
                <w:rFonts w:cs="Times New Roman"/>
                <w:rtl w:val="true"/>
              </w:rPr>
              <w:t xml:space="preserve">  </w:t>
            </w:r>
            <w:r>
              <w:rPr>
                <w:rtl w:val="true"/>
              </w:rPr>
              <w:t>ד</w:t>
            </w:r>
          </w:p>
        </w:tc>
      </w:tr>
    </w:tbl>
    <w:p>
      <w:pPr>
        <w:pStyle w:val="Ruller31"/>
        <w:ind w:end="0"/>
        <w:jc w:val="start"/>
        <w:rPr>
          <w:sz w:val="16"/>
          <w:szCs w:val="22"/>
        </w:rPr>
      </w:pPr>
      <w:r>
        <w:rPr>
          <w:sz w:val="16"/>
          <w:szCs w:val="22"/>
          <w:rtl w:val="true"/>
        </w:rPr>
        <w:tab/>
        <w:tab/>
        <w:tab/>
        <w:t xml:space="preserve">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המשיב</w:t>
            </w:r>
            <w:r>
              <w:rPr>
                <w:rtl w:val="true"/>
              </w:rPr>
              <w:t>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מדינת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ישראל</w:t>
            </w:r>
          </w:p>
        </w:tc>
      </w:tr>
    </w:tbl>
    <w:p>
      <w:pPr>
        <w:pStyle w:val="Ruller31"/>
        <w:ind w:end="0"/>
        <w:jc w:val="start"/>
        <w:rPr>
          <w:sz w:val="14"/>
          <w:szCs w:val="20"/>
        </w:rPr>
      </w:pPr>
      <w:r>
        <w:rPr>
          <w:sz w:val="14"/>
          <w:szCs w:val="20"/>
          <w:rtl w:val="true"/>
        </w:rPr>
        <w:tab/>
      </w:r>
    </w:p>
    <w:tbl>
      <w:tblPr>
        <w:bidiVisual w:val="true"/>
        <w:tblW w:w="5238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both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גזר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דינו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</w:t>
            </w:r>
            <w:r>
              <w:rPr>
                <w:sz w:val="24"/>
                <w:sz w:val="24"/>
                <w:szCs w:val="24"/>
                <w:rtl w:val="true"/>
              </w:rPr>
              <w:t>חיפה</w:t>
            </w:r>
            <w:r>
              <w:rPr>
                <w:sz w:val="24"/>
                <w:szCs w:val="24"/>
                <w:rtl w:val="true"/>
              </w:rPr>
              <w:t>,</w:t>
            </w:r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מיום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Cs w:val="24"/>
              </w:rPr>
              <w:t>6.3.2017</w:t>
            </w:r>
            <w:r>
              <w:rPr>
                <w:sz w:val="24"/>
                <w:szCs w:val="24"/>
                <w:rtl w:val="true"/>
              </w:rPr>
              <w:t>,</w:t>
            </w:r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</w:t>
            </w:r>
            <w:hyperlink r:id="rId2"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ת</w:t>
              </w:r>
              <w:r>
                <w:rPr>
                  <w:rStyle w:val="Hyperlink"/>
                  <w:color w:val="0000FF"/>
                  <w:sz w:val="24"/>
                  <w:szCs w:val="24"/>
                  <w:u w:val="single"/>
                  <w:rtl w:val="true"/>
                </w:rPr>
                <w:t>"</w:t>
              </w:r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color w:val="0000FF"/>
                  <w:sz w:val="24"/>
                  <w:szCs w:val="24"/>
                  <w:u w:val="single"/>
                </w:rPr>
                <w:t>62435-11-16</w:t>
              </w:r>
            </w:hyperlink>
            <w:r>
              <w:rPr>
                <w:sz w:val="24"/>
                <w:szCs w:val="24"/>
                <w:rtl w:val="true"/>
              </w:rPr>
              <w:t>,</w:t>
            </w:r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שניתן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ידי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כב</w:t>
            </w:r>
            <w:r>
              <w:rPr>
                <w:sz w:val="24"/>
                <w:szCs w:val="24"/>
                <w:rtl w:val="true"/>
              </w:rPr>
              <w:t xml:space="preserve">' </w:t>
            </w:r>
            <w:r>
              <w:rPr>
                <w:sz w:val="24"/>
                <w:sz w:val="24"/>
                <w:szCs w:val="24"/>
                <w:rtl w:val="true"/>
              </w:rPr>
              <w:t>השופט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א</w:t>
            </w:r>
            <w:r>
              <w:rPr>
                <w:sz w:val="24"/>
                <w:szCs w:val="24"/>
                <w:rtl w:val="true"/>
              </w:rPr>
              <w:t xml:space="preserve">' </w:t>
            </w:r>
            <w:r>
              <w:rPr>
                <w:sz w:val="24"/>
                <w:sz w:val="24"/>
                <w:szCs w:val="24"/>
                <w:rtl w:val="true"/>
              </w:rPr>
              <w:t>פורת</w:t>
            </w:r>
          </w:p>
        </w:tc>
      </w:tr>
    </w:tbl>
    <w:p>
      <w:pPr>
        <w:pStyle w:val="Ruller31"/>
        <w:ind w:end="0"/>
        <w:jc w:val="start"/>
        <w:rPr>
          <w:sz w:val="16"/>
          <w:szCs w:val="22"/>
        </w:rPr>
      </w:pPr>
      <w:r>
        <w:rPr>
          <w:sz w:val="16"/>
          <w:szCs w:val="22"/>
          <w:rtl w:val="true"/>
        </w:rPr>
        <w:tab/>
      </w:r>
    </w:p>
    <w:tbl>
      <w:tblPr>
        <w:bidiVisual w:val="true"/>
        <w:tblW w:w="8535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2301"/>
        <w:gridCol w:w="2977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sz w:val="24"/>
                <w:szCs w:val="24"/>
                <w:rtl w:val="true"/>
              </w:rPr>
              <w:t>:</w:t>
            </w:r>
          </w:p>
        </w:tc>
        <w:tc>
          <w:tcPr>
            <w:tcW w:w="2301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sz w:val="24"/>
                <w:sz w:val="24"/>
                <w:szCs w:val="24"/>
                <w:rtl w:val="true"/>
              </w:rPr>
              <w:t>כ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ד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בטבת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התשע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ח</w:t>
            </w:r>
          </w:p>
        </w:tc>
        <w:tc>
          <w:tcPr>
            <w:tcW w:w="297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rtl w:val="true"/>
              </w:rPr>
              <w:t>(</w:t>
            </w:r>
            <w:r>
              <w:rPr/>
              <w:t>11.1.2018</w:t>
            </w:r>
            <w:r>
              <w:rPr>
                <w:rtl w:val="true"/>
              </w:rPr>
              <w:t xml:space="preserve">) </w:t>
            </w:r>
          </w:p>
        </w:tc>
      </w:tr>
    </w:tbl>
    <w:p>
      <w:pPr>
        <w:pStyle w:val="Ruller31"/>
        <w:ind w:end="0"/>
        <w:jc w:val="start"/>
        <w:rPr>
          <w:sz w:val="16"/>
          <w:szCs w:val="22"/>
        </w:rPr>
      </w:pPr>
      <w:r>
        <w:rPr>
          <w:sz w:val="16"/>
          <w:szCs w:val="22"/>
          <w:rtl w:val="true"/>
        </w:rPr>
      </w:r>
    </w:p>
    <w:tbl>
      <w:tblPr>
        <w:bidiVisual w:val="true"/>
        <w:tblW w:w="8495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sz w:val="26"/>
                <w:sz w:val="26"/>
                <w:szCs w:val="26"/>
                <w:rtl w:val="true"/>
              </w:rPr>
              <w:t>חנא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sz w:val="26"/>
                <w:sz w:val="26"/>
                <w:szCs w:val="26"/>
                <w:rtl w:val="true"/>
              </w:rPr>
              <w:t>בולוס</w:t>
            </w:r>
          </w:p>
        </w:tc>
      </w:tr>
    </w:tbl>
    <w:p>
      <w:pPr>
        <w:pStyle w:val="Ruller31"/>
        <w:ind w:end="0"/>
        <w:jc w:val="start"/>
        <w:rPr>
          <w:sz w:val="16"/>
          <w:szCs w:val="22"/>
        </w:rPr>
      </w:pPr>
      <w:r>
        <w:rPr>
          <w:sz w:val="16"/>
          <w:szCs w:val="22"/>
          <w:rtl w:val="true"/>
        </w:rPr>
      </w:r>
    </w:p>
    <w:tbl>
      <w:tblPr>
        <w:bidiVisual w:val="true"/>
        <w:tblW w:w="8495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4" w:name="FirstLawyer"/>
            <w:bookmarkEnd w:id="4"/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המשיב</w:t>
            </w:r>
            <w:r>
              <w:rPr>
                <w:rtl w:val="true"/>
              </w:rPr>
              <w:t>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שבע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אבגז</w:t>
            </w:r>
          </w:p>
        </w:tc>
      </w:tr>
    </w:tbl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שירות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המבחן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למבוגרים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גב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ברכה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וייס</w:t>
            </w:r>
          </w:p>
        </w:tc>
      </w:tr>
    </w:tbl>
    <w:p>
      <w:pPr>
        <w:pStyle w:val="Normal"/>
        <w:tabs>
          <w:tab w:val="clear" w:pos="720"/>
          <w:tab w:val="left" w:pos="2552" w:leader="none"/>
        </w:tabs>
        <w:ind w:end="0"/>
        <w:jc w:val="start"/>
        <w:rPr>
          <w:sz w:val="14"/>
          <w:szCs w:val="18"/>
        </w:rPr>
      </w:pPr>
      <w:r>
        <w:rPr>
          <w:sz w:val="14"/>
          <w:szCs w:val="18"/>
          <w:rtl w:val="true"/>
        </w:rPr>
      </w:r>
    </w:p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8"/>
      </w:tblGrid>
      <w:tr>
        <w:trPr/>
        <w:tc>
          <w:tcPr>
            <w:tcW w:w="8528" w:type="dxa"/>
            <w:tcBorders/>
          </w:tcPr>
          <w:p>
            <w:pPr>
              <w:pStyle w:val="DocumentHead"/>
              <w:ind w:end="0"/>
              <w:jc w:val="center"/>
              <w:rPr/>
            </w:pPr>
            <w:bookmarkStart w:id="5" w:name="PsakDin"/>
            <w:bookmarkStart w:id="6" w:name="BeginProtocol"/>
            <w:bookmarkStart w:id="7" w:name="secretary"/>
            <w:bookmarkEnd w:id="5"/>
            <w:bookmarkEnd w:id="6"/>
            <w:bookmarkEnd w:id="7"/>
            <w:r>
              <w:rPr>
                <w:rtl w:val="true"/>
              </w:rPr>
              <w:t>פסק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דין</w:t>
            </w:r>
          </w:p>
          <w:p>
            <w:pPr>
              <w:pStyle w:val="DocumentHead"/>
              <w:ind w:end="0"/>
              <w:jc w:val="center"/>
              <w:rPr/>
            </w:pPr>
            <w:r>
              <w:rPr>
                <w:rtl w:val="true"/>
              </w:rPr>
            </w:r>
          </w:p>
        </w:tc>
      </w:tr>
    </w:tbl>
    <w:p>
      <w:pPr>
        <w:pStyle w:val="BODYVERDICT"/>
        <w:ind w:end="0"/>
        <w:jc w:val="start"/>
        <w:rPr>
          <w:sz w:val="36"/>
          <w:szCs w:val="42"/>
        </w:rPr>
      </w:pPr>
      <w:r>
        <w:rPr>
          <w:sz w:val="36"/>
          <w:szCs w:val="42"/>
          <w:rtl w:val="true"/>
        </w:rPr>
      </w:r>
    </w:p>
    <w:p>
      <w:pPr>
        <w:pStyle w:val="Ruller4"/>
        <w:ind w:end="0"/>
        <w:jc w:val="both"/>
        <w:rPr/>
      </w:pPr>
      <w:bookmarkStart w:id="8" w:name="Start_Write"/>
      <w:bookmarkStart w:id="9" w:name="Writer_Name"/>
      <w:bookmarkEnd w:id="8"/>
      <w:bookmarkEnd w:id="9"/>
      <w:r>
        <w:rPr>
          <w:rtl w:val="true"/>
        </w:rPr>
        <w:tab/>
      </w:r>
      <w:r>
        <w:rPr>
          <w:rtl w:val="true"/>
        </w:rPr>
        <w:t>לאחר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שנשמעו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טיעוני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קיבל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המלצתנו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וחזר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מערעורו</w:t>
      </w:r>
      <w:r>
        <w:rPr>
          <w:rtl w:val="true"/>
        </w:rPr>
        <w:t>.</w:t>
      </w:r>
    </w:p>
    <w:p>
      <w:pPr>
        <w:pStyle w:val="Ruller4"/>
        <w:ind w:end="0"/>
        <w:jc w:val="both"/>
        <w:rPr>
          <w:sz w:val="16"/>
          <w:szCs w:val="22"/>
        </w:rPr>
      </w:pPr>
      <w:r>
        <w:rPr>
          <w:sz w:val="16"/>
          <w:szCs w:val="22"/>
          <w:rtl w:val="true"/>
        </w:rPr>
      </w:r>
    </w:p>
    <w:p>
      <w:pPr>
        <w:pStyle w:val="Ruller4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לאור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האמור</w:t>
      </w:r>
      <w:r>
        <w:rPr>
          <w:rtl w:val="true"/>
        </w:rPr>
        <w:t xml:space="preserve">, </w:t>
      </w:r>
      <w:r>
        <w:rPr>
          <w:rtl w:val="true"/>
        </w:rPr>
        <w:t>הערעור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נדחה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בזאת</w:t>
      </w:r>
      <w:r>
        <w:rPr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tl w:val="true"/>
        </w:rPr>
      </w:r>
    </w:p>
    <w:p>
      <w:pPr>
        <w:pStyle w:val="Ruller4"/>
        <w:ind w:end="0"/>
        <w:jc w:val="both"/>
        <w:rPr>
          <w:sz w:val="6"/>
          <w:szCs w:val="12"/>
        </w:rPr>
      </w:pP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היום</w:t>
      </w:r>
      <w:r>
        <w:rPr>
          <w:rtl w:val="true"/>
        </w:rPr>
        <w:t>, ‏</w:t>
      </w:r>
      <w:r>
        <w:rPr>
          <w:rtl w:val="true"/>
        </w:rPr>
        <w:t>כ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בטבת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התשע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(‏</w:t>
      </w:r>
      <w:r>
        <w:rPr/>
        <w:t>11.1.2018</w:t>
      </w:r>
      <w:r>
        <w:rPr>
          <w:rtl w:val="true"/>
        </w:rPr>
        <w:t xml:space="preserve">). </w:t>
      </w:r>
    </w:p>
    <w:p>
      <w:pPr>
        <w:pStyle w:val="Ruller4"/>
        <w:ind w:end="0"/>
        <w:jc w:val="both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2"/>
        <w:gridCol w:w="2843"/>
        <w:gridCol w:w="2843"/>
      </w:tblGrid>
      <w:tr>
        <w:trPr/>
        <w:tc>
          <w:tcPr>
            <w:tcW w:w="2842" w:type="dxa"/>
            <w:tcBorders/>
          </w:tcPr>
          <w:p>
            <w:pPr>
              <w:pStyle w:val="Ruller4"/>
              <w:ind w:end="0"/>
              <w:jc w:val="both"/>
              <w:rPr/>
            </w:pPr>
            <w:r>
              <w:rPr>
                <w:color w:val="FFFFFF"/>
                <w:sz w:val="2"/>
                <w:szCs w:val="2"/>
              </w:rPr>
              <w:t>54678313</w:t>
            </w:r>
            <w:r>
              <w:rPr>
                <w:rtl w:val="true"/>
              </w:rPr>
              <w:t>ש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  <w:tc>
          <w:tcPr>
            <w:tcW w:w="2843" w:type="dxa"/>
            <w:tcBorders/>
          </w:tcPr>
          <w:p>
            <w:pPr>
              <w:pStyle w:val="Ruller4"/>
              <w:ind w:end="0"/>
              <w:jc w:val="center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ת</w:t>
            </w:r>
          </w:p>
        </w:tc>
        <w:tc>
          <w:tcPr>
            <w:tcW w:w="2843" w:type="dxa"/>
            <w:tcBorders/>
          </w:tcPr>
          <w:p>
            <w:pPr>
              <w:pStyle w:val="Ruller4"/>
              <w:ind w:end="0"/>
              <w:jc w:val="center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</w:tr>
    </w:tbl>
    <w:p>
      <w:pPr>
        <w:pStyle w:val="Normal"/>
        <w:ind w:end="0"/>
        <w:jc w:val="start"/>
        <w:rPr>
          <w:szCs w:val="16"/>
        </w:rPr>
      </w:pPr>
      <w:r>
        <w:rPr>
          <w:szCs w:val="16"/>
          <w:rtl w:val="true"/>
        </w:rPr>
        <w:t>_________________</w:t>
      </w:r>
      <w:r>
        <w:rPr>
          <w:szCs w:val="16"/>
          <w:rtl w:val="true"/>
        </w:rPr>
        <w:t>________</w:t>
      </w:r>
    </w:p>
    <w:p>
      <w:pPr>
        <w:pStyle w:val="Ruller381"/>
        <w:ind w:end="0"/>
        <w:jc w:val="start"/>
        <w:rPr/>
      </w:pPr>
      <w:r>
        <w:rPr>
          <w:rtl w:val="true"/>
        </w:rPr>
        <w:t>העותק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לשינויי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וניסוח</w:t>
      </w:r>
      <w:r>
        <w:rPr>
          <w:rtl w:val="true"/>
        </w:rPr>
        <w:t>.</w:t>
      </w:r>
      <w:r>
        <w:rPr>
          <w:sz w:val="16"/>
          <w:rtl w:val="true"/>
        </w:rPr>
        <w:t xml:space="preserve">   </w:t>
      </w:r>
      <w:r>
        <w:rPr>
          <w:sz w:val="16"/>
        </w:rPr>
        <w:t>17034100</w:t>
      </w:r>
      <w:r>
        <w:rPr>
          <w:sz w:val="16"/>
          <w:rtl w:val="true"/>
        </w:rPr>
        <w:t>_</w:t>
      </w:r>
      <w:r>
        <w:rPr>
          <w:sz w:val="16"/>
        </w:rPr>
        <w:t>I01.doc</w:t>
      </w:r>
      <w:r>
        <w:rPr>
          <w:sz w:val="16"/>
          <w:rtl w:val="true"/>
        </w:rPr>
        <w:t xml:space="preserve">   </w:t>
      </w:r>
      <w:r>
        <w:rPr>
          <w:sz w:val="16"/>
          <w:sz w:val="16"/>
          <w:rtl w:val="true"/>
        </w:rPr>
        <w:t>יא</w:t>
      </w:r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tl w:val="true"/>
        </w:rPr>
        <w:t>מרכז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מידע</w:t>
      </w:r>
      <w:r>
        <w:rPr>
          <w:rtl w:val="true"/>
        </w:rPr>
        <w:t xml:space="preserve">, </w:t>
      </w:r>
      <w:r>
        <w:rPr>
          <w:rtl w:val="true"/>
        </w:rPr>
        <w:t>טל</w:t>
      </w:r>
      <w:r>
        <w:rPr>
          <w:rtl w:val="true"/>
        </w:rPr>
        <w:t>'</w:t>
      </w:r>
      <w:r>
        <w:rPr>
          <w:rtl w:val="true"/>
        </w:rPr>
        <w:t xml:space="preserve"> </w:t>
      </w:r>
      <w:r>
        <w:rPr/>
        <w:t>077-2703333</w:t>
      </w:r>
      <w:r>
        <w:rPr>
          <w:rtl w:val="true"/>
        </w:rPr>
        <w:t xml:space="preserve"> ; </w:t>
      </w:r>
      <w:r>
        <w:rPr>
          <w:rtl w:val="true"/>
        </w:rPr>
        <w:t>אתר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אינטרנט</w:t>
      </w:r>
      <w:r>
        <w:rPr>
          <w:rtl w:val="true"/>
        </w:rPr>
        <w:t xml:space="preserve">,  </w:t>
      </w:r>
      <w:hyperlink r:id="rId3">
        <w:r>
          <w:rPr>
            <w:rStyle w:val="Hyperlink"/>
            <w:sz w:val="16"/>
          </w:rPr>
          <w:t>www.court.gov.il</w:t>
        </w:r>
      </w:hyperlink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ascii="David" w:hAnsi="David"/>
          <w:color w:val="000000"/>
          <w:szCs w:val="22"/>
          <w:rtl w:val="true"/>
        </w:rPr>
        <w:t>א</w:t>
      </w:r>
      <w:r>
        <w:rPr>
          <w:rFonts w:cs="David" w:ascii="David" w:hAnsi="David"/>
          <w:color w:val="000000"/>
          <w:szCs w:val="22"/>
          <w:rtl w:val="true"/>
        </w:rPr>
        <w:t xml:space="preserve">' </w:t>
      </w:r>
      <w:r>
        <w:rPr>
          <w:rFonts w:ascii="David" w:hAnsi="David"/>
          <w:color w:val="000000"/>
          <w:szCs w:val="22"/>
          <w:rtl w:val="true"/>
        </w:rPr>
        <w:t xml:space="preserve">שהם </w:t>
      </w:r>
      <w:r>
        <w:rPr>
          <w:rFonts w:cs="David" w:ascii="David" w:hAnsi="David"/>
          <w:color w:val="000000"/>
          <w:szCs w:val="22"/>
        </w:rPr>
        <w:t>54678313-3410/17</w:t>
      </w:r>
    </w:p>
    <w:p>
      <w:pPr>
        <w:pStyle w:val="Ruller381"/>
        <w:ind w:end="0"/>
        <w:jc w:val="start"/>
        <w:rPr/>
      </w:pP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Ruller381"/>
        <w:ind w:end="0"/>
        <w:jc w:val="start"/>
        <w:rPr/>
      </w:pPr>
      <w:r>
        <w:rPr>
          <w:rtl w:val="true"/>
        </w:rPr>
      </w:r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hyperlink r:id="rId4">
        <w:r>
          <w:rPr>
            <w:rStyle w:val="Hyperlink"/>
            <w:color w:val="0000FF"/>
            <w:szCs w:val="24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פסיקה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, </w:t>
        </w:r>
        <w:r>
          <w:rPr>
            <w:rStyle w:val="Hyperlink"/>
            <w:color w:val="0000FF"/>
            <w:szCs w:val="24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כאן</w:t>
        </w:r>
      </w:hyperlink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r>
        <w:rPr>
          <w:color w:val="0000FF"/>
          <w:szCs w:val="24"/>
          <w:u w:val="single"/>
          <w:rtl w:val="true"/>
        </w:rPr>
      </w:r>
    </w:p>
    <w:sectPr>
      <w:headerReference w:type="default" r:id="rId5"/>
      <w:footerReference w:type="default" r:id="rId6"/>
      <w:type w:val="nextPage"/>
      <w:pgSz w:w="11906" w:h="16838"/>
      <w:pgMar w:left="1797" w:right="1797" w:gutter="0" w:header="567" w:top="1701" w:footer="397" w:bottom="1440"/>
      <w:pgNumType w:start="1" w:fmt="decimal"/>
      <w:formProt w:val="false"/>
      <w:textDirection w:val="lrTb"/>
      <w:bidi/>
      <w:rtlGutter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 TUR">
    <w:altName w:val="Arial"/>
    <w:charset w:val="00" w:characterSet="windows-1252"/>
    <w:family w:val="swiss"/>
    <w:pitch w:val="variable"/>
  </w:font>
  <w:font w:name="David">
    <w:charset w:val="b1" w:characterSet="windows-1255"/>
    <w:family w:val="swiss"/>
    <w:pitch w:val="variable"/>
  </w:font>
  <w:font w:name="FrankRuehl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</w:rPr>
    </w:pPr>
    <w:r>
      <w:rPr>
        <w:rFonts w:cs="FrankRuehl" w:ascii="FrankRuehl" w:hAnsi="FrankRuehl"/>
        <w:sz w:val="24"/>
        <w:rtl w:val="true"/>
      </w:rPr>
      <w:fldChar w:fldCharType="begin"/>
    </w:r>
    <w:r>
      <w:rPr>
        <w:rtl w:val="true"/>
        <w:sz w:val="24"/>
        <w:rFonts w:cs="FrankRuehl" w:ascii="FrankRuehl" w:hAnsi="FrankRuehl"/>
      </w:rPr>
      <w:instrText xml:space="preserve"> PAGE </w:instrText>
    </w:r>
    <w:r>
      <w:rPr>
        <w:rtl w:val="true"/>
        <w:sz w:val="24"/>
        <w:rFonts w:cs="FrankRuehl" w:ascii="FrankRuehl" w:hAnsi="FrankRuehl"/>
      </w:rPr>
      <w:fldChar w:fldCharType="separate"/>
    </w:r>
    <w:r>
      <w:rPr>
        <w:rtl w:val="true"/>
        <w:sz w:val="24"/>
        <w:rFonts w:cs="FrankRuehl" w:ascii="FrankRuehl" w:hAnsi="FrankRuehl"/>
      </w:rPr>
      <w:t>2</w:t>
    </w:r>
    <w:r>
      <w:rPr>
        <w:rtl w:val="true"/>
        <w:sz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  <w:sz w:val="24"/>
      </w:rPr>
    </w:pPr>
    <w:r>
      <w:rPr>
        <w:rFonts w:cs="FrankRuehl" w:ascii="FrankRuehl" w:hAnsi="FrankRuehl"/>
        <w:color w:val="000000"/>
        <w:sz w:val="24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153"/>
        <w:tab w:val="clear" w:pos="8306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3410/17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ויסאם ח</w:t>
    </w:r>
    <w:r>
      <w:rPr>
        <w:rFonts w:cs="David" w:ascii="David" w:hAnsi="David"/>
        <w:color w:val="000000"/>
        <w:sz w:val="22"/>
        <w:szCs w:val="22"/>
        <w:rtl w:val="true"/>
      </w:rPr>
      <w:t>'</w:t>
    </w:r>
    <w:r>
      <w:rPr>
        <w:rFonts w:ascii="David" w:hAnsi="David"/>
        <w:color w:val="000000"/>
        <w:sz w:val="22"/>
        <w:sz w:val="22"/>
        <w:szCs w:val="22"/>
        <w:rtl w:val="true"/>
      </w:rPr>
      <w:t>טיב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  <w:textAlignment w:val="baseline"/>
    </w:pPr>
    <w:rPr>
      <w:rFonts w:ascii="Times New Roman" w:hAnsi="Times New Roman" w:eastAsia="Times New Roman" w:cs="David"/>
      <w:color w:val="auto"/>
      <w:sz w:val="20"/>
      <w:szCs w:val="24"/>
      <w:lang w:val="en-US" w:bidi="he-IL" w:eastAsia="zh-CN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Delete">
    <w:name w:val="Delete"/>
    <w:qFormat/>
    <w:rPr>
      <w:strike/>
    </w:rPr>
  </w:style>
  <w:style w:type="character" w:styleId="Hand">
    <w:name w:val="Hand"/>
    <w:qFormat/>
    <w:rPr>
      <w:rFonts w:cs="Guttman Yad"/>
    </w:rPr>
  </w:style>
  <w:style w:type="character" w:styleId="PageNumber">
    <w:name w:val="page number"/>
    <w:basedOn w:val="DefaultParagraphFont"/>
    <w:rPr/>
  </w:style>
  <w:style w:type="character" w:styleId="Ruller3">
    <w:name w:val="Ruller 3 תו"/>
    <w:qFormat/>
    <w:rPr>
      <w:rFonts w:cs="FrankRuehl"/>
      <w:sz w:val="22"/>
      <w:szCs w:val="28"/>
      <w:lang w:val="en-US" w:bidi="he-IL"/>
    </w:rPr>
  </w:style>
  <w:style w:type="character" w:styleId="BodyRuller">
    <w:name w:val="Body Ruller תו"/>
    <w:qFormat/>
    <w:rPr>
      <w:rFonts w:cs="David"/>
      <w:sz w:val="22"/>
      <w:szCs w:val="28"/>
      <w:lang w:val="en-US" w:bidi="he-IL"/>
    </w:rPr>
  </w:style>
  <w:style w:type="character" w:styleId="Ruller38">
    <w:name w:val="סגנון Ruller 3 + (מורכב) ‏8 נק תו"/>
    <w:qFormat/>
    <w:rPr>
      <w:rFonts w:cs="David"/>
      <w:sz w:val="22"/>
      <w:szCs w:val="16"/>
      <w:lang w:val="en-US" w:bidi="he-IL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Ruller31">
    <w:name w:val="Ruller 3"/>
    <w:basedOn w:val="Normal"/>
    <w:qFormat/>
    <w:pPr>
      <w:tabs>
        <w:tab w:val="clear" w:pos="720"/>
        <w:tab w:val="left" w:pos="3210" w:leader="none"/>
        <w:tab w:val="left" w:pos="6753" w:leader="none"/>
      </w:tabs>
      <w:spacing w:lineRule="auto" w:line="360"/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>
      <w:bCs/>
    </w:rPr>
  </w:style>
  <w:style w:type="paragraph" w:styleId="FirstpagestylePsakdin">
    <w:name w:val="First page style Psak din"/>
    <w:basedOn w:val="Ruller31"/>
    <w:qFormat/>
    <w:pPr>
      <w:tabs>
        <w:tab w:val="clear" w:pos="3210"/>
        <w:tab w:val="left" w:pos="3209" w:leader="none"/>
        <w:tab w:val="left" w:pos="6753" w:leader="none"/>
      </w:tabs>
      <w:spacing w:lineRule="auto" w:line="360"/>
      <w:ind w:hanging="0" w:start="0" w:end="0"/>
      <w:jc w:val="start"/>
    </w:pPr>
    <w:rPr>
      <w:bCs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bCs/>
      <w:spacing w:val="30"/>
      <w:szCs w:val="28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">
    <w:name w:val="Ruller4"/>
    <w:basedOn w:val="Normal"/>
    <w:qFormat/>
    <w:pPr>
      <w:tabs>
        <w:tab w:val="clear" w:pos="720"/>
        <w:tab w:val="left" w:pos="800" w:leader="none"/>
      </w:tabs>
      <w:spacing w:lineRule="auto" w:line="360"/>
      <w:ind w:hanging="0" w:start="0" w:end="0"/>
      <w:jc w:val="both"/>
    </w:pPr>
    <w:rPr>
      <w:rFonts w:ascii="Arial TUR;Arial" w:hAnsi="Arial TUR;Arial" w:cs="FrankRuehl"/>
      <w:spacing w:val="10"/>
      <w:sz w:val="22"/>
      <w:szCs w:val="28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;Arial" w:hAnsi="Arial TUR;Arial" w:cs="FrankRuehl"/>
      <w:spacing w:val="10"/>
      <w:sz w:val="22"/>
      <w:szCs w:val="28"/>
    </w:rPr>
  </w:style>
  <w:style w:type="paragraph" w:styleId="Ruller6">
    <w:name w:val="Ruller6"/>
    <w:basedOn w:val="Normal"/>
    <w:qFormat/>
    <w:pPr>
      <w:tabs>
        <w:tab w:val="clear" w:pos="720"/>
        <w:tab w:val="left" w:pos="794" w:leader="none"/>
        <w:tab w:val="left" w:pos="2268" w:leader="none"/>
        <w:tab w:val="left" w:pos="5783" w:leader="none"/>
        <w:tab w:val="left" w:pos="7371" w:leader="none"/>
      </w:tabs>
      <w:ind w:hanging="0" w:start="0" w:end="0"/>
      <w:jc w:val="start"/>
    </w:pPr>
    <w:rPr>
      <w:rFonts w:ascii="Arial TUR;Arial" w:hAnsi="Arial TUR;Arial" w:cs="DavidFix"/>
      <w:spacing w:val="10"/>
      <w:sz w:val="22"/>
      <w:szCs w:val="20"/>
    </w:rPr>
  </w:style>
  <w:style w:type="paragraph" w:styleId="WriterName">
    <w:name w:val="Writer Name"/>
    <w:basedOn w:val="Ruller4"/>
    <w:next w:val="Ruller4"/>
    <w:qFormat/>
    <w:pPr>
      <w:spacing w:lineRule="auto" w:line="360"/>
      <w:ind w:hanging="0" w:start="0" w:end="0"/>
      <w:jc w:val="both"/>
    </w:pPr>
    <w:rPr>
      <w:rFonts w:cs="David"/>
      <w:b/>
      <w:bCs/>
      <w:u w:val="single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2">
    <w:name w:val="ñâðåï2"/>
    <w:basedOn w:val="Normal"/>
    <w:qFormat/>
    <w:pPr>
      <w:overflowPunct w:val="true"/>
      <w:ind w:hanging="0" w:start="0" w:end="0"/>
      <w:jc w:val="start"/>
      <w:textAlignment w:val="auto"/>
    </w:pPr>
    <w:rPr>
      <w:rFonts w:cs="Times New Roman"/>
    </w:rPr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  <w:textAlignment w:val="auto"/>
    </w:pPr>
    <w:rPr>
      <w:rFonts w:cs="Times New Roman"/>
      <w:b/>
      <w:bCs/>
      <w:u w:val="single"/>
    </w:rPr>
  </w:style>
  <w:style w:type="paragraph" w:styleId="precasestyle">
    <w:name w:val="pre_case style"/>
    <w:basedOn w:val="Normal"/>
    <w:qFormat/>
    <w:pPr>
      <w:tabs>
        <w:tab w:val="clear" w:pos="720"/>
        <w:tab w:val="left" w:pos="2552" w:leader="none"/>
      </w:tabs>
      <w:overflowPunct w:val="true"/>
      <w:ind w:hanging="0" w:start="0" w:end="2549"/>
      <w:jc w:val="start"/>
      <w:textAlignment w:val="auto"/>
    </w:pPr>
    <w:rPr>
      <w:rFonts w:cs="Times New Roman"/>
    </w:rPr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8"/>
    </w:rPr>
  </w:style>
  <w:style w:type="paragraph" w:styleId="Ruller381">
    <w:name w:val="סגנון Ruller 3 + (מורכב) ‏8 נק"/>
    <w:basedOn w:val="BodyRuller1"/>
    <w:qFormat/>
    <w:pPr/>
    <w:rPr>
      <w:szCs w:val="16"/>
    </w:rPr>
  </w:style>
  <w:style w:type="paragraph" w:styleId="FileNumber1">
    <w:name w:val="סגנון File Number + ימין"/>
    <w:basedOn w:val="FileNumber"/>
    <w:qFormat/>
    <w:pPr>
      <w:ind w:hanging="0" w:start="0" w:end="0"/>
      <w:jc w:val="start"/>
    </w:pPr>
    <w:rPr>
      <w:szCs w:val="28"/>
    </w:rPr>
  </w:style>
  <w:style w:type="paragraph" w:styleId="BODYVERDICT">
    <w:name w:val="BODY VERDICT"/>
    <w:basedOn w:val="Normal"/>
    <w:qFormat/>
    <w:pPr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21692846" TargetMode="External"/><Relationship Id="rId3" Type="http://schemas.openxmlformats.org/officeDocument/2006/relationships/hyperlink" Target="http://www.court.gov.il/" TargetMode="External"/><Relationship Id="rId4" Type="http://schemas.openxmlformats.org/officeDocument/2006/relationships/hyperlink" Target="http://www.nevo.co.il/advertisements/nevo-100.doc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2018-01-14T09:31:00Z</dcterms:created>
  <dc:creator> </dc:creator>
  <dc:description/>
  <cp:keywords/>
  <dc:language>en-IL</dc:language>
  <cp:lastModifiedBy>Hofit</cp:lastModifiedBy>
  <cp:lastPrinted>2009-02-15T11:12:00Z</cp:lastPrinted>
  <dcterms:modified xsi:type="dcterms:W3CDTF">2018-01-14T09:31:00Z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ויסאם ח'טיב</vt:lpwstr>
  </property>
  <property fmtid="{D5CDD505-2E9C-101B-9397-08002B2CF9AE}" pid="3" name="APPELLEE">
    <vt:lpwstr>מדינת ישראל</vt:lpwstr>
  </property>
  <property fmtid="{D5CDD505-2E9C-101B-9397-08002B2CF9AE}" pid="4" name="CASESLISTTMP1">
    <vt:lpwstr>21692846</vt:lpwstr>
  </property>
  <property fmtid="{D5CDD505-2E9C-101B-9397-08002B2CF9AE}" pid="5" name="DATE">
    <vt:lpwstr>20180111</vt:lpwstr>
  </property>
  <property fmtid="{D5CDD505-2E9C-101B-9397-08002B2CF9AE}" pid="6" name="JUDGE">
    <vt:lpwstr>א' שהם;ד' ברק ארז;י' אלרון</vt:lpwstr>
  </property>
  <property fmtid="{D5CDD505-2E9C-101B-9397-08002B2CF9AE}" pid="7" name="LAWYER">
    <vt:lpwstr>בת שבע אבגז;חנא בולוס;שירות המבחן למבוגרים גב' ברכה וייס</vt:lpwstr>
  </property>
  <property fmtid="{D5CDD505-2E9C-101B-9397-08002B2CF9AE}" pid="8" name="PROCESS">
    <vt:lpwstr>עפ</vt:lpwstr>
  </property>
  <property fmtid="{D5CDD505-2E9C-101B-9397-08002B2CF9AE}" pid="9" name="PROCNUM">
    <vt:lpwstr>3410</vt:lpwstr>
  </property>
  <property fmtid="{D5CDD505-2E9C-101B-9397-08002B2CF9AE}" pid="10" name="PROCYEAR">
    <vt:lpwstr>17</vt:lpwstr>
  </property>
  <property fmtid="{D5CDD505-2E9C-101B-9397-08002B2CF9AE}" pid="11" name="PSAKDIN">
    <vt:lpwstr>פסק-דין</vt:lpwstr>
  </property>
  <property fmtid="{D5CDD505-2E9C-101B-9397-08002B2CF9AE}" pid="12" name="TYPE">
    <vt:lpwstr>1</vt:lpwstr>
  </property>
  <property fmtid="{D5CDD505-2E9C-101B-9397-08002B2CF9AE}" pid="13" name="TYPE_ABS_DATE">
    <vt:lpwstr>410020180111</vt:lpwstr>
  </property>
  <property fmtid="{D5CDD505-2E9C-101B-9397-08002B2CF9AE}" pid="14" name="TYPE_N_DATE">
    <vt:lpwstr>41020180111</vt:lpwstr>
  </property>
  <property fmtid="{D5CDD505-2E9C-101B-9397-08002B2CF9AE}" pid="15" name="WORDNUMPAGES">
    <vt:lpwstr>2</vt:lpwstr>
  </property>
</Properties>
</file>