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  <w:bookmarkEnd w:id="0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3651/08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 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sz w:val="28"/>
                <w:szCs w:val="28"/>
              </w:rPr>
              <w:t>3841/08</w:t>
            </w:r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בפני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ס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'</w:t>
            </w:r>
            <w:r>
              <w:rPr>
                <w:rtl w:val="true"/>
              </w:rPr>
              <w:t>ובראן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ח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מלצר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  <w:bookmarkStart w:id="2" w:name="LastJudge"/>
            <w:bookmarkStart w:id="3" w:name="LastJudge"/>
            <w:bookmarkEnd w:id="3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עמית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המערערת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2">
              <w:r>
                <w:rPr>
                  <w:rStyle w:val="Hyperlink"/>
                  <w:color w:val="0000FF"/>
                  <w:u w:val="single"/>
                  <w:rtl w:val="true"/>
                </w:rPr>
                <w:t>ע</w:t>
              </w:r>
              <w:r>
                <w:rPr>
                  <w:rStyle w:val="Hyperlink"/>
                  <w:color w:val="0000FF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u w:val="single"/>
                </w:rPr>
                <w:t>3651/08</w:t>
              </w:r>
            </w:hyperlink>
          </w:p>
          <w:p>
            <w:pPr>
              <w:pStyle w:val="BodyRuller1"/>
              <w:ind w:end="0"/>
              <w:jc w:val="start"/>
              <w:rPr/>
            </w:pPr>
            <w:hyperlink r:id="rId3">
              <w:r>
                <w:rPr>
                  <w:rtl w:val="true"/>
                </w:rPr>
                <w:t>והמשיבה</w:t>
              </w:r>
            </w:hyperlink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4">
              <w:r>
                <w:rPr>
                  <w:rStyle w:val="Hyperlink"/>
                  <w:rtl w:val="true"/>
                </w:rPr>
                <w:t>ע</w:t>
              </w:r>
              <w:r>
                <w:rPr>
                  <w:rStyle w:val="Hyperlink"/>
                  <w:rtl w:val="true"/>
                </w:rPr>
                <w:t>"</w:t>
              </w:r>
              <w:r>
                <w:rPr>
                  <w:rStyle w:val="Hyperlink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rtl w:val="true"/>
                </w:rPr>
                <w:t xml:space="preserve"> </w:t>
              </w:r>
              <w:r>
                <w:rPr>
                  <w:rStyle w:val="Hyperlink"/>
                </w:rPr>
                <w:t>3841/08</w:t>
              </w:r>
            </w:hyperlink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  <w:bookmarkStart w:id="4" w:name="FirstAppellant"/>
            <w:bookmarkStart w:id="5" w:name="FirstAppellant"/>
            <w:bookmarkEnd w:id="5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tl w:val="true"/>
              </w:rPr>
              <w:t>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  <w:tab/>
        <w:tab/>
        <w:t xml:space="preserve">    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5">
              <w:r>
                <w:rPr>
                  <w:rStyle w:val="Hyperlink"/>
                  <w:color w:val="0000FF"/>
                  <w:u w:val="single"/>
                  <w:rtl w:val="true"/>
                </w:rPr>
                <w:t>ע</w:t>
              </w:r>
              <w:r>
                <w:rPr>
                  <w:rStyle w:val="Hyperlink"/>
                  <w:color w:val="0000FF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u w:val="single"/>
                </w:rPr>
                <w:t>3651/08</w:t>
              </w:r>
            </w:hyperlink>
          </w:p>
          <w:p>
            <w:pPr>
              <w:pStyle w:val="BodyRuller1"/>
              <w:ind w:end="0"/>
              <w:jc w:val="start"/>
              <w:rPr/>
            </w:pPr>
            <w:hyperlink r:id="rId6">
              <w:r>
                <w:rPr>
                  <w:rtl w:val="true"/>
                </w:rPr>
                <w:t>והמערער</w:t>
              </w:r>
            </w:hyperlink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7">
              <w:r>
                <w:rPr>
                  <w:rStyle w:val="Hyperlink"/>
                  <w:rtl w:val="true"/>
                </w:rPr>
                <w:t>ע</w:t>
              </w:r>
              <w:r>
                <w:rPr>
                  <w:rStyle w:val="Hyperlink"/>
                  <w:rtl w:val="true"/>
                </w:rPr>
                <w:t>"</w:t>
              </w:r>
              <w:r>
                <w:rPr>
                  <w:rStyle w:val="Hyperlink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rtl w:val="true"/>
                </w:rPr>
                <w:t xml:space="preserve"> </w:t>
              </w:r>
              <w:r>
                <w:rPr>
                  <w:rStyle w:val="Hyperlink"/>
                </w:rPr>
                <w:t>3841/08</w:t>
              </w:r>
            </w:hyperlink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פלוני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בחיפה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12.3.</w:t>
            </w:r>
            <w:bookmarkStart w:id="6" w:name="OLE_LINK4"/>
            <w:bookmarkStart w:id="7" w:name="OLE_LINK3"/>
            <w:r>
              <w:rPr>
                <w:sz w:val="24"/>
                <w:szCs w:val="24"/>
              </w:rPr>
              <w:t>08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hyperlink r:id="rId8"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</w:rPr>
                <w:t>6137/07</w:t>
              </w:r>
            </w:hyperlink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 w:ascii="David" w:hAnsi="David"/>
                <w:sz w:val="24"/>
                <w:szCs w:val="24"/>
                <w:rtl w:val="true"/>
              </w:rPr>
              <w:t>[</w:t>
            </w:r>
            <w:r>
              <w:rPr>
                <w:rFonts w:ascii="David" w:hAnsi="David"/>
                <w:sz w:val="24"/>
                <w:sz w:val="24"/>
                <w:szCs w:val="24"/>
                <w:rtl w:val="true"/>
              </w:rPr>
              <w:t>פורסם בנבו</w:t>
            </w:r>
            <w:r>
              <w:rPr>
                <w:rFonts w:cs="David" w:ascii="David" w:hAnsi="David"/>
                <w:sz w:val="24"/>
                <w:szCs w:val="24"/>
                <w:rtl w:val="true"/>
              </w:rPr>
              <w:t>],</w:t>
            </w:r>
            <w:r>
              <w:rPr>
                <w:rFonts w:cs="David" w:ascii="David" w:hAnsi="David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כב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השופטת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בר</w:t>
            </w:r>
            <w:r>
              <w:rPr>
                <w:sz w:val="24"/>
                <w:szCs w:val="24"/>
                <w:rtl w:val="true"/>
              </w:rPr>
              <w:t>-</w:t>
            </w:r>
            <w:r>
              <w:rPr>
                <w:sz w:val="24"/>
                <w:sz w:val="24"/>
                <w:szCs w:val="24"/>
                <w:rtl w:val="true"/>
              </w:rPr>
              <w:t>זיו</w:t>
            </w:r>
            <w:bookmarkEnd w:id="6"/>
            <w:bookmarkEnd w:id="7"/>
            <w:r>
              <w:rPr>
                <w:sz w:val="24"/>
                <w:szCs w:val="24"/>
                <w:rtl w:val="true"/>
              </w:rPr>
              <w:t xml:space="preserve">, </w:t>
            </w:r>
            <w:r>
              <w:rPr>
                <w:sz w:val="24"/>
                <w:sz w:val="24"/>
                <w:szCs w:val="24"/>
                <w:rtl w:val="true"/>
              </w:rPr>
              <w:t>וערעור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שכנגד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sz w:val="24"/>
                <w:sz w:val="24"/>
                <w:szCs w:val="24"/>
                <w:rtl w:val="true"/>
              </w:rPr>
              <w:t>ח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בכסלו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התש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ע</w:t>
            </w:r>
            <w:r>
              <w:rPr>
                <w:rtl w:val="true"/>
              </w:rPr>
              <w:t>      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true"/>
              </w:rPr>
              <w:t>(</w:t>
            </w:r>
            <w:r>
              <w:rPr>
                <w:sz w:val="24"/>
                <w:szCs w:val="24"/>
              </w:rPr>
              <w:t>25.11.09</w:t>
            </w:r>
            <w:r>
              <w:rPr>
                <w:sz w:val="24"/>
                <w:szCs w:val="24"/>
                <w:rtl w:val="true"/>
              </w:rPr>
              <w:t>)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9">
              <w:r>
                <w:rPr>
                  <w:rStyle w:val="Hyperlink"/>
                  <w:color w:val="0000FF"/>
                  <w:u w:val="single"/>
                  <w:rtl w:val="true"/>
                </w:rPr>
                <w:t>ע</w:t>
              </w:r>
              <w:r>
                <w:rPr>
                  <w:rStyle w:val="Hyperlink"/>
                  <w:color w:val="0000FF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u w:val="single"/>
                </w:rPr>
                <w:t>3651/08</w:t>
              </w:r>
            </w:hyperlink>
          </w:p>
          <w:p>
            <w:pPr>
              <w:pStyle w:val="BodyRuller1"/>
              <w:ind w:end="0"/>
              <w:jc w:val="start"/>
              <w:rPr/>
            </w:pPr>
            <w:hyperlink r:id="rId10">
              <w:r>
                <w:rPr>
                  <w:rtl w:val="true"/>
                </w:rPr>
                <w:t>והמשיבה</w:t>
              </w:r>
            </w:hyperlink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11">
              <w:r>
                <w:rPr>
                  <w:rStyle w:val="Hyperlink"/>
                  <w:color w:val="0000FF"/>
                  <w:u w:val="single"/>
                  <w:rtl w:val="true"/>
                </w:rPr>
                <w:t>ע</w:t>
              </w:r>
              <w:r>
                <w:rPr>
                  <w:rStyle w:val="Hyperlink"/>
                  <w:color w:val="0000FF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u w:val="single"/>
                </w:rPr>
                <w:t>3841/08</w:t>
              </w:r>
            </w:hyperlink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יעל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שרף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8" w:name="FirstLawyer"/>
            <w:bookmarkEnd w:id="8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12">
              <w:r>
                <w:rPr>
                  <w:rStyle w:val="Hyperlink"/>
                  <w:color w:val="0000FF"/>
                  <w:u w:val="single"/>
                  <w:rtl w:val="true"/>
                </w:rPr>
                <w:t>ע</w:t>
              </w:r>
              <w:r>
                <w:rPr>
                  <w:rStyle w:val="Hyperlink"/>
                  <w:color w:val="0000FF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u w:val="single"/>
                </w:rPr>
                <w:t>3651/08</w:t>
              </w:r>
            </w:hyperlink>
          </w:p>
          <w:p>
            <w:pPr>
              <w:pStyle w:val="BodyRuller1"/>
              <w:ind w:end="0"/>
              <w:jc w:val="start"/>
              <w:rPr/>
            </w:pPr>
            <w:hyperlink r:id="rId13">
              <w:r>
                <w:rPr>
                  <w:rtl w:val="true"/>
                </w:rPr>
                <w:t>והמערער</w:t>
              </w:r>
            </w:hyperlink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14">
              <w:r>
                <w:rPr>
                  <w:rStyle w:val="Hyperlink"/>
                  <w:rtl w:val="true"/>
                </w:rPr>
                <w:t>ע</w:t>
              </w:r>
              <w:r>
                <w:rPr>
                  <w:rStyle w:val="Hyperlink"/>
                  <w:rtl w:val="true"/>
                </w:rPr>
                <w:t>"</w:t>
              </w:r>
              <w:r>
                <w:rPr>
                  <w:rStyle w:val="Hyperlink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rtl w:val="true"/>
                </w:rPr>
                <w:t xml:space="preserve"> </w:t>
              </w:r>
              <w:r>
                <w:rPr>
                  <w:rStyle w:val="Hyperlink"/>
                </w:rPr>
                <w:t>3841/08</w:t>
              </w:r>
            </w:hyperlink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אחמד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חמזה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יונס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שירות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המבחן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גב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שלומית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נחליאל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ascii="FrankRuehl" w:hAnsi="FrankRuehl" w:cs="FrankRuehl"/>
          <w:sz w:val="24"/>
          <w:sz w:val="24"/>
          <w:rtl w:val="true"/>
        </w:rPr>
        <w:t>חקיקה שאוזכרה</w:t>
      </w:r>
      <w:r>
        <w:rPr>
          <w:rFonts w:cs="FrankRuehl" w:ascii="FrankRuehl" w:hAnsi="FrankRuehl"/>
          <w:sz w:val="24"/>
          <w:rtl w:val="true"/>
        </w:rPr>
        <w:t xml:space="preserve">: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15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 xml:space="preserve">חוק סדר הדין הפלילי 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[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נוסח משולב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תשמ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1982</w:t>
        </w:r>
      </w:hyperlink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סע</w:t>
      </w:r>
      <w:r>
        <w:rPr>
          <w:rFonts w:cs="FrankRuehl" w:ascii="FrankRuehl" w:hAnsi="FrankRuehl"/>
          <w:sz w:val="24"/>
          <w:rtl w:val="true"/>
        </w:rPr>
        <w:t xml:space="preserve">'  </w:t>
      </w:r>
      <w:hyperlink r:id="rId16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153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  <w:bookmarkStart w:id="9" w:name="LawTable_End"/>
      <w:bookmarkStart w:id="10" w:name="LawTable_End"/>
      <w:bookmarkEnd w:id="10"/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bookmarkStart w:id="11" w:name="ABSTRACT_START"/>
      <w:bookmarkEnd w:id="11"/>
      <w:r>
        <w:rPr>
          <w:rFonts w:cs="FrankRuehl"/>
          <w:sz w:val="24"/>
          <w:sz w:val="24"/>
          <w:szCs w:val="26"/>
          <w:rtl w:val="true"/>
        </w:rPr>
        <w:t>מיני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רציו</w:t>
      </w:r>
      <w:r>
        <w:rPr>
          <w:rFonts w:cs="FrankRuehl"/>
          <w:sz w:val="24"/>
          <w:szCs w:val="26"/>
          <w:rtl w:val="true"/>
        </w:rPr>
        <w:t>: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ככלל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יאפשר לנאשם לחזור בו מהודאתו רק מטעמים מיוחדים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לא נמצא פגם בהודאת המערער שיש בו נימוק מיוחד המצדיק היענות לבקשתו לחזור בו מן ההודאה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עונשו של המערער הוחמר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בכפוף לעקרון לפיו ערכאת הערעור אינה ממצה את העונש עם הנאשם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דיון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פלילי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הודאה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חזרה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מהודאה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דיון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פלילי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הסדר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טיעון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סטייה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ממנו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מדיניות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שיקולים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לחומרה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מדיניות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ביטחון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התערבות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ערכאת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הערעור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ערעורים הדדיים על גזר הדין שהושת על המערער בבימ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המחוזי בגין הרשעתו בשורה של עבירות נשק ותחמושת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–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ומכוחו הוטלו על המערער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cs="Times New Roman" w:ascii="Times New Roman" w:hAnsi="Times New Roman"/>
          <w:spacing w:val="0"/>
          <w:sz w:val="24"/>
          <w:szCs w:val="26"/>
        </w:rPr>
        <w:t>5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שנות מאסר בפועל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cs="Times New Roman" w:ascii="Times New Roman" w:hAnsi="Times New Roman"/>
          <w:spacing w:val="0"/>
          <w:sz w:val="24"/>
          <w:szCs w:val="26"/>
        </w:rPr>
        <w:t>24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חודשי מאסר על תנאי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והתנאי הוא שבמשך שלוש שנים מיום שחרורו לא יורשע בעבירות שבהן הורשע וקנס בסך </w:t>
      </w:r>
      <w:r>
        <w:rPr>
          <w:rFonts w:cs="Times New Roman" w:ascii="Times New Roman" w:hAnsi="Times New Roman"/>
          <w:spacing w:val="0"/>
          <w:sz w:val="24"/>
          <w:szCs w:val="26"/>
        </w:rPr>
        <w:t>25,000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₪.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בית המשפט העליון 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(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מפי השופט מלצר ובהסכמת השופטים ג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'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ובראן ועמית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)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קיבל את ערעור המדינה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דחה את ערעור המערער ופסק כי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: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המערער הודה בעובדות כתב האישום במסגרת הסדר טיעון פתוח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בו לא הסכימו הצדדים על עונש ולא על טווח ענישה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הוא היה מיוצג והוזהר בטרם הודה במיוחס לו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המערער מבקש לחזור בו מהודאתו מפני שהפרקליטות מנעה ממנו להעלות טענותיו בנפרד מנאשם נוסף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לטענתו העונש שנגזר עליו נמצא בטווח ענישה שעלה במו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 בין הצדדים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ככלל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יאפשר לנאשם לחזור בו מהודאתו רק מטעמים מיוחדים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נסיונו של המערער להפריד את עניינו מעניינו של הנאשם הנוסף עוד טרם הסדר הטיעון לא צלח והעובדה שתקוותו כי יוכל להביא עניינו בפני 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בנפרד נכזבה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אינה מהווה עילה לחזרתו מן ההודאה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בנוסף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המערער העדיף לטעון לעונש יחד עם הנאשם הנוסף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מבלי להיזקק לנתון ששימש בעבר כמקור משטרתי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הוא גם לא ביקש לחזור בו באותו מועד מהודאתו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אלא לאחר שניתן גזר הדין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לפיכך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לא נמצא פגם בהודאה שיש בו בגדר נימוק מיוחד המצדיק היענות לבקשתו לחזור בו מן ההודאה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משלא הסכימו הצדדים על מינעד של ענישה שבמסגרתו יטענו בבימ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שמורה לשני הצדדים הזכות להשיג על העונש שהושת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אינו כבול להסדר הטיעון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העונש שהושת על הנאשם איננו משקף במלואו את החומרה היתרה שנשקפת ממעשיו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הרשעתו בעבירות נשק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הסדרתיות שבמעשים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זמינות הנשק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מכירת הנשק מבוצעת ע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י אזרח ישראלי לתושב השטחים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בעת שהישראלי מודע או אדיש לתוצאות האפשריות של מעשיו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בנסיבות הנ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 ראוי היה לגזור על המערער עונש מאסר כבד משמעותית מזה שהושת עליו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עם זאת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נוכח העקרון שלפיו ערכאת הערעור אינה ממצה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בשלב זה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את העונש עם הנאשמים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יוחמר עונשו של המערער כך שירצה </w:t>
      </w:r>
      <w:r>
        <w:rPr>
          <w:rFonts w:cs="Times New Roman" w:ascii="Times New Roman" w:hAnsi="Times New Roman"/>
          <w:spacing w:val="0"/>
          <w:sz w:val="24"/>
          <w:szCs w:val="26"/>
        </w:rPr>
        <w:t>6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שנות מאסר בפועל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יתר רכיבי העונש יעמדו בעינם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 </w:t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/>
          <w:spacing w:val="0"/>
          <w:sz w:val="24"/>
          <w:szCs w:val="26"/>
          <w:rtl w:val="true"/>
        </w:rPr>
      </w:r>
      <w:bookmarkStart w:id="12" w:name="ABSTRACT_END"/>
      <w:bookmarkStart w:id="13" w:name="ABSTRACT_END"/>
      <w:bookmarkEnd w:id="13"/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14" w:name="PsakDin"/>
            <w:bookmarkStart w:id="15" w:name="secretary"/>
            <w:bookmarkStart w:id="16" w:name="BeginProtocol"/>
            <w:bookmarkEnd w:id="14"/>
            <w:bookmarkEnd w:id="15"/>
            <w:bookmarkEnd w:id="16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  <w:p>
            <w:pPr>
              <w:pStyle w:val="DocumentHead"/>
              <w:ind w:end="0"/>
              <w:jc w:val="center"/>
              <w:rPr/>
            </w:pPr>
            <w:r>
              <w:rPr>
                <w:rtl w:val="true"/>
              </w:rPr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</w:r>
    </w:p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bookmarkStart w:id="17" w:name="Writer_Name"/>
      <w:bookmarkEnd w:id="17"/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ח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מלצר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</w:p>
    <w:p>
      <w:pPr>
        <w:pStyle w:val="Ruller41"/>
        <w:ind w:end="0"/>
        <w:jc w:val="both"/>
        <w:rPr/>
      </w:pPr>
      <w:r>
        <w:rPr/>
        <w:t>1</w:t>
      </w:r>
      <w:r>
        <w:rPr>
          <w:rtl w:val="true"/>
        </w:rPr>
        <w:t>.</w:t>
        <w:tab/>
      </w:r>
      <w:bookmarkStart w:id="18" w:name="Start_Write"/>
      <w:bookmarkEnd w:id="18"/>
      <w:r>
        <w:rPr>
          <w:rtl w:val="true"/>
        </w:rPr>
        <w:t>לפנינו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ערעורים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הדדיים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שהושת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ascii="Times New Roman" w:hAnsi="Times New Roman" w:cs="Times New Roman"/>
          <w:rtl w:val="true"/>
        </w:rPr>
        <w:t xml:space="preserve"> בבית המשפט המחוזי הנכבד בחיפה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כב</w:t>
      </w:r>
      <w:r>
        <w:rPr>
          <w:rFonts w:cs="Times New Roman" w:ascii="Times New Roman" w:hAnsi="Times New Roman"/>
          <w:rtl w:val="true"/>
        </w:rPr>
        <w:t xml:space="preserve">' </w:t>
      </w:r>
      <w:r>
        <w:rPr>
          <w:rFonts w:ascii="Times New Roman" w:hAnsi="Times New Roman" w:cs="Times New Roman"/>
          <w:rtl w:val="true"/>
        </w:rPr>
        <w:t xml:space="preserve">השופטת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בר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-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זיו</w:t>
      </w:r>
      <w:r>
        <w:rPr>
          <w:rFonts w:cs="Times New Roman" w:ascii="Times New Roman" w:hAnsi="Times New Roman"/>
          <w:rtl w:val="true"/>
        </w:rPr>
        <w:t xml:space="preserve">) </w:t>
      </w:r>
      <w:r>
        <w:rPr>
          <w:rtl w:val="true"/>
        </w:rPr>
        <w:t>ב</w:t>
      </w:r>
      <w:r>
        <w:rPr>
          <w:rtl w:val="true"/>
        </w:rPr>
        <w:t>-</w:t>
      </w:r>
      <w:hyperlink r:id="rId17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3841/08</w:t>
        </w:r>
      </w:hyperlink>
      <w:r>
        <w:rPr>
          <w:rtl w:val="true"/>
        </w:rPr>
        <w:t xml:space="preserve"> </w:t>
      </w:r>
      <w:r>
        <w:rPr>
          <w:rFonts w:cs="David" w:ascii="David" w:hAnsi="David"/>
          <w:sz w:val="24"/>
          <w:szCs w:val="24"/>
          <w:rtl w:val="true"/>
        </w:rPr>
        <w:t>[</w:t>
      </w:r>
      <w:r>
        <w:rPr>
          <w:rFonts w:ascii="David" w:hAnsi="David" w:cs="David"/>
          <w:sz w:val="24"/>
          <w:sz w:val="24"/>
          <w:szCs w:val="24"/>
          <w:rtl w:val="true"/>
        </w:rPr>
        <w:t>פורסם בנבו</w:t>
      </w:r>
      <w:r>
        <w:rPr>
          <w:rFonts w:cs="David" w:ascii="David" w:hAnsi="David"/>
          <w:sz w:val="24"/>
          <w:szCs w:val="24"/>
          <w:rtl w:val="true"/>
        </w:rPr>
        <w:t>]</w:t>
      </w:r>
      <w:r>
        <w:rPr>
          <w:rFonts w:cs="David" w:ascii="David" w:hAnsi="David"/>
          <w:sz w:val="24"/>
          <w:szCs w:val="24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המערער</w:t>
      </w:r>
      <w:r>
        <w:rPr>
          <w:rFonts w:cs="Times New Roman" w:ascii="Times New Roman" w:hAnsi="Times New Roman"/>
          <w:rtl w:val="true"/>
        </w:rPr>
        <w:t xml:space="preserve">) </w:t>
      </w:r>
      <w:r>
        <w:rPr>
          <w:rtl w:val="true"/>
        </w:rPr>
        <w:t>בגין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הרשעתו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בשורה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ותחמושת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ומכוחו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הוטלו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: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שנות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/>
        <w:t>24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, </w:t>
      </w:r>
      <w:r>
        <w:rPr>
          <w:rtl w:val="true"/>
        </w:rPr>
        <w:t>והתנאי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שבמשך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שלוש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מיום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שחרורו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יורשע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שבהן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וקנס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בסך</w:t>
      </w:r>
      <w:r>
        <w:rPr>
          <w:rFonts w:eastAsia="Arial TUR;Arial" w:cs="Arial TUR;Arial"/>
          <w:rtl w:val="true"/>
        </w:rPr>
        <w:t xml:space="preserve"> </w:t>
      </w:r>
      <w:r>
        <w:rPr/>
        <w:t>25,000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ישולם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-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תשלומים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ורצופים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החל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מתאריך</w:t>
      </w:r>
      <w:r>
        <w:rPr>
          <w:rFonts w:eastAsia="Arial TUR;Arial" w:cs="Arial TUR;Arial"/>
          <w:rtl w:val="true"/>
        </w:rPr>
        <w:t xml:space="preserve"> </w:t>
      </w:r>
      <w:r>
        <w:rPr/>
        <w:t>15.4.08</w:t>
      </w:r>
      <w:r>
        <w:rPr>
          <w:rtl w:val="true"/>
        </w:rPr>
        <w:t>).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רקע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הרלבנטיים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יובא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להלן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2</w:t>
      </w:r>
      <w:r>
        <w:rPr>
          <w:rtl w:val="true"/>
        </w:rPr>
        <w:t>.</w:t>
        <w:tab/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ואדם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נוסף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הורשעו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הודאתם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אישום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מתוקן</w:t>
      </w:r>
      <w:r>
        <w:rPr>
          <w:rtl w:val="true"/>
        </w:rPr>
        <w:t xml:space="preserve">, </w:t>
      </w:r>
      <w:r>
        <w:rPr>
          <w:rtl w:val="true"/>
        </w:rPr>
        <w:t>במסגרת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הסדר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טיעון</w:t>
      </w:r>
      <w:r>
        <w:rPr>
          <w:rtl w:val="true"/>
        </w:rPr>
        <w:t xml:space="preserve">, </w:t>
      </w:r>
      <w:r>
        <w:rPr>
          <w:rtl w:val="true"/>
        </w:rPr>
        <w:t>בעבירות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, </w:t>
      </w:r>
      <w:r>
        <w:rPr>
          <w:rtl w:val="true"/>
        </w:rPr>
        <w:t>ניסיון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לסחר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, </w:t>
      </w:r>
      <w:r>
        <w:rPr>
          <w:rtl w:val="true"/>
        </w:rPr>
        <w:t>החזקת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ורכישה</w:t>
      </w:r>
      <w:r>
        <w:rPr>
          <w:rtl w:val="true"/>
        </w:rPr>
        <w:t xml:space="preserve">, </w:t>
      </w:r>
      <w:r>
        <w:rPr>
          <w:rtl w:val="true"/>
        </w:rPr>
        <w:t>החזקה</w:t>
      </w:r>
      <w:r>
        <w:rPr>
          <w:rtl w:val="true"/>
        </w:rPr>
        <w:t xml:space="preserve">, </w:t>
      </w:r>
      <w:r>
        <w:rPr>
          <w:rtl w:val="true"/>
        </w:rPr>
        <w:t>נשיאה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והובלה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תחמושת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המתוקן</w:t>
      </w:r>
      <w:r>
        <w:rPr>
          <w:rtl w:val="true"/>
        </w:rPr>
        <w:t xml:space="preserve">, </w:t>
      </w:r>
      <w:r>
        <w:rPr>
          <w:rtl w:val="true"/>
        </w:rPr>
        <w:t>שבעובדותיו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הודה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והורשע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בגינן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מכר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לתושב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</w:t>
      </w:r>
      <w:r>
        <w:rPr>
          <w:rtl w:val="true"/>
        </w:rPr>
        <w:t>'</w:t>
      </w:r>
      <w:r>
        <w:rPr>
          <w:rtl w:val="true"/>
        </w:rPr>
        <w:t>נין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יעיש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במספר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הזדמנויות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אקדחים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ורובים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מחסניות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וכדורים</w:t>
      </w:r>
      <w:r>
        <w:rPr>
          <w:rtl w:val="true"/>
        </w:rPr>
        <w:t xml:space="preserve">, </w:t>
      </w:r>
      <w:r>
        <w:rPr>
          <w:rtl w:val="true"/>
        </w:rPr>
        <w:t>וזאת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בשיתוף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הנאשם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הנוסף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בפרשה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הודה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והורשע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רכש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</w:t>
      </w:r>
      <w:r>
        <w:rPr>
          <w:rtl w:val="true"/>
        </w:rPr>
        <w:t>-</w:t>
      </w:r>
      <w:r>
        <w:rPr/>
        <w:t>54</w:t>
      </w:r>
      <w:r>
        <w:rPr>
          <w:rtl w:val="true"/>
        </w:rPr>
        <w:t xml:space="preserve">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כדורים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לרובה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מסוג</w:t>
      </w:r>
      <w:r>
        <w:rPr>
          <w:rFonts w:eastAsia="Arial TUR;Arial" w:cs="Arial TUR;Arial"/>
          <w:rtl w:val="true"/>
        </w:rPr>
        <w:t xml:space="preserve"> </w:t>
      </w:r>
      <w:r>
        <w:rPr>
          <w:rFonts w:cs="Times New Roman" w:ascii="Times New Roman" w:hAnsi="Times New Roman"/>
        </w:rPr>
        <w:t>M-16</w:t>
      </w:r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46</w:t>
      </w:r>
      <w:r>
        <w:rPr>
          <w:rtl w:val="true"/>
        </w:rPr>
        <w:t xml:space="preserve">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תרמילים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ריקים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המתאימים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רובה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3</w:t>
      </w:r>
      <w:r>
        <w:rPr>
          <w:rtl w:val="true"/>
        </w:rPr>
        <w:t>.</w:t>
        <w:tab/>
      </w:r>
      <w:r>
        <w:rPr>
          <w:rtl w:val="true"/>
        </w:rPr>
        <w:t>בטרם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נשמעו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הטיעונים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הוזמנו</w:t>
      </w:r>
      <w:r>
        <w:rPr>
          <w:rtl w:val="true"/>
        </w:rPr>
        <w:t xml:space="preserve">, </w:t>
      </w:r>
      <w:r>
        <w:rPr>
          <w:rtl w:val="true"/>
        </w:rPr>
        <w:t>לבקשת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ההגנה</w:t>
      </w:r>
      <w:r>
        <w:rPr>
          <w:rtl w:val="true"/>
        </w:rPr>
        <w:t xml:space="preserve">, </w:t>
      </w:r>
      <w:r>
        <w:rPr>
          <w:rtl w:val="true"/>
        </w:rPr>
        <w:t>תסקירים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בעניינם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האחר</w:t>
      </w:r>
      <w:r>
        <w:rPr>
          <w:rtl w:val="true"/>
        </w:rPr>
        <w:t xml:space="preserve">. </w:t>
      </w:r>
      <w:r>
        <w:rPr>
          <w:rtl w:val="true"/>
        </w:rPr>
        <w:t>לאחר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שהתקבלו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התסקירים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ביקש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</w:t>
      </w:r>
      <w:r>
        <w:rPr>
          <w:rtl w:val="true"/>
        </w:rPr>
        <w:t>-</w:t>
      </w:r>
      <w:r>
        <w:rPr>
          <w:rtl w:val="true"/>
        </w:rPr>
        <w:t>כוחו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לדחות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הדיון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בטענה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אמירה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מסוימת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המופיעה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בתסקיר</w:t>
      </w:r>
      <w:r>
        <w:rPr>
          <w:rtl w:val="true"/>
        </w:rPr>
        <w:t xml:space="preserve">, </w:t>
      </w:r>
      <w:r>
        <w:rPr>
          <w:rtl w:val="true"/>
        </w:rPr>
        <w:t>לפיה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מכחיש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המיוחס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לו</w:t>
      </w:r>
      <w:r>
        <w:rPr>
          <w:rtl w:val="true"/>
        </w:rPr>
        <w:t xml:space="preserve">, </w:t>
      </w:r>
      <w:r>
        <w:rPr>
          <w:rtl w:val="true"/>
        </w:rPr>
        <w:t>מקורה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הבנה</w:t>
      </w:r>
      <w:r>
        <w:rPr>
          <w:rtl w:val="true"/>
        </w:rPr>
        <w:t xml:space="preserve">. </w:t>
      </w:r>
      <w:r>
        <w:rPr>
          <w:rtl w:val="true"/>
        </w:rPr>
        <w:t>גם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</w:t>
      </w:r>
      <w:r>
        <w:rPr>
          <w:rtl w:val="true"/>
        </w:rPr>
        <w:t>-</w:t>
      </w:r>
      <w:r>
        <w:rPr>
          <w:rtl w:val="true"/>
        </w:rPr>
        <w:t>כוחו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הנאשם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ביקש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לדחות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הדיון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קבלת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תסקיר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משלים</w:t>
      </w:r>
      <w:r>
        <w:rPr>
          <w:rtl w:val="true"/>
        </w:rPr>
        <w:t xml:space="preserve">. </w:t>
      </w:r>
      <w:r>
        <w:rPr>
          <w:rtl w:val="true"/>
        </w:rPr>
        <w:t>לאחר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שמיעת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טיעוני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הצדדים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הנכבד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עונש</w:t>
      </w:r>
      <w:r>
        <w:rPr>
          <w:rtl w:val="true"/>
        </w:rPr>
        <w:t xml:space="preserve">, </w:t>
      </w:r>
      <w:r>
        <w:rPr>
          <w:rtl w:val="true"/>
        </w:rPr>
        <w:t>כמפורט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בסעיף</w:t>
      </w:r>
      <w:r>
        <w:rPr>
          <w:rFonts w:eastAsia="Arial TUR;Arial" w:cs="Arial TUR;Arial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שלעיל</w:t>
      </w:r>
      <w:r>
        <w:rPr>
          <w:rtl w:val="true"/>
        </w:rPr>
        <w:t xml:space="preserve">, </w:t>
      </w:r>
      <w:r>
        <w:rPr>
          <w:rtl w:val="true"/>
        </w:rPr>
        <w:t>לרבות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חמש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הנאשם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הנכבד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שנתיים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וחצי</w:t>
      </w:r>
      <w:r>
        <w:rPr>
          <w:rtl w:val="true"/>
        </w:rPr>
        <w:t xml:space="preserve">, </w:t>
      </w:r>
      <w:r>
        <w:rPr>
          <w:rtl w:val="true"/>
        </w:rPr>
        <w:t>עוד</w:t>
      </w:r>
      <w:r>
        <w:rPr>
          <w:rFonts w:eastAsia="Arial TUR;Arial" w:cs="Arial TUR;Arial"/>
          <w:rtl w:val="true"/>
        </w:rPr>
        <w:t xml:space="preserve"> 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תנאי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וקנס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בסך</w:t>
      </w:r>
      <w:r>
        <w:rPr>
          <w:rFonts w:eastAsia="Arial TUR;Arial" w:cs="Arial TUR;Arial"/>
          <w:rtl w:val="true"/>
        </w:rPr>
        <w:t xml:space="preserve"> </w:t>
      </w:r>
      <w:r>
        <w:rPr/>
        <w:t>10,000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rtl w:val="true"/>
        </w:rPr>
        <w:t>יוער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הסדר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הטיעון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לגבי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הנאשם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הנוסף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טיעון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פתוח</w:t>
      </w:r>
      <w:r>
        <w:rPr>
          <w:rtl w:val="true"/>
        </w:rPr>
        <w:t xml:space="preserve">" </w:t>
      </w:r>
      <w:r>
        <w:rPr>
          <w:rtl w:val="true"/>
        </w:rPr>
        <w:t>במסגרת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טווח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ענישה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מסוים</w:t>
      </w:r>
      <w:r>
        <w:rPr>
          <w:rtl w:val="true"/>
        </w:rPr>
        <w:t xml:space="preserve">, </w:t>
      </w:r>
      <w:r>
        <w:rPr>
          <w:rtl w:val="true"/>
        </w:rPr>
        <w:t>והעונש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שהושת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הנאשם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הנוסף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נכנס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בגדרי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הטווח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המוסכם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הערעור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שכנגד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מכוונים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כאמור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כנגד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שהושת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Times New Roman" w:hAnsi="Times New Roman"/>
          <w:spacing w:val="0"/>
          <w:sz w:val="28"/>
          <w:szCs w:val="24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טענות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בעלי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הדין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/>
        <w:t>4</w:t>
      </w:r>
      <w:r>
        <w:rPr>
          <w:rtl w:val="true"/>
        </w:rPr>
        <w:t>.</w:t>
        <w:tab/>
      </w:r>
      <w:r>
        <w:rPr>
          <w:rtl w:val="true"/>
        </w:rPr>
        <w:t>המדינה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טוענת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בערעורה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שהוטל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איננו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הולם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חומרת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המעשים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המיוחסות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לו</w:t>
      </w:r>
      <w:r>
        <w:rPr>
          <w:rtl w:val="true"/>
        </w:rPr>
        <w:t xml:space="preserve">, </w:t>
      </w:r>
      <w:r>
        <w:rPr>
          <w:rtl w:val="true"/>
        </w:rPr>
        <w:t>ולכן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מחטיא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מטרות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ההרתעה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ביחס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למעשים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מעין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, </w:t>
      </w:r>
      <w:r>
        <w:rPr>
          <w:rtl w:val="true"/>
        </w:rPr>
        <w:t>היוצרים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סכנה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חמורה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לכלל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הציבור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וזאת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בצע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כסף</w:t>
      </w:r>
      <w:r>
        <w:rPr>
          <w:rtl w:val="true"/>
        </w:rPr>
        <w:t xml:space="preserve">. </w:t>
      </w:r>
      <w:r>
        <w:rPr>
          <w:rtl w:val="true"/>
        </w:rPr>
        <w:t>המדינה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מוסיפה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וטוענת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מעשיו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מלמדים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נחישותו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לבצע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עסקאות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בכל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דרך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יוזם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מכירת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והתחמושת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ואף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דואג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להעבירם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לשטחים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להביאם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לידי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הקונה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מדגישה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הסדרתיות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שבמעשיו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נמכר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לתושב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השטחים</w:t>
      </w:r>
      <w:r>
        <w:rPr>
          <w:rtl w:val="true"/>
        </w:rPr>
        <w:t xml:space="preserve">. </w:t>
      </w:r>
      <w:r>
        <w:rPr>
          <w:rtl w:val="true"/>
        </w:rPr>
        <w:t>ביחס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לתסקירי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המבחן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מציינת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מלמדים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היעדר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תובנה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לחומרת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המעשים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נטייה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עבריינית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קושי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להפיק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לקחים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ובהתאם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מבקשת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עונשו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יוחמר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באופן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משמעותי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ביחס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לקנס</w:t>
      </w:r>
      <w:r>
        <w:rPr>
          <w:rtl w:val="true"/>
        </w:rPr>
        <w:t xml:space="preserve">, </w:t>
      </w:r>
      <w:r>
        <w:rPr>
          <w:rtl w:val="true"/>
        </w:rPr>
        <w:t>שאיננו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משקף</w:t>
      </w:r>
      <w:r>
        <w:rPr>
          <w:rtl w:val="true"/>
        </w:rPr>
        <w:t xml:space="preserve">, </w:t>
      </w:r>
      <w:r>
        <w:rPr>
          <w:rtl w:val="true"/>
        </w:rPr>
        <w:t>לשיטתה</w:t>
      </w:r>
      <w:r>
        <w:rPr>
          <w:rtl w:val="true"/>
        </w:rPr>
        <w:t xml:space="preserve">,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ההכנסה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שהפיק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ממכירת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</w:t>
      </w:r>
      <w:r>
        <w:rPr>
          <w:rtl w:val="true"/>
        </w:rPr>
        <w:t>-</w:t>
      </w:r>
      <w:r>
        <w:rPr/>
        <w:t>100,000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).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5</w:t>
      </w:r>
      <w:r>
        <w:rPr>
          <w:rtl w:val="true"/>
        </w:rPr>
        <w:t>.</w:t>
        <w:tab/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טוען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מנגד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בערעורו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הוא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נהגה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בתום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לב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מנעה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ממנו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האפשרות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לפצל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תיקו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מזה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שותפו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לכתב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טוען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ביקש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להעלות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טענות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לעניין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באוזני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הנאשם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הנוסף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ובנפרד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ממנו</w:t>
      </w:r>
      <w:r>
        <w:rPr>
          <w:rtl w:val="true"/>
        </w:rPr>
        <w:t xml:space="preserve">, </w:t>
      </w:r>
      <w:r>
        <w:rPr>
          <w:rtl w:val="true"/>
        </w:rPr>
        <w:t>ואילו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מנעה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ממנו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אפשרות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, </w:t>
      </w:r>
      <w:r>
        <w:rPr>
          <w:rtl w:val="true"/>
        </w:rPr>
        <w:t>ולכן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נשללה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ממנו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האפשרות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להעלאת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טענות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חשובות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שיכול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להעלות</w:t>
      </w:r>
      <w:r>
        <w:rPr>
          <w:rtl w:val="true"/>
        </w:rPr>
        <w:t xml:space="preserve">. </w:t>
      </w:r>
      <w:r>
        <w:rPr>
          <w:rtl w:val="true"/>
        </w:rPr>
        <w:t>הגם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שעיקר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ערעורו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מכוון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כלפי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מבקש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נוכח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השגתו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יותר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לחזור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מהודאתו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ולהביא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טענותיו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מדגיש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בטיעונו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לשיטתו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שהושת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חורג</w:t>
      </w:r>
      <w:r>
        <w:rPr>
          <w:rtl w:val="true"/>
        </w:rPr>
        <w:t xml:space="preserve">, </w:t>
      </w:r>
      <w:r>
        <w:rPr>
          <w:rtl w:val="true"/>
        </w:rPr>
        <w:t>לחומרה</w:t>
      </w:r>
      <w:r>
        <w:rPr>
          <w:rtl w:val="true"/>
        </w:rPr>
        <w:t xml:space="preserve">, </w:t>
      </w:r>
      <w:r>
        <w:rPr>
          <w:rtl w:val="true"/>
        </w:rPr>
        <w:t>מרמת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המקובלת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איננו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משקף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שפעל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כמקור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משטרתי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לטענתו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מנעה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ממנו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להעלות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טיעוניו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לגבי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מקור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משטרתי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בנפרד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מהנאשם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הנוסף</w:t>
      </w:r>
      <w:r>
        <w:rPr>
          <w:rtl w:val="true"/>
        </w:rPr>
        <w:t xml:space="preserve">, </w:t>
      </w:r>
      <w:r>
        <w:rPr>
          <w:rtl w:val="true"/>
        </w:rPr>
        <w:t>הוצג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בפנינו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מסמך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ששלחה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הפרקליטה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שטיפלה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בתיק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בפרקליטות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המחוז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לבא</w:t>
      </w:r>
      <w:r>
        <w:rPr>
          <w:rtl w:val="true"/>
        </w:rPr>
        <w:t>-</w:t>
      </w:r>
      <w:r>
        <w:rPr>
          <w:rtl w:val="true"/>
        </w:rPr>
        <w:t>כוחו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בתאריך</w:t>
      </w:r>
      <w:r>
        <w:rPr>
          <w:rFonts w:eastAsia="Arial TUR;Arial" w:cs="Arial TUR;Arial"/>
          <w:rtl w:val="true"/>
        </w:rPr>
        <w:t xml:space="preserve"> </w:t>
      </w:r>
      <w:r>
        <w:rPr/>
        <w:t>20.2.2008</w:t>
      </w:r>
      <w:r>
        <w:rPr>
          <w:rtl w:val="true"/>
        </w:rPr>
        <w:t xml:space="preserve">, </w:t>
      </w:r>
      <w:r>
        <w:rPr>
          <w:rtl w:val="true"/>
        </w:rPr>
        <w:t>ואשר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נועד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להעלות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הכתב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מצב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העדכני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אותה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עת</w:t>
      </w:r>
      <w:r>
        <w:rPr>
          <w:rtl w:val="true"/>
        </w:rPr>
        <w:t xml:space="preserve">. </w:t>
      </w:r>
      <w:r>
        <w:rPr>
          <w:rtl w:val="true"/>
        </w:rPr>
        <w:t>המכתב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נשלח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זמן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הודה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בעובדות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המתוקן</w:t>
      </w:r>
      <w:r>
        <w:rPr>
          <w:rtl w:val="true"/>
        </w:rPr>
        <w:t xml:space="preserve">, </w:t>
      </w:r>
      <w:r>
        <w:rPr>
          <w:rtl w:val="true"/>
        </w:rPr>
        <w:t>ובסמוך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סיום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ישיבה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מקדמית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שהתקיימה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בסוגיית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הטיעונים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לעונש</w:t>
      </w:r>
      <w:r>
        <w:rPr>
          <w:rtl w:val="true"/>
        </w:rPr>
        <w:t xml:space="preserve">. </w:t>
      </w:r>
      <w:r>
        <w:rPr>
          <w:rtl w:val="true"/>
        </w:rPr>
        <w:t>במכתב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צוין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ביקש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להעלות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בטיעוניו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טענות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בנוגע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לקשריו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הקודמים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המשטרה</w:t>
      </w:r>
      <w:r>
        <w:rPr>
          <w:rtl w:val="true"/>
        </w:rPr>
        <w:t xml:space="preserve">, </w:t>
      </w:r>
      <w:r>
        <w:rPr>
          <w:rtl w:val="true"/>
        </w:rPr>
        <w:t>בלא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לחשוף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הנאשם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הנוסף</w:t>
      </w:r>
      <w:r>
        <w:rPr>
          <w:rtl w:val="true"/>
        </w:rPr>
        <w:t xml:space="preserve">. </w:t>
      </w:r>
      <w:r>
        <w:rPr>
          <w:rtl w:val="true"/>
        </w:rPr>
        <w:t>המדינה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הציעה</w:t>
      </w:r>
      <w:r>
        <w:rPr>
          <w:rtl w:val="true"/>
        </w:rPr>
        <w:t xml:space="preserve">, </w:t>
      </w:r>
      <w:r>
        <w:rPr>
          <w:rtl w:val="true"/>
        </w:rPr>
        <w:t>בתגובה</w:t>
      </w:r>
      <w:r>
        <w:rPr>
          <w:rtl w:val="true"/>
        </w:rPr>
        <w:t xml:space="preserve">, </w:t>
      </w:r>
      <w:r>
        <w:rPr>
          <w:rtl w:val="true"/>
        </w:rPr>
        <w:t>להפריד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הדיון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יוכל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להעלות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טענותיו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בדלתיים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סגורות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תוך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העברתה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פראפרזה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לנאשם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הנוסף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תוכן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כללי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הטענות</w:t>
      </w:r>
      <w:r>
        <w:rPr>
          <w:rtl w:val="true"/>
        </w:rPr>
        <w:t>, "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מנת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תיפגענה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זכויותיו</w:t>
      </w:r>
      <w:r>
        <w:rPr>
          <w:rtl w:val="true"/>
        </w:rPr>
        <w:t>" (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הנאשם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הנוסף</w:t>
      </w:r>
      <w:r>
        <w:rPr>
          <w:rtl w:val="true"/>
        </w:rPr>
        <w:t xml:space="preserve">). </w:t>
      </w:r>
      <w:r>
        <w:rPr>
          <w:rtl w:val="true"/>
        </w:rPr>
        <w:t>במסמך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נאמר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</w:t>
      </w:r>
      <w:r>
        <w:rPr>
          <w:rtl w:val="true"/>
        </w:rPr>
        <w:t>-</w:t>
      </w:r>
      <w:r>
        <w:rPr>
          <w:rtl w:val="true"/>
        </w:rPr>
        <w:t>כוחו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הסכמתו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להעברת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הפרפראזה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לידי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הנאשם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הנוסף</w:t>
      </w:r>
      <w:r>
        <w:rPr>
          <w:rtl w:val="true"/>
        </w:rPr>
        <w:t xml:space="preserve">, </w:t>
      </w:r>
      <w:r>
        <w:rPr>
          <w:rtl w:val="true"/>
        </w:rPr>
        <w:t>כמוצע</w:t>
      </w:r>
      <w:r>
        <w:rPr>
          <w:rtl w:val="true"/>
        </w:rPr>
        <w:t xml:space="preserve">, </w:t>
      </w:r>
      <w:r>
        <w:rPr>
          <w:rtl w:val="true"/>
        </w:rPr>
        <w:t>ולכן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החליטו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ובא</w:t>
      </w:r>
      <w:r>
        <w:rPr>
          <w:rtl w:val="true"/>
        </w:rPr>
        <w:t>-</w:t>
      </w:r>
      <w:r>
        <w:rPr>
          <w:rtl w:val="true"/>
        </w:rPr>
        <w:t>כוחו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לוותר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טענותיהם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בנוגע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לקשרי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המשטרה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הטיעונים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לעונש</w:t>
      </w:r>
      <w:r>
        <w:rPr>
          <w:rtl w:val="true"/>
        </w:rPr>
        <w:t xml:space="preserve">, </w:t>
      </w:r>
      <w:r>
        <w:rPr>
          <w:rtl w:val="true"/>
        </w:rPr>
        <w:t>וכי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טיעונים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יישמעו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במאוחד</w:t>
      </w:r>
      <w:r>
        <w:rPr>
          <w:rtl w:val="true"/>
        </w:rPr>
        <w:t xml:space="preserve">. </w:t>
      </w:r>
      <w:r>
        <w:rPr>
          <w:rtl w:val="true"/>
        </w:rPr>
        <w:t>בתאריך</w:t>
      </w:r>
      <w:r>
        <w:rPr>
          <w:rFonts w:eastAsia="Arial TUR;Arial" w:cs="Arial TUR;Arial"/>
          <w:rtl w:val="true"/>
        </w:rPr>
        <w:t xml:space="preserve"> </w:t>
      </w:r>
      <w:r>
        <w:rPr/>
        <w:t>25.2.2008</w:t>
      </w:r>
      <w:r>
        <w:rPr>
          <w:rtl w:val="true"/>
        </w:rPr>
        <w:t xml:space="preserve"> </w:t>
      </w:r>
      <w:r>
        <w:rPr>
          <w:rtl w:val="true"/>
        </w:rPr>
        <w:t>אכן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נשמעו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טיעוני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הנאשם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הנוסף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והמדינה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לעונש</w:t>
      </w:r>
      <w:r>
        <w:rPr>
          <w:rtl w:val="true"/>
        </w:rPr>
        <w:t xml:space="preserve">, </w:t>
      </w:r>
      <w:r>
        <w:rPr>
          <w:rtl w:val="true"/>
        </w:rPr>
        <w:t>בלא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יעלה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קשריו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הקודמים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המשטרה</w:t>
      </w:r>
      <w:r>
        <w:rPr>
          <w:rtl w:val="true"/>
        </w:rPr>
        <w:t xml:space="preserve">, </w:t>
      </w:r>
      <w:r>
        <w:rPr>
          <w:rtl w:val="true"/>
        </w:rPr>
        <w:t>ולאחר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הנכבד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הוציא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האמור</w:t>
      </w:r>
      <w:r>
        <w:rPr>
          <w:rtl w:val="true"/>
        </w:rPr>
        <w:t xml:space="preserve">, </w:t>
      </w:r>
      <w:r>
        <w:rPr>
          <w:rtl w:val="true"/>
        </w:rPr>
        <w:t>נשוא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הערעורים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Times New Roman" w:hAnsi="Times New Roman"/>
          <w:spacing w:val="0"/>
          <w:sz w:val="28"/>
          <w:szCs w:val="24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דיון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והכרעה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/>
        <w:t>6</w:t>
      </w:r>
      <w:r>
        <w:rPr>
          <w:rtl w:val="true"/>
        </w:rPr>
        <w:t>.</w:t>
        <w:tab/>
      </w:r>
      <w:r>
        <w:rPr>
          <w:rtl w:val="true"/>
        </w:rPr>
        <w:t>לאחר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שעיינו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בשני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הערעורים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ובחומר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שצורף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להם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שמענו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טיעוני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הצדדים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אציע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לחבריי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;Arial" w:cs="Arial TUR;Arial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יתקבל</w:t>
      </w:r>
      <w:r>
        <w:rPr>
          <w:rFonts w:ascii="Times New Roman" w:hAnsi="Times New Roman" w:cs="Times New Roman"/>
          <w:rtl w:val="true"/>
        </w:rPr>
        <w:t xml:space="preserve"> במובן זה שעונש המאסר בפועל שהושת על המערער יוחמר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מבלי שתמוצה שורת הדין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וערעורו של המערער –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יידחה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אתחיל דווקא בערעורו של המערער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ind w:end="0"/>
        <w:jc w:val="both"/>
        <w:rPr/>
      </w:pPr>
      <w:r>
        <w:rPr/>
        <w:t>7</w:t>
      </w:r>
      <w:r>
        <w:rPr>
          <w:rtl w:val="true"/>
        </w:rPr>
        <w:t>.</w:t>
        <w:tab/>
      </w:r>
      <w:r>
        <w:rPr>
          <w:rFonts w:ascii="Times New Roman" w:hAnsi="Times New Roman" w:cs="Times New Roman"/>
          <w:rtl w:val="true"/>
        </w:rPr>
        <w:t>המערער הודה בעובדות כתב האישום במסגרת הסדר טיעון פתוח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שבו לא הסכימו הצדדים על עונש וגם לא על טווח ענישה שיטענו לו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הוא היה מיוצג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והוא הוזהר על ידי בית המשפט הנכבד בטרם הודה במיוחס לו בכתב האישום המתוקן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הטעם שהוא מעלה כעת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על מנת שיתאפשר לו לחזור בו מהודאתו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הינו התנהלותה של הפרקליטות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שהיתה נגועה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לשיטתו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בחוסר תום לב מפני שמנעה ממנו להעלות את טענותיו בנפרד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עוד הוא מלין על כך שהפרקליטות מערערת על חומרת העונש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אף שלטענתו העונש שנגזר עליו נמצא בטווח ענישה שעלה במשא ומתן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שהתקיים בין הצדדים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לשם בחינת הטענות נחזור איפוא למושכלות ראשונים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ind w:end="0"/>
        <w:jc w:val="both"/>
        <w:rPr/>
      </w:pPr>
      <w:r>
        <w:rPr>
          <w:rFonts w:cs="Times New Roman" w:ascii="Times New Roman" w:hAnsi="Times New Roman"/>
        </w:rPr>
        <w:t>8</w:t>
      </w:r>
      <w:r>
        <w:rPr>
          <w:rFonts w:cs="Times New Roman" w:ascii="Times New Roman" w:hAnsi="Times New Roman"/>
          <w:rtl w:val="true"/>
        </w:rPr>
        <w:t>.</w:t>
        <w:tab/>
      </w:r>
      <w:r>
        <w:rPr>
          <w:rFonts w:ascii="Times New Roman" w:hAnsi="Times New Roman" w:cs="Times New Roman"/>
          <w:rtl w:val="true"/>
        </w:rPr>
        <w:t>ככלל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בית המשפט יאפשר לנאשם לחזור בו מהודאתו רק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מטעמים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מיוחדים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ראו</w:t>
      </w:r>
      <w:r>
        <w:rPr>
          <w:rFonts w:cs="Times New Roman" w:ascii="Times New Roman" w:hAnsi="Times New Roman"/>
          <w:rtl w:val="true"/>
        </w:rPr>
        <w:t xml:space="preserve">: </w:t>
      </w:r>
      <w:hyperlink r:id="rId18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סעיף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153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(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א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)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ל</w:t>
      </w:r>
      <w:hyperlink r:id="rId19"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חוק</w:t>
        </w:r>
        <w:r>
          <w:rPr>
            <w:rStyle w:val="Hyperlink"/>
            <w:rFonts w:ascii="Times New Roman" w:hAnsi="Times New Roman" w:cs="Times New Roman"/>
            <w:spacing w:val="0"/>
            <w:sz w:val="28"/>
            <w:sz w:val="28"/>
            <w:szCs w:val="24"/>
            <w:rtl w:val="true"/>
          </w:rPr>
          <w:t xml:space="preserve"> </w:t>
        </w:r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סדר</w:t>
        </w:r>
        <w:r>
          <w:rPr>
            <w:rStyle w:val="Hyperlink"/>
            <w:rFonts w:ascii="Times New Roman" w:hAnsi="Times New Roman" w:cs="Times New Roman"/>
            <w:spacing w:val="0"/>
            <w:sz w:val="28"/>
            <w:sz w:val="28"/>
            <w:szCs w:val="24"/>
            <w:rtl w:val="true"/>
          </w:rPr>
          <w:t xml:space="preserve"> </w:t>
        </w:r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הדין</w:t>
        </w:r>
        <w:r>
          <w:rPr>
            <w:rStyle w:val="Hyperlink"/>
            <w:rFonts w:ascii="Times New Roman" w:hAnsi="Times New Roman" w:cs="Times New Roman"/>
            <w:spacing w:val="0"/>
            <w:sz w:val="28"/>
            <w:sz w:val="28"/>
            <w:szCs w:val="24"/>
            <w:rtl w:val="true"/>
          </w:rPr>
          <w:t xml:space="preserve"> </w:t>
        </w:r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הפלילי</w:t>
        </w:r>
      </w:hyperlink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(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נוסח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משולב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),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התשמ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-</w:t>
      </w:r>
      <w:r>
        <w:rPr>
          <w:rFonts w:cs="Miriam" w:ascii="Times New Roman" w:hAnsi="Times New Roman"/>
          <w:spacing w:val="0"/>
          <w:sz w:val="28"/>
          <w:szCs w:val="24"/>
        </w:rPr>
        <w:t>1982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להלן</w:t>
      </w:r>
      <w:r>
        <w:rPr>
          <w:rFonts w:cs="Times New Roman" w:ascii="Times New Roman" w:hAnsi="Times New Roman"/>
          <w:rtl w:val="true"/>
        </w:rPr>
        <w:t>: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</w:t>
      </w:r>
      <w:hyperlink r:id="rId20"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חסד</w:t>
        </w:r>
        <w:r>
          <w:rPr>
            <w:rStyle w:val="Hyperlink"/>
            <w:rFonts w:cs="Miriam" w:ascii="Times New Roman" w:hAnsi="Times New Roman"/>
            <w:spacing w:val="0"/>
            <w:sz w:val="28"/>
            <w:szCs w:val="24"/>
            <w:rtl w:val="true"/>
          </w:rPr>
          <w:t>"</w:t>
        </w:r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פ</w:t>
        </w:r>
      </w:hyperlink>
      <w:r>
        <w:rPr>
          <w:rFonts w:cs="Miriam" w:ascii="Times New Roman" w:hAnsi="Times New Roman"/>
          <w:spacing w:val="0"/>
          <w:sz w:val="28"/>
          <w:szCs w:val="24"/>
          <w:rtl w:val="true"/>
        </w:rPr>
        <w:t>)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הקורא כך</w:t>
      </w:r>
      <w:r>
        <w:rPr>
          <w:rFonts w:cs="Times New Roman" w:ascii="Times New Roman" w:hAnsi="Times New Roman"/>
          <w:rtl w:val="true"/>
        </w:rPr>
        <w:t>: "</w:t>
      </w:r>
      <w:r>
        <w:rPr>
          <w:rtl w:val="true"/>
        </w:rPr>
        <w:t>הודה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הנאשם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בעובדה</w:t>
      </w:r>
      <w:r>
        <w:rPr>
          <w:rtl w:val="true"/>
        </w:rPr>
        <w:t xml:space="preserve">, </w:t>
      </w:r>
      <w:r>
        <w:rPr>
          <w:rtl w:val="true"/>
        </w:rPr>
        <w:t>אם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בהודיה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שבכתב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לפני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ואם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במהלך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 xml:space="preserve">, </w:t>
      </w:r>
      <w:r>
        <w:rPr>
          <w:rtl w:val="true"/>
        </w:rPr>
        <w:t>רשאי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בכל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לחזור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ההודיה</w:t>
      </w:r>
      <w:r>
        <w:rPr>
          <w:rtl w:val="true"/>
        </w:rPr>
        <w:t xml:space="preserve">, </w:t>
      </w:r>
      <w:r>
        <w:rPr>
          <w:rtl w:val="true"/>
        </w:rPr>
        <w:t>כולה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מקצתה</w:t>
      </w:r>
      <w:r>
        <w:rPr>
          <w:rtl w:val="true"/>
        </w:rPr>
        <w:t xml:space="preserve">, </w:t>
      </w:r>
      <w:r>
        <w:rPr>
          <w:rtl w:val="true"/>
        </w:rPr>
        <w:t>אם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נימוקים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מיוחדים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tl w:val="true"/>
        </w:rPr>
        <w:t>שיירשמו</w:t>
      </w:r>
      <w:r>
        <w:rPr>
          <w:rtl w:val="true"/>
        </w:rPr>
        <w:t>"</w:t>
      </w:r>
      <w:r>
        <w:rPr>
          <w:rFonts w:cs="Times New Roman" w:ascii="Times New Roman" w:hAnsi="Times New Roman"/>
          <w:rtl w:val="true"/>
        </w:rPr>
        <w:t xml:space="preserve">; </w:t>
      </w:r>
      <w:r>
        <w:rPr>
          <w:rFonts w:ascii="Times New Roman" w:hAnsi="Times New Roman" w:cs="Times New Roman"/>
          <w:rtl w:val="true"/>
        </w:rPr>
        <w:t>לפרשנות – וליישום ההוראה – עיינו</w:t>
      </w:r>
      <w:r>
        <w:rPr>
          <w:rFonts w:cs="Times New Roman" w:ascii="Times New Roman" w:hAnsi="Times New Roman"/>
          <w:rtl w:val="true"/>
        </w:rPr>
        <w:t xml:space="preserve">: </w:t>
      </w:r>
      <w:hyperlink r:id="rId21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1958/98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פלוני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</w:t>
        </w:r>
        <w:r>
          <w:rPr>
            <w:rStyle w:val="Hyperlink"/>
            <w:color w:val="0000FF"/>
            <w:u w:val="single"/>
            <w:rtl w:val="true"/>
          </w:rPr>
          <w:t xml:space="preserve">' </w:t>
        </w:r>
        <w:r>
          <w:rPr>
            <w:rStyle w:val="Hyperlink"/>
            <w:color w:val="0000FF"/>
            <w:u w:val="single"/>
            <w:rtl w:val="true"/>
          </w:rPr>
          <w:t>מדינת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ישראל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ד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נז</w:t>
        </w:r>
      </w:hyperlink>
      <w:r>
        <w:rPr>
          <w:rtl w:val="true"/>
        </w:rPr>
        <w:t>(</w:t>
      </w:r>
      <w:r>
        <w:rPr/>
        <w:t>1</w:t>
      </w:r>
      <w:r>
        <w:rPr>
          <w:rtl w:val="true"/>
        </w:rPr>
        <w:t xml:space="preserve">) </w:t>
      </w:r>
      <w:r>
        <w:rPr/>
        <w:t>577</w:t>
      </w:r>
      <w:r>
        <w:rPr>
          <w:rtl w:val="true"/>
        </w:rPr>
        <w:t xml:space="preserve">, </w:t>
      </w:r>
      <w:r>
        <w:rPr/>
        <w:t>620</w:t>
      </w:r>
      <w:r>
        <w:rPr>
          <w:rtl w:val="true"/>
        </w:rPr>
        <w:t xml:space="preserve"> (</w:t>
      </w:r>
      <w:r>
        <w:rPr/>
        <w:t>2002</w:t>
      </w:r>
      <w:r>
        <w:rPr>
          <w:rtl w:val="true"/>
        </w:rPr>
        <w:t>) 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עניין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פלוני</w:t>
      </w:r>
      <w:r>
        <w:rPr>
          <w:rFonts w:cs="Times New Roman" w:ascii="Times New Roman" w:hAnsi="Times New Roman"/>
          <w:rtl w:val="true"/>
        </w:rPr>
        <w:t>)</w:t>
      </w:r>
      <w:r>
        <w:rPr>
          <w:rtl w:val="true"/>
        </w:rPr>
        <w:t xml:space="preserve">; </w:t>
      </w:r>
      <w:hyperlink r:id="rId22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3341/05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ז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'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ק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(</w:t>
      </w:r>
      <w:r>
        <w:rPr>
          <w:rFonts w:cs="David" w:ascii="David" w:hAnsi="David"/>
          <w:sz w:val="24"/>
          <w:szCs w:val="24"/>
          <w:rtl w:val="true"/>
        </w:rPr>
        <w:t>[</w:t>
      </w:r>
      <w:r>
        <w:rPr>
          <w:rFonts w:ascii="David" w:hAnsi="David" w:cs="David"/>
          <w:sz w:val="24"/>
          <w:sz w:val="24"/>
          <w:szCs w:val="24"/>
          <w:rtl w:val="true"/>
        </w:rPr>
        <w:t>פורסם בנבו</w:t>
      </w:r>
      <w:r>
        <w:rPr>
          <w:rFonts w:cs="David" w:ascii="David" w:hAnsi="David"/>
          <w:sz w:val="24"/>
          <w:szCs w:val="24"/>
          <w:rtl w:val="true"/>
        </w:rPr>
        <w:t>]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cs="Times New Roman" w:ascii="Times New Roman" w:hAnsi="Times New Roman"/>
        </w:rPr>
        <w:t>24.1.2004</w:t>
      </w:r>
      <w:r>
        <w:rPr>
          <w:rFonts w:cs="Times New Roman" w:ascii="Times New Roman" w:hAnsi="Times New Roman"/>
          <w:rtl w:val="true"/>
        </w:rPr>
        <w:t xml:space="preserve">)). </w:t>
      </w:r>
      <w:r>
        <w:rPr>
          <w:rFonts w:ascii="Times New Roman" w:hAnsi="Times New Roman" w:cs="Times New Roman"/>
          <w:rtl w:val="true"/>
        </w:rPr>
        <w:t xml:space="preserve">מטענותיו של המערער בפנינו קשה להבין מהו אותו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נימוק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מיוחד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בהתאם </w:t>
      </w:r>
      <w:hyperlink r:id="rId23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לסעיף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153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(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א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)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ל</w:t>
      </w:r>
      <w:hyperlink r:id="rId24">
        <w:r>
          <w:rPr>
            <w:rStyle w:val="Hyperlink"/>
            <w:rFonts w:ascii="Times New Roman" w:hAnsi="Times New Roman" w:cs="Times New Roman"/>
            <w:rtl w:val="true"/>
          </w:rPr>
          <w:t>חסד</w:t>
        </w:r>
        <w:r>
          <w:rPr>
            <w:rStyle w:val="Hyperlink"/>
            <w:rFonts w:cs="Times New Roman" w:ascii="Times New Roman" w:hAnsi="Times New Roman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rtl w:val="true"/>
          </w:rPr>
          <w:t>פ</w:t>
        </w:r>
      </w:hyperlink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המצדיק כי נאפשר לו לחזור בו מהסדר הטיעון ומההודאה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למעט טענתו כי נמנעה ממנו האפשרות להעלות את טיעוניו בנפרד מאלה של הנאשם הנוסף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 xml:space="preserve">מהודעת הערעור של המערער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 xml:space="preserve">סעיף </w:t>
      </w:r>
      <w:r>
        <w:rPr>
          <w:rFonts w:cs="Times New Roman" w:ascii="Times New Roman" w:hAnsi="Times New Roman"/>
        </w:rPr>
        <w:t>1.5</w:t>
      </w:r>
      <w:r>
        <w:rPr>
          <w:rFonts w:cs="Times New Roman" w:ascii="Times New Roman" w:hAnsi="Times New Roman"/>
          <w:rtl w:val="true"/>
        </w:rPr>
        <w:t xml:space="preserve">) </w:t>
      </w:r>
      <w:r>
        <w:rPr>
          <w:rFonts w:ascii="Times New Roman" w:hAnsi="Times New Roman" w:cs="Times New Roman"/>
          <w:rtl w:val="true"/>
        </w:rPr>
        <w:t xml:space="preserve">עולה כי עוד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קודם</w:t>
      </w:r>
      <w:r>
        <w:rPr>
          <w:rFonts w:ascii="Times New Roman" w:hAnsi="Times New Roman" w:cs="Times New Roman"/>
          <w:rtl w:val="true"/>
        </w:rPr>
        <w:t xml:space="preserve"> גיבוש הסדר הטיעון הוא ניסה להביא להפרדת עניינו שלו מעניינו של הנאשם הנוסף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אך המדינה התנגדה לכך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ובכל זאת – המערער בחר להודות במסגרת הסדר הטיעון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וזאת 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 xml:space="preserve">בתקווה כי דבריו הרגישים ישמעו במהלך הטיעונים לעונש ובפרט יהיו בנפרד מהנאשם </w:t>
      </w:r>
      <w:r>
        <w:rPr>
          <w:rFonts w:cs="Times New Roman" w:ascii="Times New Roman" w:hAnsi="Times New Roman"/>
          <w:rtl w:val="true"/>
        </w:rPr>
        <w:t>[</w:t>
      </w:r>
      <w:r>
        <w:rPr>
          <w:rFonts w:ascii="Times New Roman" w:hAnsi="Times New Roman" w:cs="Times New Roman"/>
          <w:rtl w:val="true"/>
        </w:rPr>
        <w:t>הנוסף</w:t>
      </w:r>
      <w:r>
        <w:rPr>
          <w:rFonts w:cs="Times New Roman" w:ascii="Times New Roman" w:hAnsi="Times New Roman"/>
          <w:rtl w:val="true"/>
        </w:rPr>
        <w:t>]" (</w:t>
      </w:r>
      <w:r>
        <w:rPr>
          <w:rFonts w:ascii="Times New Roman" w:hAnsi="Times New Roman" w:cs="Times New Roman"/>
          <w:rtl w:val="true"/>
        </w:rPr>
        <w:t xml:space="preserve">סעיפים </w:t>
      </w:r>
      <w:r>
        <w:rPr>
          <w:rFonts w:cs="Times New Roman" w:ascii="Times New Roman" w:hAnsi="Times New Roman"/>
        </w:rPr>
        <w:t>1.7-1.5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להודעת הערעור</w:t>
      </w:r>
      <w:r>
        <w:rPr>
          <w:rFonts w:cs="Times New Roman" w:ascii="Times New Roman" w:hAnsi="Times New Roman"/>
          <w:rtl w:val="true"/>
        </w:rPr>
        <w:t xml:space="preserve">). </w:t>
      </w:r>
      <w:r>
        <w:rPr>
          <w:rFonts w:ascii="Times New Roman" w:hAnsi="Times New Roman" w:cs="Times New Roman"/>
          <w:rtl w:val="true"/>
        </w:rPr>
        <w:t>העובדה שתקווה זו נכזבה איננה מהווה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כמובן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עילה לחזרתו מן ההודאה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בנוסף לכך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הרי שממכתבה האמור של הפרקליטות מתאריך </w:t>
      </w:r>
      <w:r>
        <w:rPr>
          <w:rFonts w:cs="Times New Roman" w:ascii="Times New Roman" w:hAnsi="Times New Roman"/>
        </w:rPr>
        <w:t>20.2.2008</w:t>
      </w:r>
      <w:r>
        <w:rPr>
          <w:rFonts w:cs="Times New Roman" w:ascii="Times New Roman" w:hAnsi="Times New Roman"/>
          <w:rtl w:val="true"/>
        </w:rPr>
        <w:t xml:space="preserve"> (</w:t>
      </w:r>
      <w:r>
        <w:rPr>
          <w:rFonts w:ascii="Times New Roman" w:hAnsi="Times New Roman" w:cs="Times New Roman"/>
          <w:rtl w:val="true"/>
        </w:rPr>
        <w:t>שנשלח קודם שנשמעו הטיעונים לעונש</w:t>
      </w:r>
      <w:r>
        <w:rPr>
          <w:rFonts w:cs="Times New Roman" w:ascii="Times New Roman" w:hAnsi="Times New Roman"/>
          <w:rtl w:val="true"/>
        </w:rPr>
        <w:t xml:space="preserve">) </w:t>
      </w:r>
      <w:r>
        <w:rPr>
          <w:rFonts w:ascii="Times New Roman" w:hAnsi="Times New Roman" w:cs="Times New Roman"/>
          <w:rtl w:val="true"/>
        </w:rPr>
        <w:t xml:space="preserve">עולה כי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לאחר</w:t>
      </w:r>
      <w:r>
        <w:rPr>
          <w:rFonts w:ascii="Times New Roman" w:hAnsi="Times New Roman" w:cs="Times New Roman"/>
          <w:rtl w:val="true"/>
        </w:rPr>
        <w:t xml:space="preserve"> שהמערער הודה באמור בכתב האישום המתוקן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וביקש להעלות את טיעוניו לעונש בנפרד מן הנאשם הנוסף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הפרקליטות הסכימה לכך עקרונית – ובלבד שתועבר פרפראזה לידי הנאשם הנוסף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כפי שאכן ראוי שייעשה</w:t>
      </w:r>
      <w:r>
        <w:rPr>
          <w:rFonts w:cs="Times New Roman" w:ascii="Times New Roman" w:hAnsi="Times New Roman"/>
          <w:rtl w:val="true"/>
        </w:rPr>
        <w:t xml:space="preserve">). </w:t>
      </w:r>
      <w:r>
        <w:rPr>
          <w:rFonts w:ascii="Times New Roman" w:hAnsi="Times New Roman" w:cs="Times New Roman"/>
          <w:rtl w:val="true"/>
        </w:rPr>
        <w:t>המערער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בעצת בא</w:t>
      </w:r>
      <w:r>
        <w:rPr>
          <w:rFonts w:cs="Times New Roman" w:ascii="Times New Roman" w:hAnsi="Times New Roman"/>
          <w:rtl w:val="true"/>
        </w:rPr>
        <w:t>-</w:t>
      </w:r>
      <w:r>
        <w:rPr>
          <w:rFonts w:ascii="Times New Roman" w:hAnsi="Times New Roman" w:cs="Times New Roman"/>
          <w:rtl w:val="true"/>
        </w:rPr>
        <w:t>כוחו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בחר לדחות הצעה זו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העדיף לטעון לעונש יחד עם הנאשם הנוסף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וזאת מבלי להיזקק לנתון ששימש בעבר כמקור משטרתי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הוא גם לא ביקש לחזור בו באותו מועד מהודאתו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אלא לאחר שניתן גזר הדין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שלא הניח את דעתו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נוכח כל האמור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אינני סבור כי קיים כאן פסול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או פגם בהודאה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שיש בו בגדר נימוק מיוחד המצדיק היענות לבקשתו לחזור בו מן ההודאה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ind w:end="0"/>
        <w:jc w:val="both"/>
        <w:rPr/>
      </w:pPr>
      <w:r>
        <w:rPr>
          <w:rFonts w:cs="Times New Roman" w:ascii="Times New Roman" w:hAnsi="Times New Roman"/>
        </w:rPr>
        <w:t>9</w:t>
      </w:r>
      <w:r>
        <w:rPr>
          <w:rFonts w:cs="Times New Roman" w:ascii="Times New Roman" w:hAnsi="Times New Roman"/>
          <w:rtl w:val="true"/>
        </w:rPr>
        <w:t>.</w:t>
        <w:tab/>
      </w:r>
      <w:r>
        <w:rPr>
          <w:rFonts w:ascii="Times New Roman" w:hAnsi="Times New Roman" w:cs="Times New Roman"/>
          <w:rtl w:val="true"/>
        </w:rPr>
        <w:t>אשר לעונש שהושת על המערער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המערער טוען כי העונש שהושת עליו הינו עונש חמור מדי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ואיננו מביא בחשבון את נסיבותיו האישיות ושיקולים של שיקום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המדינה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סבורה מנגד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שהעונש קל מדי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ואיננו מביא לידי ביטוי את השיקול ההרתעתי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את החומרה הרבה שבמעשיו של המערער ואת המסוכנות הנשקפת ממנו נוכח מעשיו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יצוין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כי משלא הסכימו הצדדים על מינעד של ענישה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שבמסגרתו יטענו בבית המשפט הנכבד קמא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שמורה לשני הצדדים הזכות להשיג על העונש שהושת לבסוף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וממילא – בית המשפט איננו כבול להסדר הטיעון שהובא בפניו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ראו</w:t>
      </w:r>
      <w:r>
        <w:rPr>
          <w:rFonts w:cs="Times New Roman" w:ascii="Times New Roman" w:hAnsi="Times New Roman"/>
          <w:rtl w:val="true"/>
        </w:rPr>
        <w:t xml:space="preserve">: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עניין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פלוני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cs="Times New Roman" w:ascii="Times New Roman" w:hAnsi="Times New Roman"/>
        </w:rPr>
        <w:t>621-620</w:t>
      </w:r>
      <w:r>
        <w:rPr>
          <w:rFonts w:cs="Times New Roman" w:ascii="Times New Roman" w:hAnsi="Times New Roman"/>
          <w:rtl w:val="true"/>
        </w:rPr>
        <w:t xml:space="preserve">). </w:t>
      </w:r>
      <w:r>
        <w:rPr>
          <w:rFonts w:ascii="Times New Roman" w:hAnsi="Times New Roman" w:cs="Times New Roman"/>
          <w:rtl w:val="true"/>
        </w:rPr>
        <w:t>ועתה לבחינת הפסיקה הרלבנטית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זו אכן מלמדת כי העונש שהושת על המערער אמנם נוטה לקולא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בהתחשב בעבירות החמורות שבהן הודה והורשע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כידוע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ערכאת הערעור איננה נוטה ככלל להתערב בעונש שהוטל בערכאה הדיונית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למעט במקרים החריגים שבהם נפלה בגזר הדין טעות מהותית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הבולטת על פניה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או כאשר העונש שנגזר על נאשם חורג באופן קיצוני מרמת הענישה המקובלת בנסיבות דומות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ראו</w:t>
      </w:r>
      <w:r>
        <w:rPr>
          <w:rFonts w:cs="Times New Roman" w:ascii="Times New Roman" w:hAnsi="Times New Roman"/>
          <w:rtl w:val="true"/>
        </w:rPr>
        <w:t xml:space="preserve">: </w:t>
      </w:r>
      <w:hyperlink r:id="rId25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ע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פ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4629/09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פלוני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(</w:t>
      </w:r>
      <w:r>
        <w:rPr>
          <w:rFonts w:cs="David" w:ascii="David" w:hAnsi="David"/>
          <w:sz w:val="24"/>
          <w:szCs w:val="24"/>
          <w:rtl w:val="true"/>
        </w:rPr>
        <w:t>[</w:t>
      </w:r>
      <w:r>
        <w:rPr>
          <w:rFonts w:ascii="David" w:hAnsi="David" w:cs="David"/>
          <w:sz w:val="24"/>
          <w:sz w:val="24"/>
          <w:szCs w:val="24"/>
          <w:rtl w:val="true"/>
        </w:rPr>
        <w:t>פורסם בנבו</w:t>
      </w:r>
      <w:r>
        <w:rPr>
          <w:rFonts w:cs="David" w:ascii="David" w:hAnsi="David"/>
          <w:sz w:val="24"/>
          <w:szCs w:val="24"/>
          <w:rtl w:val="true"/>
        </w:rPr>
        <w:t>]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cs="Times New Roman" w:ascii="Times New Roman" w:hAnsi="Times New Roman"/>
        </w:rPr>
        <w:t>18.11.2009</w:t>
      </w:r>
      <w:r>
        <w:rPr>
          <w:rFonts w:cs="Times New Roman" w:ascii="Times New Roman" w:hAnsi="Times New Roman"/>
          <w:rtl w:val="true"/>
        </w:rPr>
        <w:t xml:space="preserve">); </w:t>
      </w:r>
      <w:hyperlink r:id="rId26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ע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פ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7125/09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מטודי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(</w:t>
      </w:r>
      <w:r>
        <w:rPr>
          <w:rFonts w:cs="David" w:ascii="David" w:hAnsi="David"/>
          <w:sz w:val="24"/>
          <w:szCs w:val="24"/>
          <w:rtl w:val="true"/>
        </w:rPr>
        <w:t>[</w:t>
      </w:r>
      <w:r>
        <w:rPr>
          <w:rFonts w:ascii="David" w:hAnsi="David" w:cs="David"/>
          <w:sz w:val="24"/>
          <w:sz w:val="24"/>
          <w:szCs w:val="24"/>
          <w:rtl w:val="true"/>
        </w:rPr>
        <w:t>פורסם בנבו</w:t>
      </w:r>
      <w:r>
        <w:rPr>
          <w:rFonts w:cs="David" w:ascii="David" w:hAnsi="David"/>
          <w:sz w:val="24"/>
          <w:szCs w:val="24"/>
          <w:rtl w:val="true"/>
        </w:rPr>
        <w:t>]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cs="Times New Roman" w:ascii="Times New Roman" w:hAnsi="Times New Roman"/>
        </w:rPr>
        <w:t>5.11.2009</w:t>
      </w:r>
      <w:r>
        <w:rPr>
          <w:rFonts w:cs="Times New Roman" w:ascii="Times New Roman" w:hAnsi="Times New Roman"/>
          <w:rtl w:val="true"/>
        </w:rPr>
        <w:t xml:space="preserve">)). </w:t>
      </w:r>
      <w:r>
        <w:rPr>
          <w:rFonts w:ascii="Times New Roman" w:hAnsi="Times New Roman" w:cs="Times New Roman"/>
          <w:rtl w:val="true"/>
        </w:rPr>
        <w:t>במקרה שלפנינו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דומה כי העונש שהושת על הנאשם איננו משקף במלואו את החומרה היתרה שנשקפת ממעשיו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עבירות הנשק שבהן הורשע המערער הן עבירות חמורות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המצדיקות עונש חמור בהתאם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ראו</w:t>
      </w:r>
      <w:r>
        <w:rPr>
          <w:rFonts w:cs="Times New Roman" w:ascii="Times New Roman" w:hAnsi="Times New Roman"/>
          <w:rtl w:val="true"/>
        </w:rPr>
        <w:t xml:space="preserve">: </w:t>
      </w:r>
      <w:hyperlink r:id="rId27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ע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פ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11475/04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סוארכה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(</w:t>
      </w:r>
      <w:r>
        <w:rPr>
          <w:rFonts w:cs="David" w:ascii="David" w:hAnsi="David"/>
          <w:sz w:val="24"/>
          <w:szCs w:val="24"/>
          <w:rtl w:val="true"/>
        </w:rPr>
        <w:t>[</w:t>
      </w:r>
      <w:r>
        <w:rPr>
          <w:rFonts w:ascii="David" w:hAnsi="David" w:cs="David"/>
          <w:sz w:val="24"/>
          <w:sz w:val="24"/>
          <w:szCs w:val="24"/>
          <w:rtl w:val="true"/>
        </w:rPr>
        <w:t>פורסם בנבו</w:t>
      </w:r>
      <w:r>
        <w:rPr>
          <w:rFonts w:cs="David" w:ascii="David" w:hAnsi="David"/>
          <w:sz w:val="24"/>
          <w:szCs w:val="24"/>
          <w:rtl w:val="true"/>
        </w:rPr>
        <w:t>]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cs="Times New Roman" w:ascii="Times New Roman" w:hAnsi="Times New Roman"/>
        </w:rPr>
        <w:t>7.11.2005</w:t>
      </w:r>
      <w:r>
        <w:rPr>
          <w:rFonts w:cs="Times New Roman" w:ascii="Times New Roman" w:hAnsi="Times New Roman"/>
          <w:rtl w:val="true"/>
        </w:rPr>
        <w:t xml:space="preserve">)). </w:t>
      </w:r>
      <w:r>
        <w:rPr>
          <w:rFonts w:ascii="Times New Roman" w:hAnsi="Times New Roman" w:cs="Times New Roman"/>
          <w:rtl w:val="true"/>
        </w:rPr>
        <w:t xml:space="preserve">חומרה מיוחדת זו נלמדת כאן מן הסדרתיות שבמעשיו של המערער ומכך שהנשק היה זמין לו עד כדי כך שהצליח להשיג רובה </w:t>
      </w:r>
      <w:r>
        <w:rPr>
          <w:rFonts w:cs="Times New Roman" w:ascii="Times New Roman" w:hAnsi="Times New Roman"/>
        </w:rPr>
        <w:t>M-16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המיועד למכירה בתוך יום אחד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בפסיקה נקבע עוד כי יש לייחס חומרה נוספת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כאשר מכירת הנשק מבוצעת על ידי אזרח ישראלי לידי תושב השטחים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בעת שהישראלי מודע או אדיש לתוצאות האפשריות של מעשיו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ראו</w:t>
      </w:r>
      <w:r>
        <w:rPr>
          <w:rFonts w:cs="Times New Roman" w:ascii="Times New Roman" w:hAnsi="Times New Roman"/>
          <w:rtl w:val="true"/>
        </w:rPr>
        <w:t xml:space="preserve">: </w:t>
      </w:r>
      <w:hyperlink r:id="rId28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ע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פ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2171/07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בראנסי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(</w:t>
      </w:r>
      <w:r>
        <w:rPr>
          <w:rFonts w:cs="David" w:ascii="David" w:hAnsi="David"/>
          <w:sz w:val="24"/>
          <w:szCs w:val="24"/>
          <w:rtl w:val="true"/>
        </w:rPr>
        <w:t>[</w:t>
      </w:r>
      <w:r>
        <w:rPr>
          <w:rFonts w:ascii="David" w:hAnsi="David" w:cs="David"/>
          <w:sz w:val="24"/>
          <w:sz w:val="24"/>
          <w:szCs w:val="24"/>
          <w:rtl w:val="true"/>
        </w:rPr>
        <w:t>פורסם בנבו</w:t>
      </w:r>
      <w:r>
        <w:rPr>
          <w:rFonts w:cs="David" w:ascii="David" w:hAnsi="David"/>
          <w:sz w:val="24"/>
          <w:szCs w:val="24"/>
          <w:rtl w:val="true"/>
        </w:rPr>
        <w:t>]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cs="Times New Roman" w:ascii="Times New Roman" w:hAnsi="Times New Roman"/>
        </w:rPr>
        <w:t>31.10.2007</w:t>
      </w:r>
      <w:r>
        <w:rPr>
          <w:rFonts w:cs="Times New Roman" w:ascii="Times New Roman" w:hAnsi="Times New Roman"/>
          <w:rtl w:val="true"/>
        </w:rPr>
        <w:t xml:space="preserve">)). 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  <w:rtl w:val="true"/>
        </w:rPr>
      </w:r>
    </w:p>
    <w:p>
      <w:pPr>
        <w:pStyle w:val="Ruller41"/>
        <w:ind w:end="0"/>
        <w:jc w:val="both"/>
        <w:rPr/>
      </w:pPr>
      <w:r>
        <w:rPr>
          <w:sz w:val="28"/>
        </w:rPr>
        <w:t>10</w:t>
      </w:r>
      <w:r>
        <w:rPr>
          <w:sz w:val="28"/>
          <w:rtl w:val="true"/>
        </w:rPr>
        <w:t>.</w:t>
        <w:tab/>
      </w:r>
      <w:r>
        <w:rPr>
          <w:rFonts w:ascii="Times New Roman" w:hAnsi="Times New Roman" w:cs="Times New Roman"/>
          <w:rtl w:val="true"/>
        </w:rPr>
        <w:t>בנסיבות הנ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ל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עונש המאסר שהושת על המערער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הכולל חמש שנות מאסר בפועל – הגם שאיננו עונש קל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איננו הולם את המעשים החמורים שבוצעו על ידו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וראוי היה לסברתי לגזור על המערער עונש מאסר כבד משמעותית מזה שהושת עליו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עם זאת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נוכח העיקרון המקובל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שלפיו ער</w:t>
      </w:r>
      <w:r>
        <w:rPr>
          <w:sz w:val="28"/>
          <w:sz w:val="28"/>
          <w:rtl w:val="true"/>
        </w:rPr>
        <w:t>כאת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הערעור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איננה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ממצה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בשלב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את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העונש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עם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הנאשמים</w:t>
      </w:r>
      <w:r>
        <w:rPr>
          <w:sz w:val="28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אמליץ לחבריי לקבל את ערעור המדינה ולהחמיר בעונשו של המערער באופן מתון יחסית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כך שירצה שש שנות מאסר בפועל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ולא חמש שנות מאסר בפועל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ללא שישונה רכיב המאסר על תנאי שהושת עליו</w:t>
      </w:r>
      <w:r>
        <w:rPr>
          <w:rFonts w:cs="Times New Roman" w:ascii="Times New Roman" w:hAnsi="Times New Roman"/>
          <w:rtl w:val="true"/>
        </w:rPr>
        <w:t xml:space="preserve">). </w:t>
      </w:r>
      <w:r>
        <w:rPr>
          <w:rFonts w:ascii="Times New Roman" w:hAnsi="Times New Roman" w:cs="Times New Roman"/>
          <w:rtl w:val="true"/>
        </w:rPr>
        <w:t>בקביעת העונש הנ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ל הבאתי בחשבון את מכלול הדברים שהוצגו בפנינו בהקשר זה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לרבות נסיבותיו האישיות של המערער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הנלמדות מן התסקירים שהוגשו וכן מגזר הדין בעניינו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sz w:val="28"/>
          <w:sz w:val="28"/>
          <w:rtl w:val="true"/>
        </w:rPr>
        <w:t>אציע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עם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זאת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נתערב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בגובה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הקנס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שהוטל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וזאת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נוכח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האמור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בתסקירים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לגבי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מצבה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הכלכלי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משפחתו</w:t>
      </w:r>
      <w:r>
        <w:rPr>
          <w:sz w:val="28"/>
          <w:rtl w:val="true"/>
        </w:rPr>
        <w:t xml:space="preserve">. 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</w:rPr>
        <w:t>11</w:t>
      </w:r>
      <w:r>
        <w:rPr>
          <w:sz w:val="28"/>
          <w:rtl w:val="true"/>
        </w:rPr>
        <w:t>.</w:t>
        <w:tab/>
      </w:r>
      <w:r>
        <w:rPr>
          <w:sz w:val="28"/>
          <w:sz w:val="28"/>
          <w:rtl w:val="true"/>
        </w:rPr>
        <w:t>סוף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דבר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–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אציע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לחברי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לדחות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ערעור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ולקבל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ערעור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המדינה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במובן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זה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שהמערער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ירצה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עונש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מאסר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בפועל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שש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שנים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במקום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חמש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שנים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ביתר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רכיבי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העונש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–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יחול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שינוי</w:t>
      </w:r>
      <w:r>
        <w:rPr>
          <w:sz w:val="28"/>
          <w:rtl w:val="true"/>
        </w:rPr>
        <w:t>.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  <w:tab/>
        <w:tab/>
        <w:tab/>
        <w:tab/>
        <w:tab/>
        <w:tab/>
        <w:tab/>
        <w:tab/>
        <w:tab/>
        <w:tab/>
      </w:r>
      <w:r>
        <w:rPr>
          <w:sz w:val="28"/>
          <w:sz w:val="28"/>
          <w:rtl w:val="true"/>
        </w:rPr>
        <w:t>ש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ט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  <w:u w:val="single"/>
        </w:rPr>
      </w:pP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/>
          <w:spacing w:val="0"/>
          <w:sz w:val="28"/>
          <w:szCs w:val="24"/>
          <w:u w:val="single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כב</w:t>
      </w: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השופט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u w:val="single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ס</w:t>
      </w: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ג</w:t>
      </w: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  <w:t>'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ובראן</w:t>
      </w: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  <w:t>: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  <w:u w:val="single"/>
        </w:rPr>
      </w:pP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  <w:tab/>
      </w:r>
      <w:r>
        <w:rPr>
          <w:sz w:val="28"/>
          <w:sz w:val="28"/>
          <w:rtl w:val="true"/>
        </w:rPr>
        <w:t>אני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מסכים</w:t>
      </w:r>
      <w:r>
        <w:rPr>
          <w:sz w:val="28"/>
          <w:rtl w:val="true"/>
        </w:rPr>
        <w:t>.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  <w:tab/>
        <w:tab/>
        <w:tab/>
        <w:tab/>
        <w:tab/>
        <w:tab/>
        <w:tab/>
        <w:tab/>
        <w:tab/>
        <w:tab/>
      </w:r>
      <w:r>
        <w:rPr>
          <w:sz w:val="28"/>
          <w:sz w:val="28"/>
          <w:rtl w:val="true"/>
        </w:rPr>
        <w:t>ש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</w:t>
      </w:r>
      <w:r>
        <w:rPr>
          <w:rFonts w:eastAsia="Arial TUR;Arial" w:cs="Arial TUR;Arial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ט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  <w:u w:val="single"/>
        </w:rPr>
      </w:pP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/>
          <w:spacing w:val="0"/>
          <w:sz w:val="28"/>
          <w:szCs w:val="24"/>
          <w:u w:val="single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כב</w:t>
      </w: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השופט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u w:val="single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י</w:t>
      </w: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עמית</w:t>
      </w: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  <w:t>: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  <w:u w:val="single"/>
        </w:rPr>
      </w:pP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אני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מסכים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  <w:tab/>
        <w:tab/>
        <w:tab/>
        <w:tab/>
        <w:tab/>
        <w:tab/>
        <w:tab/>
        <w:tab/>
        <w:tab/>
      </w:r>
      <w:r>
        <w:rPr>
          <w:rtl w:val="true"/>
        </w:rPr>
        <w:t>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הוחלט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כאמור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בפסק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</w:t>
      </w:r>
      <w:r>
        <w:rPr>
          <w:rtl w:val="true"/>
        </w:rPr>
        <w:t xml:space="preserve">' </w:t>
      </w:r>
      <w:r>
        <w:rPr>
          <w:rtl w:val="true"/>
        </w:rPr>
        <w:t>מלצר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 xml:space="preserve">, </w:t>
      </w:r>
      <w:r>
        <w:rPr>
          <w:rtl w:val="true"/>
        </w:rPr>
        <w:t>ו</w:t>
      </w:r>
      <w:r>
        <w:rPr>
          <w:rtl w:val="true"/>
        </w:rPr>
        <w:t xml:space="preserve">' </w:t>
      </w:r>
      <w:r>
        <w:rPr>
          <w:rtl w:val="true"/>
        </w:rPr>
        <w:t>בשבט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תש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/>
        <w:t>21.1.10</w:t>
      </w:r>
      <w:r>
        <w:rPr>
          <w:rtl w:val="true"/>
        </w:rPr>
        <w:t xml:space="preserve">).   </w:t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  <w:rtl w:val="true"/>
        </w:rPr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Ruller41"/>
        <w:ind w:end="0"/>
        <w:jc w:val="both"/>
        <w:rPr/>
      </w:pPr>
      <w:r>
        <w:rPr>
          <w:color w:val="FFFFFF"/>
          <w:sz w:val="2"/>
          <w:szCs w:val="2"/>
        </w:rPr>
        <w:t>54678313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4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 w:cs="David"/>
          <w:color w:val="000000"/>
          <w:szCs w:val="22"/>
          <w:rtl w:val="true"/>
        </w:rPr>
        <w:t>ס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 w:cs="David"/>
          <w:color w:val="000000"/>
          <w:szCs w:val="22"/>
          <w:rtl w:val="true"/>
        </w:rPr>
        <w:t>ג</w:t>
      </w:r>
      <w:r>
        <w:rPr>
          <w:rFonts w:cs="David" w:ascii="David" w:hAnsi="David"/>
          <w:color w:val="000000"/>
          <w:szCs w:val="22"/>
          <w:rtl w:val="true"/>
        </w:rPr>
        <w:t>'</w:t>
      </w:r>
      <w:r>
        <w:rPr>
          <w:rFonts w:ascii="David" w:hAnsi="David" w:cs="David"/>
          <w:color w:val="000000"/>
          <w:szCs w:val="22"/>
          <w:rtl w:val="true"/>
        </w:rPr>
        <w:t xml:space="preserve">ובראן </w:t>
      </w:r>
      <w:r>
        <w:rPr>
          <w:rFonts w:cs="David" w:ascii="David" w:hAnsi="David"/>
          <w:color w:val="000000"/>
          <w:szCs w:val="22"/>
        </w:rPr>
        <w:t>54678313-3651/08</w:t>
      </w:r>
    </w:p>
    <w:p>
      <w:pPr>
        <w:pStyle w:val="Ruller41"/>
        <w:ind w:end="0"/>
        <w:jc w:val="center"/>
        <w:rPr/>
      </w:pPr>
      <w:r>
        <w:rPr>
          <w:rtl w:val="true"/>
        </w:rPr>
        <w:t>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</w:t>
      </w:r>
      <w:r>
        <w:rPr>
          <w:rtl w:val="true"/>
        </w:rPr>
        <w:tab/>
        <w:tab/>
        <w:tab/>
        <w:tab/>
      </w:r>
      <w:r>
        <w:rPr>
          <w:rtl w:val="true"/>
        </w:rPr>
        <w:t>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</w:t>
      </w:r>
      <w:r>
        <w:rPr>
          <w:rtl w:val="true"/>
        </w:rPr>
        <w:tab/>
        <w:tab/>
        <w:tab/>
        <w:tab/>
      </w:r>
      <w:r>
        <w:rPr>
          <w:rtl w:val="true"/>
        </w:rPr>
        <w:t>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>  </w:t>
      </w:r>
      <w:bookmarkStart w:id="19" w:name="FileName"/>
      <w:r>
        <w:rPr>
          <w:sz w:val="16"/>
        </w:rPr>
        <w:t>08036510</w:t>
      </w:r>
      <w:r>
        <w:rPr>
          <w:sz w:val="16"/>
          <w:rtl w:val="true"/>
        </w:rPr>
        <w:t>_</w:t>
      </w:r>
      <w:r>
        <w:rPr>
          <w:sz w:val="16"/>
        </w:rPr>
        <w:t>K01.doc</w:t>
      </w:r>
      <w:r>
        <w:rPr>
          <w:sz w:val="16"/>
          <w:rtl w:val="true"/>
        </w:rPr>
        <w:t xml:space="preserve">   </w:t>
      </w:r>
      <w:bookmarkEnd w:id="19"/>
      <w:r>
        <w:rPr>
          <w:sz w:val="16"/>
          <w:sz w:val="16"/>
          <w:rtl w:val="true"/>
        </w:rPr>
        <w:t>מה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02-6593666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  </w:t>
      </w:r>
      <w:hyperlink r:id="rId29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hyperlink r:id="rId30">
        <w:r>
          <w:rPr>
            <w:rStyle w:val="Hyperlink"/>
            <w:color w:val="0000FF"/>
            <w:szCs w:val="24"/>
            <w:u w:val="single"/>
            <w:rtl w:val="true"/>
          </w:rPr>
          <w:t>הודעה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למנויים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על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- </w:t>
        </w:r>
        <w:r>
          <w:rPr>
            <w:rStyle w:val="Hyperlink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sectPr>
      <w:headerReference w:type="default" r:id="rId31"/>
      <w:footerReference w:type="default" r:id="rId32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altName w:val="Arial"/>
    <w:charset w:val="00" w:characterSet="windows-1252"/>
    <w:family w:val="swiss"/>
    <w:pitch w:val="variable"/>
  </w:font>
  <w:font w:name="Guttman Yad">
    <w:charset w:val="b1" w:characterSet="windows-1255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David">
    <w:charset w:val="b1" w:characterSet="windows-1255"/>
    <w:family w:val="auto"/>
    <w:pitch w:val="variable"/>
  </w:font>
  <w:font w:name="FrankRuehl">
    <w:charset w:val="b1" w:characterSet="windows-1255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10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cs="Times New Roman"/>
        <w:color w:val="000000"/>
        <w:sz w:val="28"/>
        <w:szCs w:val="22"/>
      </w:rPr>
    </w:pPr>
    <w:r>
      <w:rPr>
        <w:rFonts w:cs="Times New Roman"/>
        <w:color w:val="000000"/>
        <w:sz w:val="28"/>
        <w:sz w:val="28"/>
        <w:szCs w:val="22"/>
        <w:rtl w:val="true"/>
      </w:rPr>
      <w:t>נבו הוצאה לאור בע</w:t>
    </w:r>
    <w:r>
      <w:rPr>
        <w:rFonts w:cs="Times New Roman"/>
        <w:color w:val="000000"/>
        <w:sz w:val="28"/>
        <w:szCs w:val="22"/>
        <w:rtl w:val="true"/>
      </w:rPr>
      <w:t>"</w:t>
    </w:r>
    <w:r>
      <w:rPr>
        <w:rFonts w:cs="Times New Roman"/>
        <w:color w:val="000000"/>
        <w:sz w:val="28"/>
        <w:sz w:val="28"/>
        <w:szCs w:val="22"/>
        <w:rtl w:val="true"/>
      </w:rPr>
      <w:t xml:space="preserve">מ  </w:t>
    </w:r>
    <w:r>
      <w:rPr>
        <w:rFonts w:cs="Times New Roman"/>
        <w:color w:val="000000"/>
        <w:sz w:val="28"/>
        <w:szCs w:val="22"/>
      </w:rPr>
      <w:t>nevo.co.il</w:t>
    </w:r>
    <w:r>
      <w:rPr>
        <w:rFonts w:cs="Times New Roman"/>
        <w:color w:val="000000"/>
        <w:sz w:val="28"/>
        <w:szCs w:val="22"/>
        <w:rtl w:val="true"/>
      </w:rPr>
      <w:t xml:space="preserve">   </w:t>
    </w:r>
    <w:r>
      <w:rPr>
        <w:rFonts w:cs="Times New Roman"/>
        <w:color w:val="000000"/>
        <w:sz w:val="28"/>
        <w:sz w:val="28"/>
        <w:szCs w:val="22"/>
        <w:rtl w:val="true"/>
      </w:rPr>
      <w:t>המאגר המשפטי הישראלי</w:t>
    </w:r>
  </w:p>
  <w:p>
    <w:pPr>
      <w:pStyle w:val="Footer"/>
      <w:pBdr>
        <w:top w:val="single" w:sz="4" w:space="1" w:color="000000"/>
      </w:pBdr>
      <w:ind w:end="0"/>
      <w:jc w:val="start"/>
      <w:rPr>
        <w:rFonts w:cs="Times New Roman"/>
        <w:color w:val="000000"/>
        <w:sz w:val="14"/>
        <w:szCs w:val="14"/>
      </w:rPr>
    </w:pPr>
    <w:r>
      <w:rPr>
        <w:rFonts w:cs="Times New Roman"/>
        <w:color w:val="000000"/>
        <w:sz w:val="14"/>
        <w:szCs w:val="14"/>
        <w:rtl w:val="true"/>
      </w:rPr>
      <w:fldChar w:fldCharType="begin"/>
    </w:r>
    <w:r>
      <w:rPr>
        <w:rtl w:val="true"/>
        <w:sz w:val="14"/>
        <w:szCs w:val="14"/>
        <w:rFonts w:cs="Times New Roman"/>
        <w:color w:val="000000"/>
      </w:rPr>
      <w:instrText xml:space="preserve"> FILENAME \p </w:instrText>
    </w:r>
    <w:r>
      <w:rPr>
        <w:rtl w:val="true"/>
        <w:sz w:val="14"/>
        <w:szCs w:val="14"/>
        <w:rFonts w:cs="Times New Roman"/>
        <w:color w:val="000000"/>
      </w:rPr>
      <w:fldChar w:fldCharType="separate"/>
    </w:r>
    <w:r>
      <w:rPr>
        <w:rtl w:val="true"/>
        <w:sz w:val="14"/>
        <w:szCs w:val="14"/>
        <w:rFonts w:cs="Times New Roman"/>
        <w:color w:val="000000"/>
      </w:rPr>
      <w:t>/Users/liorb/Library/CloudStorage/OneDrive-post.bgu.ac.il/Thesis!!!/code/lcp/citations_2018/08036510-k01.doc</w:t>
    </w:r>
    <w:r>
      <w:rPr>
        <w:rtl w:val="true"/>
        <w:sz w:val="14"/>
        <w:szCs w:val="14"/>
        <w:rFonts w:cs="Times New Roman"/>
        <w:color w:val="00000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3651/08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פלוני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Ruller4">
    <w:name w:val="Ruller4 תו"/>
    <w:basedOn w:val="DefaultParagraphFont"/>
    <w:qFormat/>
    <w:rPr>
      <w:rFonts w:ascii="Arial TUR;Arial" w:hAnsi="Arial TUR;Arial" w:cs="FrankRuehl"/>
      <w:spacing w:val="10"/>
      <w:sz w:val="22"/>
      <w:szCs w:val="28"/>
      <w:lang w:val="en-US" w:bidi="he-IL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ascii="Guttman Yad" w:hAnsi="Guttman Yad" w:cs="Guttman Yad"/>
    </w:rPr>
  </w:style>
  <w:style w:type="character" w:styleId="Ruller3">
    <w:name w:val="Ruller 3 תו"/>
    <w:basedOn w:val="DefaultParagraphFont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basedOn w:val="Ruller3"/>
    <w:qFormat/>
    <w:rPr>
      <w:rFonts w:cs="David"/>
    </w:rPr>
  </w:style>
  <w:style w:type="character" w:styleId="Ruller38">
    <w:name w:val="סגנון Ruller 3 + (מורכב) ‏8 נק תו"/>
    <w:basedOn w:val="BodyRuller"/>
    <w:qFormat/>
    <w:rPr>
      <w:szCs w:val="16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;Arial" w:hAnsi="Arial TUR;Arial" w:cs="DavidFix;Times New Roman"/>
      <w:spacing w:val="10"/>
      <w:sz w:val="22"/>
      <w:szCs w:val="20"/>
    </w:rPr>
  </w:style>
  <w:style w:type="paragraph" w:styleId="WriterName">
    <w:name w:val="Writer Name"/>
    <w:basedOn w:val="Ruller41"/>
    <w:next w:val="Ruller41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6245097" TargetMode="External"/><Relationship Id="rId3" Type="http://schemas.openxmlformats.org/officeDocument/2006/relationships/hyperlink" Target="http://www.nevo.co.il/case/6245097" TargetMode="External"/><Relationship Id="rId4" Type="http://schemas.openxmlformats.org/officeDocument/2006/relationships/hyperlink" Target="http://www.nevo.co.il/case/6245244" TargetMode="External"/><Relationship Id="rId5" Type="http://schemas.openxmlformats.org/officeDocument/2006/relationships/hyperlink" Target="http://www.nevo.co.il/case/6245097" TargetMode="External"/><Relationship Id="rId6" Type="http://schemas.openxmlformats.org/officeDocument/2006/relationships/hyperlink" Target="http://www.nevo.co.il/case/6245097" TargetMode="External"/><Relationship Id="rId7" Type="http://schemas.openxmlformats.org/officeDocument/2006/relationships/hyperlink" Target="http://www.nevo.co.il/case/6245244" TargetMode="External"/><Relationship Id="rId8" Type="http://schemas.openxmlformats.org/officeDocument/2006/relationships/hyperlink" Target="http://www.nevo.co.il/case/2260505" TargetMode="External"/><Relationship Id="rId9" Type="http://schemas.openxmlformats.org/officeDocument/2006/relationships/hyperlink" Target="http://www.nevo.co.il/case/6245097" TargetMode="External"/><Relationship Id="rId10" Type="http://schemas.openxmlformats.org/officeDocument/2006/relationships/hyperlink" Target="http://www.nevo.co.il/case/6245097" TargetMode="External"/><Relationship Id="rId11" Type="http://schemas.openxmlformats.org/officeDocument/2006/relationships/hyperlink" Target="http://www.nevo.co.il/case/6245244" TargetMode="External"/><Relationship Id="rId12" Type="http://schemas.openxmlformats.org/officeDocument/2006/relationships/hyperlink" Target="http://www.nevo.co.il/case/6245097" TargetMode="External"/><Relationship Id="rId13" Type="http://schemas.openxmlformats.org/officeDocument/2006/relationships/hyperlink" Target="http://www.nevo.co.il/case/6245097" TargetMode="External"/><Relationship Id="rId14" Type="http://schemas.openxmlformats.org/officeDocument/2006/relationships/hyperlink" Target="http://www.nevo.co.il/case/6245244" TargetMode="External"/><Relationship Id="rId15" Type="http://schemas.openxmlformats.org/officeDocument/2006/relationships/hyperlink" Target="http://www.nevo.co.il/law/74903" TargetMode="External"/><Relationship Id="rId16" Type="http://schemas.openxmlformats.org/officeDocument/2006/relationships/hyperlink" Target="http://www.nevo.co.il/law/74903/153.a" TargetMode="External"/><Relationship Id="rId17" Type="http://schemas.openxmlformats.org/officeDocument/2006/relationships/hyperlink" Target="http://www.nevo.co.il/case/6245244" TargetMode="External"/><Relationship Id="rId18" Type="http://schemas.openxmlformats.org/officeDocument/2006/relationships/hyperlink" Target="http://www.nevo.co.il/law/74903/153.a" TargetMode="External"/><Relationship Id="rId19" Type="http://schemas.openxmlformats.org/officeDocument/2006/relationships/hyperlink" Target="http://www.nevo.co.il/law/74903" TargetMode="External"/><Relationship Id="rId20" Type="http://schemas.openxmlformats.org/officeDocument/2006/relationships/hyperlink" Target="http://www.nevo.co.il/law/74903" TargetMode="External"/><Relationship Id="rId21" Type="http://schemas.openxmlformats.org/officeDocument/2006/relationships/hyperlink" Target="http://www.nevo.co.il/case/5910650" TargetMode="External"/><Relationship Id="rId22" Type="http://schemas.openxmlformats.org/officeDocument/2006/relationships/hyperlink" Target="http://www.nevo.co.il/case/5889959" TargetMode="External"/><Relationship Id="rId23" Type="http://schemas.openxmlformats.org/officeDocument/2006/relationships/hyperlink" Target="http://www.nevo.co.il/law/74903/153.a" TargetMode="External"/><Relationship Id="rId24" Type="http://schemas.openxmlformats.org/officeDocument/2006/relationships/hyperlink" Target="http://www.nevo.co.il/law/74903" TargetMode="External"/><Relationship Id="rId25" Type="http://schemas.openxmlformats.org/officeDocument/2006/relationships/hyperlink" Target="http://www.nevo.co.il/case/6245772" TargetMode="External"/><Relationship Id="rId26" Type="http://schemas.openxmlformats.org/officeDocument/2006/relationships/hyperlink" Target="http://www.nevo.co.il/links/psika/?link=&#1506;&#1508;%207125/09" TargetMode="External"/><Relationship Id="rId27" Type="http://schemas.openxmlformats.org/officeDocument/2006/relationships/hyperlink" Target="http://www.nevo.co.il/case/6180844" TargetMode="External"/><Relationship Id="rId28" Type="http://schemas.openxmlformats.org/officeDocument/2006/relationships/hyperlink" Target="http://www.nevo.co.il/case/5816167" TargetMode="External"/><Relationship Id="rId29" Type="http://schemas.openxmlformats.org/officeDocument/2006/relationships/hyperlink" Target="http://www.court.gov.il/" TargetMode="External"/><Relationship Id="rId30" Type="http://schemas.openxmlformats.org/officeDocument/2006/relationships/hyperlink" Target="http://www.nevo.co.il/advertisements/nevo-100.doc" TargetMode="External"/><Relationship Id="rId31" Type="http://schemas.openxmlformats.org/officeDocument/2006/relationships/header" Target="header1.xml"/><Relationship Id="rId32" Type="http://schemas.openxmlformats.org/officeDocument/2006/relationships/footer" Target="footer1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08036510.K01.doc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2014-12-30T16:44:00Z</dcterms:created>
  <dc:creator> </dc:creator>
  <dc:description/>
  <cp:keywords/>
  <dc:language>en-IL</dc:language>
  <cp:lastModifiedBy>hofit</cp:lastModifiedBy>
  <cp:lastPrinted>2010-01-18T14:41:00Z</cp:lastPrinted>
  <dcterms:modified xsi:type="dcterms:W3CDTF">2014-12-30T16:44:00Z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EE">
    <vt:lpwstr>פלוני</vt:lpwstr>
  </property>
  <property fmtid="{D5CDD505-2E9C-101B-9397-08002B2CF9AE}" pid="4" name="CASENOTES1">
    <vt:lpwstr>ProcID=133;209&amp;PartA=7125&amp;PartC=09</vt:lpwstr>
  </property>
  <property fmtid="{D5CDD505-2E9C-101B-9397-08002B2CF9AE}" pid="5" name="CASESLISTTMP1">
    <vt:lpwstr>6245097:4;6245244:5;2260505:2;2260503;6126199;5910650;5889959;6245772;6180844;5816167</vt:lpwstr>
  </property>
  <property fmtid="{D5CDD505-2E9C-101B-9397-08002B2CF9AE}" pid="6" name="CITY">
    <vt:lpwstr/>
  </property>
  <property fmtid="{D5CDD505-2E9C-101B-9397-08002B2CF9AE}" pid="7" name="DATE">
    <vt:lpwstr>20100121</vt:lpwstr>
  </property>
  <property fmtid="{D5CDD505-2E9C-101B-9397-08002B2CF9AE}" pid="8" name="DELEMATA">
    <vt:lpwstr/>
  </property>
  <property fmtid="{D5CDD505-2E9C-101B-9397-08002B2CF9AE}" pid="9" name="ISABSTRACT">
    <vt:lpwstr>Y</vt:lpwstr>
  </property>
  <property fmtid="{D5CDD505-2E9C-101B-9397-08002B2CF9AE}" pid="10" name="JUDGE">
    <vt:lpwstr>ס' ג'ובראן;ח' מלצר;י' עמית</vt:lpwstr>
  </property>
  <property fmtid="{D5CDD505-2E9C-101B-9397-08002B2CF9AE}" pid="11" name="LAWLISTTMP1">
    <vt:lpwstr>74903/153.a:2</vt:lpwstr>
  </property>
  <property fmtid="{D5CDD505-2E9C-101B-9397-08002B2CF9AE}" pid="12" name="LAWYER">
    <vt:lpwstr>אחמד חמזה יונס;יעל שרף</vt:lpwstr>
  </property>
  <property fmtid="{D5CDD505-2E9C-101B-9397-08002B2CF9AE}" pid="13" name="LINKK1">
    <vt:lpwstr>http://www.nevo.co.il/Psika_word/mechozi/m07003599-379.doc;להחלטה במחוזי (25-09-2007)#בש 3599/07 מדינת ישראל נ' פלוני#שופטים: ר. שפירא</vt:lpwstr>
  </property>
  <property fmtid="{D5CDD505-2E9C-101B-9397-08002B2CF9AE}" pid="14" name="LINKK10">
    <vt:lpwstr/>
  </property>
  <property fmtid="{D5CDD505-2E9C-101B-9397-08002B2CF9AE}" pid="15" name="LINKK11">
    <vt:lpwstr/>
  </property>
  <property fmtid="{D5CDD505-2E9C-101B-9397-08002B2CF9AE}" pid="16" name="LINKK12">
    <vt:lpwstr/>
  </property>
  <property fmtid="{D5CDD505-2E9C-101B-9397-08002B2CF9AE}" pid="17" name="LINKK2">
    <vt:lpwstr>http://www.nevo.co.il/Psika_word/elyon/07083030-v01-e.doc;להחלטה בעליון (19-10-2007)#בשפ 8303/07 פלוני נ' מדינת ישראל#שופטים: אסתר חיות#עו''ד: אליעז וינשל, סאמי מלחם</vt:lpwstr>
  </property>
  <property fmtid="{D5CDD505-2E9C-101B-9397-08002B2CF9AE}" pid="18" name="LINKK3">
    <vt:lpwstr>http://www.nevo.co.il/Psika_word/mechozi/m07006137-233.doc;לגזר-דין במחוזי (12-03-2008)#תפ 6137/07 מדינת ישראל נ' אלמוני#שופטים: ברכה בר זיו#עו''ד: כבהא מוחמד, מלחם סאמי</vt:lpwstr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LINKK6">
    <vt:lpwstr/>
  </property>
  <property fmtid="{D5CDD505-2E9C-101B-9397-08002B2CF9AE}" pid="22" name="LINKK7">
    <vt:lpwstr/>
  </property>
  <property fmtid="{D5CDD505-2E9C-101B-9397-08002B2CF9AE}" pid="23" name="LINKK8">
    <vt:lpwstr/>
  </property>
  <property fmtid="{D5CDD505-2E9C-101B-9397-08002B2CF9AE}" pid="24" name="LINKK9">
    <vt:lpwstr/>
  </property>
  <property fmtid="{D5CDD505-2E9C-101B-9397-08002B2CF9AE}" pid="25" name="METAKZER">
    <vt:lpwstr>פאני</vt:lpwstr>
  </property>
  <property fmtid="{D5CDD505-2E9C-101B-9397-08002B2CF9AE}" pid="26" name="NEWPARTA">
    <vt:lpwstr/>
  </property>
  <property fmtid="{D5CDD505-2E9C-101B-9397-08002B2CF9AE}" pid="27" name="NEWPARTB">
    <vt:lpwstr/>
  </property>
  <property fmtid="{D5CDD505-2E9C-101B-9397-08002B2CF9AE}" pid="28" name="NEWPARTC">
    <vt:lpwstr/>
  </property>
  <property fmtid="{D5CDD505-2E9C-101B-9397-08002B2CF9AE}" pid="29" name="NEWPROC">
    <vt:lpwstr/>
  </property>
  <property fmtid="{D5CDD505-2E9C-101B-9397-08002B2CF9AE}" pid="30" name="NOSE11">
    <vt:lpwstr>דיון פלילי</vt:lpwstr>
  </property>
  <property fmtid="{D5CDD505-2E9C-101B-9397-08002B2CF9AE}" pid="31" name="NOSE110">
    <vt:lpwstr/>
  </property>
  <property fmtid="{D5CDD505-2E9C-101B-9397-08002B2CF9AE}" pid="32" name="NOSE12">
    <vt:lpwstr>דיון פלילי</vt:lpwstr>
  </property>
  <property fmtid="{D5CDD505-2E9C-101B-9397-08002B2CF9AE}" pid="33" name="NOSE13">
    <vt:lpwstr>עונשין</vt:lpwstr>
  </property>
  <property fmtid="{D5CDD505-2E9C-101B-9397-08002B2CF9AE}" pid="34" name="NOSE14">
    <vt:lpwstr>עונשין</vt:lpwstr>
  </property>
  <property fmtid="{D5CDD505-2E9C-101B-9397-08002B2CF9AE}" pid="35" name="NOSE15">
    <vt:lpwstr>עונשין</vt:lpwstr>
  </property>
  <property fmtid="{D5CDD505-2E9C-101B-9397-08002B2CF9AE}" pid="36" name="NOSE16">
    <vt:lpwstr/>
  </property>
  <property fmtid="{D5CDD505-2E9C-101B-9397-08002B2CF9AE}" pid="37" name="NOSE17">
    <vt:lpwstr/>
  </property>
  <property fmtid="{D5CDD505-2E9C-101B-9397-08002B2CF9AE}" pid="38" name="NOSE18">
    <vt:lpwstr/>
  </property>
  <property fmtid="{D5CDD505-2E9C-101B-9397-08002B2CF9AE}" pid="39" name="NOSE19">
    <vt:lpwstr/>
  </property>
  <property fmtid="{D5CDD505-2E9C-101B-9397-08002B2CF9AE}" pid="40" name="NOSE21">
    <vt:lpwstr>הודאה</vt:lpwstr>
  </property>
  <property fmtid="{D5CDD505-2E9C-101B-9397-08002B2CF9AE}" pid="41" name="NOSE210">
    <vt:lpwstr/>
  </property>
  <property fmtid="{D5CDD505-2E9C-101B-9397-08002B2CF9AE}" pid="42" name="NOSE22">
    <vt:lpwstr>הסדר טיעון</vt:lpwstr>
  </property>
  <property fmtid="{D5CDD505-2E9C-101B-9397-08002B2CF9AE}" pid="43" name="NOSE23">
    <vt:lpwstr>ענישה</vt:lpwstr>
  </property>
  <property fmtid="{D5CDD505-2E9C-101B-9397-08002B2CF9AE}" pid="44" name="NOSE24">
    <vt:lpwstr>ענישה</vt:lpwstr>
  </property>
  <property fmtid="{D5CDD505-2E9C-101B-9397-08002B2CF9AE}" pid="45" name="NOSE25">
    <vt:lpwstr>ענישה</vt:lpwstr>
  </property>
  <property fmtid="{D5CDD505-2E9C-101B-9397-08002B2CF9AE}" pid="46" name="NOSE26">
    <vt:lpwstr/>
  </property>
  <property fmtid="{D5CDD505-2E9C-101B-9397-08002B2CF9AE}" pid="47" name="NOSE27">
    <vt:lpwstr/>
  </property>
  <property fmtid="{D5CDD505-2E9C-101B-9397-08002B2CF9AE}" pid="48" name="NOSE28">
    <vt:lpwstr/>
  </property>
  <property fmtid="{D5CDD505-2E9C-101B-9397-08002B2CF9AE}" pid="49" name="NOSE29">
    <vt:lpwstr/>
  </property>
  <property fmtid="{D5CDD505-2E9C-101B-9397-08002B2CF9AE}" pid="50" name="NOSE31">
    <vt:lpwstr>חזרה מהודאה</vt:lpwstr>
  </property>
  <property fmtid="{D5CDD505-2E9C-101B-9397-08002B2CF9AE}" pid="51" name="NOSE310">
    <vt:lpwstr/>
  </property>
  <property fmtid="{D5CDD505-2E9C-101B-9397-08002B2CF9AE}" pid="52" name="NOSE32">
    <vt:lpwstr>סטייה ממנו</vt:lpwstr>
  </property>
  <property fmtid="{D5CDD505-2E9C-101B-9397-08002B2CF9AE}" pid="53" name="NOSE33">
    <vt:lpwstr>מדיניות ענישה: שיקולים לחומרה</vt:lpwstr>
  </property>
  <property fmtid="{D5CDD505-2E9C-101B-9397-08002B2CF9AE}" pid="54" name="NOSE34">
    <vt:lpwstr>מדיניות ענישה: עבירות ביטחון</vt:lpwstr>
  </property>
  <property fmtid="{D5CDD505-2E9C-101B-9397-08002B2CF9AE}" pid="55" name="NOSE35">
    <vt:lpwstr>התערבות ערכאת הערעור</vt:lpwstr>
  </property>
  <property fmtid="{D5CDD505-2E9C-101B-9397-08002B2CF9AE}" pid="56" name="NOSE36">
    <vt:lpwstr/>
  </property>
  <property fmtid="{D5CDD505-2E9C-101B-9397-08002B2CF9AE}" pid="57" name="NOSE37">
    <vt:lpwstr/>
  </property>
  <property fmtid="{D5CDD505-2E9C-101B-9397-08002B2CF9AE}" pid="58" name="NOSE38">
    <vt:lpwstr/>
  </property>
  <property fmtid="{D5CDD505-2E9C-101B-9397-08002B2CF9AE}" pid="59" name="NOSE39">
    <vt:lpwstr/>
  </property>
  <property fmtid="{D5CDD505-2E9C-101B-9397-08002B2CF9AE}" pid="60" name="PADIMAIL">
    <vt:lpwstr>YES</vt:lpwstr>
  </property>
  <property fmtid="{D5CDD505-2E9C-101B-9397-08002B2CF9AE}" pid="61" name="PAGE">
    <vt:lpwstr/>
  </property>
  <property fmtid="{D5CDD505-2E9C-101B-9397-08002B2CF9AE}" pid="62" name="PART">
    <vt:lpwstr/>
  </property>
  <property fmtid="{D5CDD505-2E9C-101B-9397-08002B2CF9AE}" pid="63" name="PROCESS">
    <vt:lpwstr>עפ</vt:lpwstr>
  </property>
  <property fmtid="{D5CDD505-2E9C-101B-9397-08002B2CF9AE}" pid="64" name="PROCNUM">
    <vt:lpwstr>3651</vt:lpwstr>
  </property>
  <property fmtid="{D5CDD505-2E9C-101B-9397-08002B2CF9AE}" pid="65" name="PROCYEAR">
    <vt:lpwstr>08</vt:lpwstr>
  </property>
  <property fmtid="{D5CDD505-2E9C-101B-9397-08002B2CF9AE}" pid="66" name="PSAKDIN">
    <vt:lpwstr>פסק-דין</vt:lpwstr>
  </property>
  <property fmtid="{D5CDD505-2E9C-101B-9397-08002B2CF9AE}" pid="67" name="RemarkFileName">
    <vt:lpwstr>elyon 08036510 k01 htm</vt:lpwstr>
  </property>
  <property fmtid="{D5CDD505-2E9C-101B-9397-08002B2CF9AE}" pid="68" name="TYPE">
    <vt:lpwstr>1</vt:lpwstr>
  </property>
  <property fmtid="{D5CDD505-2E9C-101B-9397-08002B2CF9AE}" pid="69" name="TYPE_ABS_DATE">
    <vt:lpwstr>410120100121</vt:lpwstr>
  </property>
  <property fmtid="{D5CDD505-2E9C-101B-9397-08002B2CF9AE}" pid="70" name="TYPE_N_DATE">
    <vt:lpwstr>41020100121</vt:lpwstr>
  </property>
  <property fmtid="{D5CDD505-2E9C-101B-9397-08002B2CF9AE}" pid="71" name="VOLUME">
    <vt:lpwstr/>
  </property>
  <property fmtid="{D5CDD505-2E9C-101B-9397-08002B2CF9AE}" pid="72" name="WORDNUMPAGES">
    <vt:lpwstr>8</vt:lpwstr>
  </property>
</Properties>
</file>