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4125/14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חיות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פוגלמן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ארז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תאופיק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חרב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 </w:t>
            </w:r>
            <w:r>
              <w:rPr>
                <w:sz w:val="24"/>
                <w:sz w:val="24"/>
                <w:szCs w:val="24"/>
                <w:rtl w:val="true"/>
              </w:rPr>
              <w:t>בחיפה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30.04.2014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40900-12-13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[</w:t>
            </w:r>
            <w:r>
              <w:rPr>
                <w:szCs w:val="24"/>
                <w:rtl w:val="true"/>
              </w:rPr>
              <w:t>פורסם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בנבו</w:t>
            </w:r>
            <w:r>
              <w:rPr>
                <w:szCs w:val="24"/>
                <w:rtl w:val="true"/>
              </w:rPr>
              <w:t xml:space="preserve">]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סלע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sz w:val="24"/>
                <w:sz w:val="24"/>
                <w:szCs w:val="24"/>
                <w:rtl w:val="true"/>
              </w:rPr>
              <w:t>א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בטבת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ה</w:t>
            </w:r>
            <w:r>
              <w:rPr>
                <w:rFonts w:cs="Times New Roman"/>
                <w:rtl w:val="true"/>
              </w:rPr>
              <w:t xml:space="preserve">     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23.12.2014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ליאור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זהר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FirstLawyer"/>
            <w:bookmarkEnd w:id="5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מורן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פולמן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  <w:bookmarkStart w:id="6" w:name="LawTable"/>
      <w:bookmarkStart w:id="7" w:name="LawTable"/>
      <w:bookmarkEnd w:id="7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25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ט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10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ט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3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ט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402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9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403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0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403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1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404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bookmarkStart w:id="8" w:name="ABSTRACT_START"/>
      <w:bookmarkEnd w:id="8"/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מיני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רציו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מתחם הענישה שקבע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קמא במקרה דנן והעונש שגזר על 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סוטים ממדיניות הענישה שננקטה במקרים דומים ואין בגזר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הדין הבחנה מספקת בין נסיבותיו של המקרה דנן – שאינו מצוי ברף הגבוה של עבירות השוד והניסיון לשוד – ובין מקרים אחרים חמורים ממנו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באופן המצדיק התערבות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שוד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מתחם הענישה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שיקולים לקולה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התערבות ערכאת הערעור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ערעור על גז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ד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בו נגזרו על המערער </w:t>
      </w:r>
      <w:r>
        <w:rPr>
          <w:rFonts w:cs="Times New Roman" w:ascii="Times New Roman" w:hAnsi="Times New Roman"/>
          <w:spacing w:val="0"/>
          <w:sz w:val="24"/>
          <w:szCs w:val="26"/>
        </w:rPr>
        <w:t>30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חודשי מאסר בפועל 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cs="Times New Roman" w:ascii="Times New Roman" w:hAnsi="Times New Roman"/>
          <w:spacing w:val="0"/>
          <w:sz w:val="24"/>
          <w:szCs w:val="26"/>
        </w:rPr>
        <w:t>15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חודשי מאסר על תנאי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פיצוי למתלונן בסך </w:t>
      </w:r>
      <w:r>
        <w:rPr>
          <w:rFonts w:cs="Times New Roman" w:ascii="Times New Roman" w:hAnsi="Times New Roman"/>
          <w:spacing w:val="0"/>
          <w:sz w:val="24"/>
          <w:szCs w:val="26"/>
        </w:rPr>
        <w:t>3,000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₪.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זאת בעקבות הרשעת המערער בעבירה של ניסיון לבצע שוד נוכח מעשיו של המערער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איום באלימות על המתלונן באמצעות אקדח פלסטיק בדרישה לקבל את הכסף שבקופת המכולת ותקיפת המתלונן כדי להוציא מידיו את הקופה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ש העליון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מפי השופטת א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'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חיות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קיבל את הערעור בחלקו מהטעמים הבאים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עבירת השוד היא עבירת אלימות קשה הפוגעת לא רק בנפגעי העבירה עצמם אלא גם בתחושת הביטחון של הציבור בכללותו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זה עמד לא פעם על הצורך בעונשים ממשיים ההולמים את החומרה הרבה הגלומה בה ואת הנזקים הנגרמים בעטיה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עם זאת חשוב לזכור כי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קיימת קשת רחבה של מעשי שוד אפשריים הנבדלים זה מזה בנסיבותיהם ובמדרג חומרתם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מידת הפגיעה בערכים החברתיים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וכך גם מדיניות הענישה הנוהגת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תלויים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אפוא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בנסיבותיו הקונקרטיות של מעשה השוד וחומרתו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."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מתחם הענישה שקבע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קמא במקרה דנן והעונש שגזר על 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סוטים ממדיניות הענישה שננקטה במקרים דומים ואין בגזר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הדין הבחנה מספקת בין נסיבותיו של המקרה דנן – שאינו מצוי ברף הגבוה של עבירות השוד והניסיון לשוד – ובין מקרים אחרים חמורים ממנו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על כן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נדרשת התערבות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אכן מעשה השוד לא בוצע באופן ספונטני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אך בהינתן רמת האלימות שהופעלה נגד המתלונן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אשר לא הייתה מן הקשות דומה כי הנזק במקרה דנן אינו משמעותי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בהינתן העובדה שהמערער השתמש באקדח פלסטיק אף פוטנציאל הנזק שהיה צפוי להיגרם מביצוע העבירה אף הוא לא היה מן הגבוהים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נסיבות אלה כולן יש בהן כדי להשפיע על מתחם העונש ההולם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מעמיד את מתחם העונש ההולם בנסיבות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על טווח שבין שנה לשלוש שנות מאסר בפועל וכפועל יוצא מכך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מפחית </w:t>
      </w:r>
      <w:r>
        <w:rPr>
          <w:rFonts w:cs="Times New Roman" w:ascii="Times New Roman" w:hAnsi="Times New Roman"/>
          <w:spacing w:val="0"/>
          <w:sz w:val="24"/>
          <w:szCs w:val="26"/>
        </w:rPr>
        <w:t>6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חודשים מעונש המאסר בפועל שנגזר על המערער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cs="Times New Roman" w:ascii="Times New Roman" w:hAnsi="Times New Roman"/>
          <w:spacing w:val="0"/>
          <w:sz w:val="24"/>
          <w:szCs w:val="26"/>
        </w:rPr>
        <w:t>24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חודשים במקום </w:t>
      </w:r>
      <w:r>
        <w:rPr>
          <w:rFonts w:cs="Times New Roman" w:ascii="Times New Roman" w:hAnsi="Times New Roman"/>
          <w:spacing w:val="0"/>
          <w:sz w:val="24"/>
          <w:szCs w:val="26"/>
        </w:rPr>
        <w:t>30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באשר לעונש המאסר על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תנאי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 נמצא מקום להתערב ברכיב זה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וזאת בשים לעברו הפלילי המכביד של 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אף כי מדובר בעבר פלילי ישן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ובהעדר סטייה ממדיניות הענישה הנוהגת במקרים דומים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/>
          <w:spacing w:val="0"/>
          <w:sz w:val="24"/>
          <w:szCs w:val="26"/>
          <w:rtl w:val="true"/>
        </w:rPr>
      </w:r>
      <w:bookmarkStart w:id="9" w:name="ABSTRACT_END"/>
      <w:bookmarkStart w:id="10" w:name="LawTable_End"/>
      <w:bookmarkStart w:id="11" w:name="ABSTRACT_END"/>
      <w:bookmarkStart w:id="12" w:name="LawTable_End"/>
      <w:bookmarkEnd w:id="11"/>
      <w:bookmarkEnd w:id="12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3" w:name="PsakDin"/>
            <w:bookmarkStart w:id="14" w:name="secretary"/>
            <w:bookmarkStart w:id="15" w:name="BeginProtocol"/>
            <w:bookmarkEnd w:id="13"/>
            <w:bookmarkEnd w:id="14"/>
            <w:bookmarkEnd w:id="15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6" w:name="Writer_Name"/>
      <w:bookmarkEnd w:id="16"/>
      <w:r>
        <w:rPr>
          <w:rFonts w:cs="Miriam"/>
          <w:sz w:val="24"/>
          <w:sz w:val="24"/>
          <w:szCs w:val="24"/>
          <w:u w:val="single"/>
          <w:rtl w:val="true"/>
        </w:rPr>
        <w:t>השופטת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חיות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7" w:name="Start_Write"/>
      <w:bookmarkStart w:id="18" w:name="Start_Write"/>
      <w:bookmarkEnd w:id="18"/>
    </w:p>
    <w:p>
      <w:pPr>
        <w:pStyle w:val="Ruller41"/>
        <w:ind w:end="0"/>
        <w:jc w:val="both"/>
        <w:rPr/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ערעור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גזר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דינו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בחיפה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sz w:val="28"/>
          <w:sz w:val="28"/>
          <w:rtl w:val="true"/>
        </w:rPr>
        <w:t>כבוד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השופטת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ד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סלע</w:t>
      </w:r>
      <w:r>
        <w:rPr>
          <w:sz w:val="28"/>
          <w:rtl w:val="true"/>
        </w:rPr>
        <w:t xml:space="preserve">) </w:t>
      </w:r>
      <w:r>
        <w:rPr>
          <w:sz w:val="28"/>
          <w:sz w:val="28"/>
          <w:rtl w:val="true"/>
        </w:rPr>
        <w:t>ב</w:t>
      </w:r>
      <w:hyperlink r:id="rId12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ת</w:t>
        </w:r>
        <w:r>
          <w:rPr>
            <w:rStyle w:val="Hyperlink"/>
            <w:color w:val="0000FF"/>
            <w:sz w:val="28"/>
            <w:u w:val="single"/>
            <w:rtl w:val="true"/>
          </w:rPr>
          <w:t>"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פ</w:t>
        </w:r>
        <w:r>
          <w:rPr>
            <w:rStyle w:val="Hyperlink"/>
            <w:rFonts w:eastAsia="Arial TUR;Times New Roman" w:cs="Arial TUR;Times New Roman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40900-12-13</w:t>
        </w:r>
      </w:hyperlink>
      <w:r>
        <w:rPr>
          <w:sz w:val="28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sz w:val="28"/>
          <w:sz w:val="28"/>
          <w:rtl w:val="true"/>
        </w:rPr>
        <w:t>מיום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</w:rPr>
        <w:t>30.4.2014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בו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נגזרו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</w:rPr>
        <w:t>30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חודשי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מאסר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בפועל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</w:t>
      </w:r>
      <w:r>
        <w:rPr>
          <w:sz w:val="28"/>
          <w:rtl w:val="true"/>
        </w:rPr>
        <w:t>-</w:t>
      </w:r>
      <w:r>
        <w:rPr>
          <w:sz w:val="28"/>
        </w:rPr>
        <w:t>15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חודשי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מאסר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תנאי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למשך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</w:rPr>
        <w:t>3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לאחר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שהורשע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בעבירה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ניסיון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לבצע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שוד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hyperlink r:id="rId13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;Times New Roman" w:cs="Arial TUR;Times New Roman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402</w:t>
        </w:r>
        <w:r>
          <w:rPr>
            <w:rStyle w:val="Hyperlink"/>
            <w:color w:val="0000FF"/>
            <w:sz w:val="28"/>
            <w:u w:val="single"/>
            <w:rtl w:val="true"/>
          </w:rPr>
          <w:t>(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א</w:t>
        </w:r>
        <w:r>
          <w:rPr>
            <w:rStyle w:val="Hyperlink"/>
            <w:color w:val="0000FF"/>
            <w:sz w:val="28"/>
            <w:u w:val="single"/>
            <w:rtl w:val="true"/>
          </w:rPr>
          <w:t>)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בצירוף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hyperlink r:id="rId14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;Times New Roman" w:cs="Arial TUR;Times New Roman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25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</w:t>
      </w:r>
      <w:hyperlink r:id="rId15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חוק</w:t>
        </w:r>
        <w:r>
          <w:rPr>
            <w:rStyle w:val="Hyperlink"/>
            <w:rFonts w:eastAsia="Arial TUR;Times New Roman" w:cs="Arial TUR;Times New Roman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העונשין</w:t>
        </w:r>
      </w:hyperlink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התשל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ז</w:t>
      </w:r>
      <w:r>
        <w:rPr>
          <w:sz w:val="28"/>
          <w:rtl w:val="true"/>
        </w:rPr>
        <w:t>-</w:t>
      </w:r>
      <w:r>
        <w:rPr>
          <w:sz w:val="28"/>
        </w:rPr>
        <w:t>1977</w:t>
      </w:r>
      <w:r>
        <w:rPr>
          <w:sz w:val="28"/>
          <w:rtl w:val="true"/>
        </w:rPr>
        <w:t xml:space="preserve"> (</w:t>
      </w:r>
      <w:r>
        <w:rPr>
          <w:sz w:val="28"/>
          <w:sz w:val="28"/>
          <w:rtl w:val="true"/>
        </w:rPr>
        <w:t>להלן</w:t>
      </w:r>
      <w:r>
        <w:rPr>
          <w:sz w:val="28"/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חוק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העונשין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החוק</w:t>
      </w:r>
      <w:r>
        <w:rPr>
          <w:sz w:val="28"/>
          <w:rtl w:val="true"/>
        </w:rPr>
        <w:t xml:space="preserve">). </w:t>
      </w:r>
      <w:r>
        <w:rPr>
          <w:sz w:val="28"/>
          <w:sz w:val="28"/>
          <w:rtl w:val="true"/>
        </w:rPr>
        <w:t>כמו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כן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חויב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בתשלום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פיצוי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למתלונן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בסך</w:t>
      </w:r>
      <w:r>
        <w:rPr>
          <w:rFonts w:eastAsia="Arial TUR;Times New Roman" w:cs="Arial TUR;Times New Roman"/>
          <w:sz w:val="28"/>
          <w:sz w:val="28"/>
          <w:rtl w:val="true"/>
        </w:rPr>
        <w:t xml:space="preserve"> </w:t>
      </w:r>
      <w:r>
        <w:rPr>
          <w:sz w:val="28"/>
        </w:rPr>
        <w:t>3,000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ח</w:t>
      </w:r>
      <w:r>
        <w:rPr>
          <w:sz w:val="28"/>
          <w:rtl w:val="true"/>
        </w:rPr>
        <w:t xml:space="preserve">.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 w:val="24"/>
          <w:szCs w:val="24"/>
          <w:rtl w:val="true"/>
        </w:rPr>
        <w:t>רקע</w:t>
      </w:r>
      <w:r>
        <w:rPr>
          <w:rFonts w:eastAsia="Arial TUR;Times New Roman" w:cs="Arial TUR;Times New Roman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עובדתי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ופסק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דינו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בית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המשפט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קמא</w:t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1</w:t>
      </w:r>
      <w:r>
        <w:rPr>
          <w:rtl w:val="true"/>
        </w:rPr>
        <w:t xml:space="preserve">. </w:t>
        <w:tab/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פי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עובדות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tl w:val="true"/>
        </w:rPr>
        <w:t xml:space="preserve">, </w:t>
      </w:r>
      <w:r>
        <w:rPr>
          <w:rtl w:val="true"/>
        </w:rPr>
        <w:t>נכנס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16.12.2013</w:t>
      </w:r>
      <w:r>
        <w:rPr>
          <w:rtl w:val="true"/>
        </w:rPr>
        <w:t xml:space="preserve"> </w:t>
      </w:r>
      <w:r>
        <w:rPr>
          <w:rtl w:val="true"/>
        </w:rPr>
        <w:t>סמוך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לשעה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5:00</w:t>
      </w:r>
      <w:r>
        <w:rPr>
          <w:rtl w:val="true"/>
        </w:rPr>
        <w:t xml:space="preserve"> </w:t>
      </w:r>
      <w:r>
        <w:rPr>
          <w:rtl w:val="true"/>
        </w:rPr>
        <w:t>למכולת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בשפרעם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שבבעלות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משפחתו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נזאר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נסראללה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המתלונן</w:t>
      </w:r>
      <w:r>
        <w:rPr>
          <w:rtl w:val="true"/>
        </w:rPr>
        <w:t xml:space="preserve">) </w:t>
      </w:r>
      <w:r>
        <w:rPr>
          <w:rtl w:val="true"/>
        </w:rPr>
        <w:t>וביקש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לרכוש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חפיסת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סיגריות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מסר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שטר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וכשהמתלונן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פתח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הקופה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להכניס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השטר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הוציא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חפץ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מפלסטיק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הנחזה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להיות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אקדח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הפלסטיק</w:t>
      </w:r>
      <w:r>
        <w:rPr>
          <w:rtl w:val="true"/>
        </w:rPr>
        <w:t xml:space="preserve">), </w:t>
      </w:r>
      <w:r>
        <w:rPr>
          <w:rtl w:val="true"/>
        </w:rPr>
        <w:t>נופף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לעבר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ודרש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שימסור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הכסף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שבקופה</w:t>
      </w:r>
      <w:r>
        <w:rPr>
          <w:rtl w:val="true"/>
        </w:rPr>
        <w:t xml:space="preserve">. </w:t>
      </w:r>
      <w:r>
        <w:rPr>
          <w:rtl w:val="true"/>
        </w:rPr>
        <w:t>המתלונן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סירב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לעשות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ונטל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הפלסטיק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מידי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אמר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נואש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נאבק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אוחז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בגופו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ומנסה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לקחת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הקופה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הירפה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הדף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שזה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ברח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המקום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טען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עובדות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מקימות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לכל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היותר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דרישת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נכס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באיומים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Times New Roman" w:cs="Arial TUR;Times New Roman"/>
          <w:rtl w:val="true"/>
        </w:rPr>
        <w:t xml:space="preserve"> </w:t>
      </w:r>
      <w:hyperlink r:id="rId16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404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17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ולחלופין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ניסיון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Times New Roman" w:cs="Arial TUR;Times New Roman"/>
          <w:rtl w:val="true"/>
        </w:rPr>
        <w:t xml:space="preserve"> </w:t>
      </w:r>
      <w:hyperlink r:id="rId18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403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שעניינה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תקיפה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לשם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שהעונש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המירבי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הקבוע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בצידה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נמוך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מזה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שבצד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שיוחסה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(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לעומת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14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). </w:t>
      </w:r>
      <w:r>
        <w:rPr>
          <w:rtl w:val="true"/>
        </w:rPr>
        <w:t>בהכרעת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30.3.2014</w:t>
      </w:r>
      <w:r>
        <w:rPr>
          <w:rtl w:val="true"/>
        </w:rPr>
        <w:t xml:space="preserve"> </w:t>
      </w:r>
      <w:r>
        <w:rPr>
          <w:rtl w:val="true"/>
        </w:rPr>
        <w:t>הרשיע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ניסיון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לשוד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Times New Roman" w:cs="Arial TUR;Times New Roman"/>
          <w:rtl w:val="true"/>
        </w:rPr>
        <w:t xml:space="preserve"> </w:t>
      </w:r>
      <w:hyperlink r:id="rId19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402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בצירוף</w:t>
      </w:r>
      <w:r>
        <w:rPr>
          <w:rFonts w:eastAsia="Arial TUR;Times New Roman" w:cs="Arial TUR;Times New Roman"/>
          <w:rtl w:val="true"/>
        </w:rPr>
        <w:t xml:space="preserve"> </w:t>
      </w:r>
      <w:hyperlink r:id="rId20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25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21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בקובעו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איום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באלימות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פלסטיק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בדרישה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הכסף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שבקופת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המכולת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ותקיפת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להוציא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מידיו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הקופה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מקימים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שיוחסה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. </w:t>
      </w:r>
      <w:r>
        <w:rPr>
          <w:rtl w:val="true"/>
        </w:rPr>
        <w:t>מעשיו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בוצעו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במטרה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לאפשר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הגניבה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ונועדו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למנוע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מהמתלונן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להתנגד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הוסיף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וקבע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נהג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אמנם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באלימות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חמורה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לגישתו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להשליך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סעיף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ההרשעה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מעשי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אכן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עשויים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לקיים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דרישת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נכס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באיומים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Times New Roman" w:cs="Arial TUR;Times New Roman"/>
          <w:rtl w:val="true"/>
        </w:rPr>
        <w:t xml:space="preserve"> </w:t>
      </w:r>
      <w:hyperlink r:id="rId22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404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המתוארות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סבר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להעדיף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הקלה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דרישת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נכס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באיומים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לטענת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להרשיעו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ניסיון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לשוד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Times New Roman" w:cs="Arial TUR;Times New Roman"/>
          <w:rtl w:val="true"/>
        </w:rPr>
        <w:t xml:space="preserve"> </w:t>
      </w:r>
      <w:hyperlink r:id="rId23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403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24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ציין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ממש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בטענה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קיימת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ספציפית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ונסיבות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מעשה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עונות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להגדרתה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לעשות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להפליג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למחוזות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רחוקים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קלאסי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תקיפה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לשם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Times New Roman" w:cs="Arial TUR;Times New Roman"/>
          <w:rtl w:val="true"/>
        </w:rPr>
        <w:t xml:space="preserve"> </w:t>
      </w:r>
      <w:hyperlink r:id="rId25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403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עובדות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כוללות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מעשים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המפורטים</w:t>
      </w:r>
      <w:r>
        <w:rPr>
          <w:rFonts w:eastAsia="Arial TUR;Times New Roman" w:cs="Arial TUR;Times New Roman"/>
          <w:rtl w:val="true"/>
        </w:rPr>
        <w:t xml:space="preserve"> </w:t>
      </w:r>
      <w:hyperlink r:id="rId26">
        <w:r>
          <w:rPr>
            <w:rStyle w:val="Hyperlink"/>
            <w:color w:val="0000FF"/>
            <w:u w:val="single"/>
            <w:rtl w:val="true"/>
          </w:rPr>
          <w:t>בסעיף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403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קבע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Times New Roman" w:cs="Arial TUR;Times New Roman"/>
          <w:rtl w:val="true"/>
        </w:rPr>
        <w:t xml:space="preserve"> </w:t>
      </w:r>
      <w:hyperlink r:id="rId27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402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, </w:t>
      </w:r>
      <w:r>
        <w:rPr>
          <w:rtl w:val="true"/>
        </w:rPr>
        <w:t>בצירוף</w:t>
      </w:r>
      <w:r>
        <w:rPr>
          <w:rFonts w:eastAsia="Arial TUR;Times New Roman" w:cs="Arial TUR;Times New Roman"/>
          <w:rtl w:val="true"/>
        </w:rPr>
        <w:t xml:space="preserve"> </w:t>
      </w:r>
      <w:hyperlink r:id="rId28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25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29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eastAsia="Arial TUR;Times New Roman" w:cs="Arial TUR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משקפת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נכונה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לבסוף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לבחור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סעיפי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נתונה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לתביעה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הכללית</w:t>
      </w:r>
      <w:r>
        <w:rPr>
          <w:rtl w:val="true"/>
        </w:rPr>
        <w:t xml:space="preserve">, </w:t>
      </w:r>
      <w:r>
        <w:rPr>
          <w:rtl w:val="true"/>
        </w:rPr>
        <w:t>המחוייבת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להפעיל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לצורך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שיקול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דעת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ענייני</w:t>
      </w:r>
      <w:r>
        <w:rPr>
          <w:rtl w:val="true"/>
        </w:rPr>
        <w:t xml:space="preserve">, </w:t>
      </w:r>
      <w:r>
        <w:rPr>
          <w:rtl w:val="true"/>
        </w:rPr>
        <w:t>שוויוני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וסביר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הוכחו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עובדות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לגבש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יסודות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המפורטת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רשאי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להרשיע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אחרת</w:t>
      </w:r>
      <w:r>
        <w:rPr>
          <w:rtl w:val="true"/>
        </w:rPr>
        <w:t xml:space="preserve">, </w:t>
      </w:r>
      <w:r>
        <w:rPr>
          <w:rtl w:val="true"/>
        </w:rPr>
        <w:t>קלה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. </w:t>
      </w:r>
      <w:r>
        <w:rPr>
          <w:rtl w:val="true"/>
        </w:rPr>
        <w:t>בייחוד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משלא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הוצגו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נימוקים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חריגים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וכבדי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המצדיקים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לבית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הוגשה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חוות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דעת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רפואית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29.12.2013</w:t>
      </w:r>
      <w:r>
        <w:rPr>
          <w:rtl w:val="true"/>
        </w:rPr>
        <w:t xml:space="preserve"> </w:t>
      </w:r>
      <w:r>
        <w:rPr>
          <w:rtl w:val="true"/>
        </w:rPr>
        <w:t>שנערכה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המרכז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הרפואי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לבריאות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הנפש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פליגלמן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מזרע</w:t>
      </w:r>
      <w:r>
        <w:rPr>
          <w:rtl w:val="true"/>
        </w:rPr>
        <w:t>) (</w:t>
      </w:r>
      <w:r>
        <w:rPr>
          <w:rtl w:val="true"/>
        </w:rPr>
        <w:t>להלן</w:t>
      </w:r>
      <w:r>
        <w:rPr>
          <w:rtl w:val="true"/>
        </w:rPr>
        <w:t xml:space="preserve">, </w:t>
      </w:r>
      <w:r>
        <w:rPr>
          <w:rtl w:val="true"/>
        </w:rPr>
        <w:t>בהתאמה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חוות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הדעת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הפסיכיאטרית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 xml:space="preserve">-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המרכז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הרפואי</w:t>
      </w:r>
      <w:r>
        <w:rPr>
          <w:rtl w:val="true"/>
        </w:rPr>
        <w:t xml:space="preserve">), </w:t>
      </w:r>
      <w:r>
        <w:rPr>
          <w:rtl w:val="true"/>
        </w:rPr>
        <w:t>בעניין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כשירותו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לעמוד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לדין</w:t>
      </w:r>
      <w:r>
        <w:rPr>
          <w:rtl w:val="true"/>
        </w:rPr>
        <w:t xml:space="preserve">. </w:t>
      </w:r>
      <w:r>
        <w:rPr>
          <w:rtl w:val="true"/>
        </w:rPr>
        <w:t>מחוות</w:t>
      </w:r>
      <w:r>
        <w:rPr>
          <w:rtl w:val="true"/>
        </w:rPr>
        <w:t>-</w:t>
      </w:r>
      <w:r>
        <w:rPr>
          <w:rtl w:val="true"/>
        </w:rPr>
        <w:t>העת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יליד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1974</w:t>
      </w:r>
      <w:r>
        <w:rPr>
          <w:rtl w:val="true"/>
        </w:rPr>
        <w:t xml:space="preserve">, </w:t>
      </w:r>
      <w:r>
        <w:rPr>
          <w:rtl w:val="true"/>
        </w:rPr>
        <w:t>נולד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למשפחה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קשת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נהג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באלימות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פיזית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ומילולית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כלפי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יתר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בני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המשפחה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תיאר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מציאות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חיים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קשה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וילדות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אומללה</w:t>
      </w:r>
      <w:r>
        <w:rPr>
          <w:rtl w:val="true"/>
        </w:rPr>
        <w:t xml:space="preserve">, </w:t>
      </w:r>
      <w:r>
        <w:rPr>
          <w:rtl w:val="true"/>
        </w:rPr>
        <w:t>הכוללת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התעללות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מינית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שעבר</w:t>
      </w:r>
      <w:r>
        <w:rPr>
          <w:rtl w:val="true"/>
        </w:rPr>
        <w:t xml:space="preserve">, </w:t>
      </w:r>
      <w:r>
        <w:rPr>
          <w:rtl w:val="true"/>
        </w:rPr>
        <w:t>ובנוסף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חווה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אירוע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טראומטי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בשנת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1990</w:t>
      </w:r>
      <w:r>
        <w:rPr>
          <w:rtl w:val="true"/>
        </w:rPr>
        <w:t xml:space="preserve"> </w:t>
      </w:r>
      <w:r>
        <w:rPr>
          <w:rtl w:val="true"/>
        </w:rPr>
        <w:t>כשאחיו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הצעיר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נורה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למוות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בשגגה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מחוות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הדעת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מחזיק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בתעודת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בגרות</w:t>
      </w:r>
      <w:r>
        <w:rPr>
          <w:rtl w:val="true"/>
        </w:rPr>
        <w:t xml:space="preserve">, </w:t>
      </w:r>
      <w:r>
        <w:rPr>
          <w:rtl w:val="true"/>
        </w:rPr>
        <w:t>גויס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לצבא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בשנת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1990</w:t>
      </w:r>
      <w:r>
        <w:rPr>
          <w:rtl w:val="true"/>
        </w:rPr>
        <w:t xml:space="preserve"> </w:t>
      </w:r>
      <w:r>
        <w:rPr>
          <w:rtl w:val="true"/>
        </w:rPr>
        <w:t>ושירת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צבאי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מלא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מיאן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להחזיק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בתקופת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הצבא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החוויה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הקשה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שעבר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והחל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להשתמש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אחיו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טיפולים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בניסיון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להיגמל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מהתמכרותו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לסמים</w:t>
      </w:r>
      <w:r>
        <w:rPr>
          <w:rtl w:val="true"/>
        </w:rPr>
        <w:t xml:space="preserve">, </w:t>
      </w:r>
      <w:r>
        <w:rPr>
          <w:rtl w:val="true"/>
        </w:rPr>
        <w:t>וגם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התייצב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פעם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בשבועיים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במרכז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לטיפול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תרופתי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ממושך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לנפגעי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בנצרת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מבדיקת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שתן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בחודש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נובמבר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2013</w:t>
      </w:r>
      <w:r>
        <w:rPr>
          <w:rtl w:val="true"/>
        </w:rPr>
        <w:t xml:space="preserve">, </w:t>
      </w:r>
      <w:r>
        <w:rPr>
          <w:rtl w:val="true"/>
        </w:rPr>
        <w:t>כחודש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נושא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tl w:val="true"/>
        </w:rPr>
        <w:t xml:space="preserve">, </w:t>
      </w:r>
      <w:r>
        <w:rPr>
          <w:rtl w:val="true"/>
        </w:rPr>
        <w:t>עלה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השתמש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בקוקאין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באותו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החודש</w:t>
      </w:r>
      <w:r>
        <w:rPr>
          <w:rtl w:val="true"/>
        </w:rPr>
        <w:t xml:space="preserve">. </w:t>
      </w:r>
      <w:r>
        <w:rPr>
          <w:rtl w:val="true"/>
        </w:rPr>
        <w:t>התרשמות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המרכז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הרפואי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טיפול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המגלה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עצמית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ופועל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נהלי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המרכז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המרכז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הרפואי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בחוות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הדעת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הפסיכיאטרית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בר</w:t>
      </w:r>
      <w:r>
        <w:rPr>
          <w:rtl w:val="true"/>
        </w:rPr>
        <w:t>-</w:t>
      </w:r>
      <w:r>
        <w:rPr>
          <w:rtl w:val="true"/>
        </w:rPr>
        <w:t>עונשין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במצב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פסיכוטי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באפקטיב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מג</w:t>
      </w:r>
      <w:r>
        <w:rPr>
          <w:rtl w:val="true"/>
        </w:rPr>
        <w:t>'</w:t>
      </w:r>
      <w:r>
        <w:rPr>
          <w:rtl w:val="true"/>
        </w:rPr>
        <w:t>ורי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והוא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מבין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ההליכים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המשפטיים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ומסוגל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לעמוד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לדין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בגזר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30.4.2014</w:t>
      </w:r>
      <w:r>
        <w:rPr>
          <w:rtl w:val="true"/>
        </w:rPr>
        <w:t xml:space="preserve"> </w:t>
      </w:r>
      <w:r>
        <w:rPr>
          <w:rtl w:val="true"/>
        </w:rPr>
        <w:t>עמד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חומרתה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השוד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נעשתה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ובין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לאו</w:t>
      </w:r>
      <w:r>
        <w:rPr>
          <w:rtl w:val="true"/>
        </w:rPr>
        <w:t xml:space="preserve">, </w:t>
      </w:r>
      <w:r>
        <w:rPr>
          <w:rtl w:val="true"/>
        </w:rPr>
        <w:t>כעבירה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הפוגעת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קשות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בביטחון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צוין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לעיתים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מתחיל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באלימות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מתפתחת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שהנפגע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מתנגד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לניסיון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לגזול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רכושו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להקל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ראש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בשוד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שלפנינו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הוסיף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וקבע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בניגוד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לטענת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ביצע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המעשה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בסערת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רגשות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שנודע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עשוי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להיות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חולה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בשחפת</w:t>
      </w:r>
      <w:r>
        <w:rPr>
          <w:rtl w:val="true"/>
        </w:rPr>
        <w:t xml:space="preserve">, </w:t>
      </w:r>
      <w:r>
        <w:rPr>
          <w:rtl w:val="true"/>
        </w:rPr>
        <w:t>הראיות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מלמדות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שמעשיו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נעשו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ספונטני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מתוכנן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להשיג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כסף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לצורך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תשלום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לגורמים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המאיימים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אחיו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שהצטייד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פלסטיק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וכיסה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פניו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בצעיף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לממש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זממו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ששקל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מעשה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ונסיבות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ביצועה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שנתיים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לחמש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ובגוזרו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 xml:space="preserve">, </w:t>
      </w:r>
      <w:r>
        <w:rPr>
          <w:rtl w:val="true"/>
        </w:rPr>
        <w:t>נתן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לקולא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לנסיבותיו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שעלו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מחוות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הדעת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הפסיכיאטרית</w:t>
      </w:r>
      <w:r>
        <w:rPr>
          <w:rtl w:val="true"/>
        </w:rPr>
        <w:t xml:space="preserve">; </w:t>
      </w:r>
      <w:r>
        <w:rPr>
          <w:rtl w:val="true"/>
        </w:rPr>
        <w:t>להודייתו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חסכה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זמן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שיפוטי</w:t>
      </w:r>
      <w:r>
        <w:rPr>
          <w:rtl w:val="true"/>
        </w:rPr>
        <w:t xml:space="preserve">; </w:t>
      </w:r>
      <w:r>
        <w:rPr>
          <w:rtl w:val="true"/>
        </w:rPr>
        <w:t>לכך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שרמת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האלימות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נקט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גבוהה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ולכך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שהמתלונן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עצמו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טען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שנחבל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שנגרם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נזק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פיזי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כלשהו</w:t>
      </w:r>
      <w:r>
        <w:rPr>
          <w:rtl w:val="true"/>
        </w:rPr>
        <w:t xml:space="preserve">; </w:t>
      </w:r>
      <w:r>
        <w:rPr>
          <w:rtl w:val="true"/>
        </w:rPr>
        <w:t>וכן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לעובדה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נגרם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בסופו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דבר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נזק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רכוש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עלה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לבצע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זממו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בהקשר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העיר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שכישלון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הגניבה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נבע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מחרטת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מכך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שאביו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הוזעק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למקום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אשר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לסוגיית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לקיחת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האחריות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אמנם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בסופו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ההליך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ניסה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להטיל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האחריות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למקרה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המתלונן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התרופות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שלקח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חיצוניות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אחרות</w:t>
      </w:r>
      <w:r>
        <w:rPr>
          <w:rtl w:val="true"/>
        </w:rPr>
        <w:t xml:space="preserve">, </w:t>
      </w:r>
      <w:r>
        <w:rPr>
          <w:rtl w:val="true"/>
        </w:rPr>
        <w:t>כגון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החשד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לשחפת</w:t>
      </w:r>
      <w:r>
        <w:rPr>
          <w:rtl w:val="true"/>
        </w:rPr>
        <w:t xml:space="preserve">, </w:t>
      </w:r>
      <w:r>
        <w:rPr>
          <w:rtl w:val="true"/>
        </w:rPr>
        <w:t>ורק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משנשאל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שוב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ושוב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מבקש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לחזור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מהודייתו</w:t>
      </w:r>
      <w:r>
        <w:rPr>
          <w:rtl w:val="true"/>
        </w:rPr>
        <w:t xml:space="preserve">, </w:t>
      </w:r>
      <w:r>
        <w:rPr>
          <w:rtl w:val="true"/>
        </w:rPr>
        <w:t>חזר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הודייתו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וביקש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סליחה</w:t>
      </w:r>
      <w:r>
        <w:rPr>
          <w:rtl w:val="true"/>
        </w:rPr>
        <w:t xml:space="preserve">. </w:t>
      </w:r>
      <w:r>
        <w:rPr>
          <w:rtl w:val="true"/>
        </w:rPr>
        <w:t>זהו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ניסיון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ממשי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למזער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הבעת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אמפטיה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לנפגע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צוין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בהעדר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תמיכה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כלשהי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לדבריו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הרקע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לקיחת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כדורים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חששו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משחפת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לתת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לטענות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כלשהו</w:t>
      </w:r>
      <w:r>
        <w:rPr>
          <w:rtl w:val="true"/>
        </w:rPr>
        <w:t xml:space="preserve">. </w:t>
      </w:r>
      <w:r>
        <w:rPr>
          <w:rtl w:val="true"/>
        </w:rPr>
        <w:t>לחומרא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לעברו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המכביד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הכולל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הרשעות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רבות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רכוש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ובעבירות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אלימות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בגינן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ריצה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בעבר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תקופות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אמנם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בהרשעות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ישנות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האחרונה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משנת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2003</w:t>
      </w:r>
      <w:r>
        <w:rPr>
          <w:rtl w:val="true"/>
        </w:rPr>
        <w:t xml:space="preserve">), </w:t>
      </w:r>
      <w:r>
        <w:rPr>
          <w:rtl w:val="true"/>
        </w:rPr>
        <w:t>כך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סבר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לתת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שכליאת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סורג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ובריח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בעבר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הרתיעה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מלשוב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לסורו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למכתב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החתום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ואביו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נערכה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סולחה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ובין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משפחת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קבע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הדבר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נושא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מסוים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מכריע</w:t>
      </w:r>
      <w:r>
        <w:rPr>
          <w:rtl w:val="true"/>
        </w:rPr>
        <w:t xml:space="preserve">, </w:t>
      </w:r>
      <w:r>
        <w:rPr>
          <w:rtl w:val="true"/>
        </w:rPr>
        <w:t>בהינתן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זכר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במכתב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לבקשת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סליחה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מצד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ללקיחת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מצדו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לפיצוי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כלשהו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שישולם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למתלונן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מן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הטעמים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המפורטים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כולם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בניכוי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מעצרו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יעבור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זהה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לזו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שהורשע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אלימות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רכוש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במשך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שחרורו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חייב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לשלם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פיצוי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בסך</w:t>
      </w:r>
      <w:r>
        <w:rPr>
          <w:rFonts w:eastAsia="Arial TUR;Times New Roman" w:cs="Arial TUR;Times New Roman"/>
          <w:rtl w:val="true"/>
        </w:rPr>
        <w:t xml:space="preserve"> </w:t>
      </w:r>
      <w:r>
        <w:rPr/>
        <w:t>3,000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למתלונן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עוגמת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הנפש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שנגרמה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מהאירוע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cs="Miriam"/>
        </w:rPr>
      </w:pPr>
      <w:r>
        <w:rPr>
          <w:rFonts w:cs="Miriam"/>
          <w:sz w:val="24"/>
          <w:sz w:val="24"/>
          <w:szCs w:val="24"/>
          <w:rtl w:val="true"/>
        </w:rPr>
        <w:t>טענות</w:t>
      </w:r>
      <w:r>
        <w:rPr>
          <w:rFonts w:eastAsia="Arial TUR;Times New Roman" w:cs="Arial TUR;Times New Roman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הצדדים</w:t>
      </w:r>
      <w:r>
        <w:rPr>
          <w:rFonts w:eastAsia="Arial TUR;Times New Roman" w:cs="Arial TUR;Times New Roman"/>
          <w:sz w:val="24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>
          <w:rFonts w:ascii="Century" w:hAnsi="Century" w:cs="Century"/>
          <w:sz w:val="24"/>
          <w:szCs w:val="24"/>
        </w:rPr>
      </w:pPr>
      <w:r>
        <w:rPr>
          <w:rFonts w:cs="Century" w:ascii="Century" w:hAnsi="Century"/>
          <w:sz w:val="24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</w:rPr>
        <w:t>5</w:t>
      </w:r>
      <w:r>
        <w:rPr>
          <w:rFonts w:cs="Century" w:ascii="Century" w:hAnsi="Century"/>
          <w:rtl w:val="true"/>
        </w:rPr>
        <w:t>.</w:t>
        <w:tab/>
      </w:r>
      <w:r>
        <w:rPr>
          <w:rFonts w:ascii="Century" w:hAnsi="Century" w:cs="Century"/>
          <w:rtl w:val="true"/>
        </w:rPr>
        <w:t>בערעורו טוען המערער כי מן הראוי להמתיק באופן משמעותי את עונש המאסר בפועל שנגזר עליו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וכן הוא עותר לקיצור תקופת המאסר המותנה שהוטלה עליו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ולשינוי בהיקף תחולתו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לטענת המערער מתחם הענישה שקבע בית המשפט קמא סוטה במידה ניכרת מן המתחם שנקבע במקרים דומים ובין היתר ב</w:t>
      </w:r>
      <w:hyperlink r:id="rId30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7655/12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פייסל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cs="Century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4.4.2013</w:t>
      </w:r>
      <w:r>
        <w:rPr>
          <w:rFonts w:cs="Century" w:ascii="Century" w:hAnsi="Century"/>
          <w:rtl w:val="true"/>
        </w:rPr>
        <w:t xml:space="preserve">), </w:t>
      </w:r>
      <w:r>
        <w:rPr>
          <w:rFonts w:ascii="Century" w:hAnsi="Century" w:cs="Century"/>
          <w:rtl w:val="true"/>
        </w:rPr>
        <w:t>בו נקבע כי מתחם הענישה הראוי לעבירת שוד שבוצעה באופן ספונטני וללא שימוש בנשק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נע בטווח שבין </w:t>
      </w:r>
      <w:r>
        <w:rPr>
          <w:rFonts w:cs="Century" w:ascii="Century" w:hAnsi="Century"/>
        </w:rPr>
        <w:t>6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מאסר ל</w:t>
      </w:r>
      <w:r>
        <w:rPr>
          <w:rFonts w:cs="Century" w:ascii="Century" w:hAnsi="Century"/>
          <w:rtl w:val="true"/>
        </w:rPr>
        <w:t>-</w:t>
      </w:r>
      <w:r>
        <w:rPr>
          <w:rFonts w:cs="Century" w:ascii="Century" w:hAnsi="Century"/>
        </w:rPr>
        <w:t>24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מאסר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לטענת המערער מעשהו היה ספונטני שכן לא הוכח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ואף לא צוין בכתב האישום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כי אקדח הפלסטיק הוכן מראש לצורך השוד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עוד מציין המערער כי בחקירתו במשטרה מסר גרסה המסבירה את עובדת נשיאת אקדח הפלסטיק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לטענתו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הוא נכנס למכולת בדרכו הביתה כדי לרכוש סיגריות ורק לאחר שהתרעם על המחיר שנדרש לשלם ניסה לשדוד את הקופה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בהקשר זה מציין המערער כי לו היה מתכנן לבצע שוד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לא היה עושה כן במכולת ליד ביתו שם הוא מוכר היטב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המערער מוסיף ומדגיש בעניין זה כי בית המשפט קמא לא יכול היה להסתמך על אמירתו במשטרה לפיה תכנן לגנוב כסף כדי להחזיר את חובות אחיו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וזאת משום שחומר הראיות הוגש באופן טכני לבית המשפט קמא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מבלי שנחקר גובה האימרה ובהקשר זה מציין המערער כי בחקירתו הראשונה אמר שאקדח הפלסטיק היה אצלו במקרה וטוען כי אין סיבה להעדיף את אמירתו השנייה על פני הראשונה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 xml:space="preserve">עוד טוען המערער כי בקובעו את מתחם הענישה התעלם בית המשפט קמא מן העובדה שהעבירה לא הושלמה </w:t>
      </w:r>
      <w:r>
        <w:rPr>
          <w:rFonts w:cs="Century" w:ascii="Century" w:hAnsi="Century"/>
          <w:rtl w:val="true"/>
        </w:rPr>
        <w:t>(</w:t>
      </w:r>
      <w:r>
        <w:rPr>
          <w:rFonts w:ascii="Century" w:hAnsi="Century" w:cs="Century"/>
          <w:rtl w:val="true"/>
        </w:rPr>
        <w:t xml:space="preserve">אף כי תיקון </w:t>
      </w:r>
      <w:r>
        <w:rPr>
          <w:rFonts w:cs="Century" w:ascii="Century" w:hAnsi="Century"/>
        </w:rPr>
        <w:t>39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ביטל את ההבחנה בענישה בין העבירה המושלמת לעבירת הניסיון</w:t>
      </w:r>
      <w:r>
        <w:rPr>
          <w:rFonts w:cs="Century" w:ascii="Century" w:hAnsi="Century"/>
          <w:rtl w:val="true"/>
        </w:rPr>
        <w:t xml:space="preserve">) </w:t>
      </w:r>
      <w:r>
        <w:rPr>
          <w:rFonts w:ascii="Century" w:hAnsi="Century" w:cs="Century"/>
          <w:rtl w:val="true"/>
        </w:rPr>
        <w:t>ובגזירת העונש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כך מוסיף וטוען המערער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לא ניתן משקל למצבו הנפשי המעורער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לסיבות שהובילו אותו לביצוע העבירה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ליכולת השליטה העצמית שלו בעת ביצוע העבירה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כפי העולה מחוות הדעת הפסיכיאטרית ולעובדה כי לא נגרם כל נזק למתלונן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כמו כן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טוען המערער כי לא ניתן משקל מספיק לנסיבותיו האישיות הקשות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ובהן ההתעללות המינית שעבר בצעירותו ומות אחיו הצעיר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ואף לא לסולחה שנערכה בינו ובין משפחת המתלונן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עוד טוען המערער כי לא ניתן משקל לעובדה שלא היה מעורב בפלילים למעלה מעשר שנים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וכי שליחתו לתקופת מאסר ממושכת ולא מידתית עלולה להשיבו אל מעגל הפשיעה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לבסוף טוען המערער כי שגה בית המשפט קמא שעה שדחה את בקשתו כי יוכן תסקיר שירות מבחן בעניינו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בייחוד נוכח נסיבות חייו הקשות והתמודדותו הארוכה עם התמכרות לסמים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בציינו כי בדיקה פסיכיאטרית או קרימינולוגית אינה יכולה להוות תחליף לבדיקה ואבחון על ידי שירות המבחן שיכול להציע אפשרויות טיפוליות ושיקומיות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מהן תצא נשכרת גם החברה ולא רק המערער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מן הטעמים שפורטו לעיל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סבור המערער כי מתחם הענישה במקרה דנן צריך היה להיות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לכל היותר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בין שנה אחת לשלוש שנים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ועונשו צריך היה להיגזר ברף הנמוך של המתחם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כך שלא יעלה על </w:t>
      </w:r>
      <w:r>
        <w:rPr>
          <w:rFonts w:cs="Century" w:ascii="Century" w:hAnsi="Century"/>
        </w:rPr>
        <w:t>18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מאסר</w:t>
      </w:r>
      <w:r>
        <w:rPr>
          <w:rFonts w:cs="Century" w:ascii="Century" w:hAnsi="Century"/>
          <w:rtl w:val="true"/>
        </w:rPr>
        <w:t>.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  <w:tab/>
      </w:r>
      <w:r>
        <w:rPr>
          <w:rFonts w:ascii="Century" w:hAnsi="Century" w:cs="Century"/>
          <w:rtl w:val="true"/>
        </w:rPr>
        <w:t>אשר לעונש המאסר על</w:t>
      </w:r>
      <w:r>
        <w:rPr>
          <w:rFonts w:cs="Century" w:ascii="Century" w:hAnsi="Century"/>
          <w:rtl w:val="true"/>
        </w:rPr>
        <w:t>-</w:t>
      </w:r>
      <w:r>
        <w:rPr>
          <w:rFonts w:ascii="Century" w:hAnsi="Century" w:cs="Century"/>
          <w:rtl w:val="true"/>
        </w:rPr>
        <w:t>תנאי שהושת עליו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מפנה המערער לפסיקתו של בית משפט זה בה הודגש הקושי שבהטלת מאסר מותנה למשך תקופות ארוכות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וכן הוא טוען כי המאסר על</w:t>
      </w:r>
      <w:r>
        <w:rPr>
          <w:rFonts w:cs="Century" w:ascii="Century" w:hAnsi="Century"/>
          <w:rtl w:val="true"/>
        </w:rPr>
        <w:t>-</w:t>
      </w:r>
      <w:r>
        <w:rPr>
          <w:rFonts w:ascii="Century" w:hAnsi="Century" w:cs="Century"/>
          <w:rtl w:val="true"/>
        </w:rPr>
        <w:t>תנאי שהוטל במקרה דנן הוא דרקוני וגורף ועלול להביא לתוצאות קשות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כך למשל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מציין המערער כי אם חלילה יורשע בעבירה של החזקת סכין שלא כדין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העונש המינימאלי שניתן יהיה לגזור עליו הוא </w:t>
      </w:r>
      <w:r>
        <w:rPr>
          <w:rFonts w:cs="Century" w:ascii="Century" w:hAnsi="Century"/>
        </w:rPr>
        <w:t>15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מאסר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תוך הפעלת המאסר המותנה</w:t>
      </w:r>
      <w:r>
        <w:rPr>
          <w:rFonts w:cs="Century" w:ascii="Century" w:hAnsi="Century"/>
          <w:rtl w:val="true"/>
        </w:rPr>
        <w:t>.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</w:rPr>
        <w:t>6</w:t>
      </w:r>
      <w:r>
        <w:rPr>
          <w:rFonts w:cs="Century" w:ascii="Century" w:hAnsi="Century"/>
          <w:rtl w:val="true"/>
        </w:rPr>
        <w:t>.</w:t>
        <w:tab/>
      </w:r>
      <w:r>
        <w:rPr>
          <w:rFonts w:ascii="Century" w:hAnsi="Century" w:cs="Century"/>
          <w:rtl w:val="true"/>
        </w:rPr>
        <w:t>המשיבה מצידה סבורה כי העונש שנגזר על המערער הולם את נסיבות המקרה ואינו סוטה בצורה ניכרת מעונשים שנגזרו במקרים דומים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בהדגישה כי מדובר בניסיון שוד שבוצע בשני שלבים – איום באקדח פלסטיק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ואחר כך תקיפה פיזית של המתלונן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כמו כן מדגישה המשיבה כי המערער ברח מן המקום רק לאחר שהוזעק אביו של המתלונן וכי בית המשפט קמא נתן משקל לנסיבותיו האישיות של המערער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כפי שהן עולות מחוות הדעת הפסיכיאטרית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ומנגד נתן משקל לעברו הפלילי המכביד ולעובדה כי לא נטל אחריות על מעשיו</w:t>
      </w:r>
      <w:r>
        <w:rPr>
          <w:rFonts w:cs="Century" w:ascii="Century" w:hAnsi="Century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>
          <w:sz w:val="24"/>
          <w:szCs w:val="24"/>
        </w:rPr>
      </w:pPr>
      <w:r>
        <w:rPr>
          <w:rFonts w:cs="Miriam"/>
          <w:sz w:val="24"/>
          <w:sz w:val="24"/>
          <w:szCs w:val="24"/>
          <w:rtl w:val="true"/>
        </w:rPr>
        <w:t>דיון</w:t>
      </w:r>
      <w:r>
        <w:rPr>
          <w:rFonts w:eastAsia="Arial TUR;Times New Roman" w:cs="Arial TUR;Times New Roman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והכרעה</w:t>
      </w:r>
    </w:p>
    <w:p>
      <w:pPr>
        <w:pStyle w:val="Ruller41"/>
        <w:ind w:end="0"/>
        <w:jc w:val="both"/>
        <w:rPr>
          <w:rFonts w:ascii="Century" w:hAnsi="Century" w:cs="Century"/>
          <w:sz w:val="24"/>
          <w:szCs w:val="24"/>
        </w:rPr>
      </w:pPr>
      <w:r>
        <w:rPr>
          <w:rFonts w:cs="Century" w:ascii="Century" w:hAnsi="Century"/>
          <w:sz w:val="24"/>
          <w:szCs w:val="24"/>
          <w:rtl w:val="true"/>
        </w:rPr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</w:rPr>
        <w:t>7</w:t>
      </w:r>
      <w:r>
        <w:rPr>
          <w:rFonts w:cs="Century" w:ascii="Century" w:hAnsi="Century"/>
          <w:rtl w:val="true"/>
        </w:rPr>
        <w:t>.</w:t>
        <w:tab/>
      </w:r>
      <w:r>
        <w:rPr>
          <w:rFonts w:ascii="Century" w:hAnsi="Century" w:cs="Century"/>
          <w:rtl w:val="true"/>
        </w:rPr>
        <w:t>לאחר שבחנתי את טענות הצדדים ואת הפסיקה אליה הפנו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אני סבורה כי המקרה דנן נמנה עם המקרים החריגים בהם מוצדקת התערבות בעונש שגזרה הערכאה הדיונית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על דרך של הקלה מסוימת בעונש המאסר בפועל שנגזר על המערער כך שיועמד על </w:t>
      </w:r>
      <w:r>
        <w:rPr>
          <w:rFonts w:cs="Century" w:ascii="Century" w:hAnsi="Century"/>
        </w:rPr>
        <w:t>24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 xml:space="preserve">חודשי מאסר בפועל תחת </w:t>
      </w:r>
      <w:r>
        <w:rPr>
          <w:rFonts w:cs="Century" w:ascii="Century" w:hAnsi="Century"/>
        </w:rPr>
        <w:t>30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המאסר שנגזרו עליו</w:t>
      </w:r>
      <w:r>
        <w:rPr>
          <w:rFonts w:cs="Century" w:ascii="Century" w:hAnsi="Century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rtl w:val="true"/>
        </w:rPr>
        <w:tab/>
      </w:r>
      <w:r>
        <w:rPr>
          <w:rFonts w:ascii="Century" w:hAnsi="Century" w:cs="Century"/>
          <w:rtl w:val="true"/>
        </w:rPr>
        <w:t>עבירת השוד היא עבירת אלימות קשה הפוגעת לא רק בנפגעי העבירה עצמם אלא גם בתחושת הביטחון של הציבור בכללותו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ובית משפט זה עמד לא פעם על הצורך בעונשים ממשיים ההולמים את החומרה הרבה הגלומה בה ואת הנזקים הנגרמים בעטיה </w:t>
      </w:r>
      <w:r>
        <w:rPr>
          <w:rFonts w:cs="Century" w:ascii="Century" w:hAnsi="Century"/>
          <w:rtl w:val="true"/>
        </w:rPr>
        <w:t>(</w:t>
      </w:r>
      <w:hyperlink r:id="rId31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588/13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פלוני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ascii="Century" w:hAnsi="Century" w:cs="Century"/>
          <w:rtl w:val="true"/>
        </w:rPr>
        <w:t xml:space="preserve">פסקה </w:t>
      </w:r>
      <w:r>
        <w:rPr>
          <w:rFonts w:cs="Century" w:ascii="Century" w:hAnsi="Century"/>
        </w:rPr>
        <w:t>13</w:t>
      </w:r>
      <w:r>
        <w:rPr>
          <w:rFonts w:cs="Century" w:ascii="Century" w:hAnsi="Century"/>
          <w:rtl w:val="true"/>
        </w:rPr>
        <w:t xml:space="preserve"> (</w:t>
      </w:r>
      <w:r>
        <w:rPr>
          <w:rFonts w:cs="Century" w:ascii="Century" w:hAnsi="Century"/>
        </w:rPr>
        <w:t>27.8.2013</w:t>
      </w:r>
      <w:r>
        <w:rPr>
          <w:rFonts w:cs="Century" w:ascii="Century" w:hAnsi="Century"/>
          <w:rtl w:val="true"/>
        </w:rPr>
        <w:t xml:space="preserve">); </w:t>
      </w:r>
      <w:hyperlink r:id="rId32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5617/13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כהן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cs="Century" w:ascii="Century" w:hAnsi="Century"/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ascii="Century" w:hAnsi="Century" w:cs="Century"/>
          <w:rtl w:val="true"/>
        </w:rPr>
        <w:t>פסקה ט</w:t>
      </w:r>
      <w:r>
        <w:rPr>
          <w:rFonts w:cs="Century" w:ascii="Century" w:hAnsi="Century"/>
          <w:rtl w:val="true"/>
        </w:rPr>
        <w:t>' (</w:t>
      </w:r>
      <w:r>
        <w:rPr>
          <w:rFonts w:cs="Century" w:ascii="Century" w:hAnsi="Century"/>
        </w:rPr>
        <w:t>27.5.2014</w:t>
      </w:r>
      <w:r>
        <w:rPr>
          <w:rFonts w:cs="Century" w:ascii="Century" w:hAnsi="Century"/>
          <w:rtl w:val="true"/>
        </w:rPr>
        <w:t xml:space="preserve">)). </w:t>
      </w:r>
      <w:r>
        <w:rPr>
          <w:rFonts w:ascii="Century" w:hAnsi="Century" w:cs="Century"/>
          <w:rtl w:val="true"/>
        </w:rPr>
        <w:t xml:space="preserve">עם זאת חשוב לזכור כי </w:t>
      </w:r>
      <w:r>
        <w:rPr>
          <w:rFonts w:cs="Century" w:ascii="Century" w:hAnsi="Century"/>
          <w:rtl w:val="true"/>
        </w:rPr>
        <w:t>"</w:t>
      </w:r>
      <w:r>
        <w:rPr>
          <w:rFonts w:ascii="Century" w:hAnsi="Century" w:cs="Century"/>
          <w:rtl w:val="true"/>
        </w:rPr>
        <w:t>קיימת קשת רחבה של מעשי שוד אפשריים הנבדלים זה מזה בנסיבותיהם ובמדרג חומרתם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מידת הפגיעה בערכים החברתיים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וכך גם מדיניות הענישה הנוהגת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תלויים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אפוא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בנסיבותיו הקונקרטיות של מעשה השוד וחומרתו</w:t>
      </w:r>
      <w:r>
        <w:rPr>
          <w:rFonts w:cs="Century" w:ascii="Century" w:hAnsi="Century"/>
          <w:rtl w:val="true"/>
        </w:rPr>
        <w:t>." (</w:t>
      </w:r>
      <w:hyperlink r:id="rId33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772/13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יחיא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cs="Century" w:ascii="Century" w:hAnsi="Century"/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ascii="Century" w:hAnsi="Century" w:cs="Century"/>
          <w:rtl w:val="true"/>
        </w:rPr>
        <w:t xml:space="preserve">פסקה </w:t>
      </w:r>
      <w:r>
        <w:rPr>
          <w:rFonts w:cs="Century" w:ascii="Century" w:hAnsi="Century"/>
        </w:rPr>
        <w:t>10</w:t>
      </w:r>
      <w:r>
        <w:rPr>
          <w:rFonts w:cs="Century" w:ascii="Century" w:hAnsi="Century"/>
          <w:rtl w:val="true"/>
        </w:rPr>
        <w:t xml:space="preserve"> (</w:t>
      </w:r>
      <w:r>
        <w:rPr>
          <w:rFonts w:cs="Century" w:ascii="Century" w:hAnsi="Century"/>
        </w:rPr>
        <w:t>29.6.2014</w:t>
      </w:r>
      <w:r>
        <w:rPr>
          <w:rFonts w:cs="Century" w:ascii="Century" w:hAnsi="Century"/>
          <w:rtl w:val="true"/>
        </w:rPr>
        <w:t>) (</w:t>
      </w:r>
      <w:r>
        <w:rPr>
          <w:rFonts w:ascii="Century" w:hAnsi="Century" w:cs="Century"/>
          <w:rtl w:val="true"/>
        </w:rPr>
        <w:t>להלן</w:t>
      </w:r>
      <w:r>
        <w:rPr>
          <w:rFonts w:cs="Century" w:ascii="Century" w:hAnsi="Century"/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עניין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יחיא</w:t>
      </w:r>
      <w:r>
        <w:rPr>
          <w:rFonts w:cs="Century" w:ascii="Century" w:hAnsi="Century"/>
          <w:rtl w:val="true"/>
        </w:rPr>
        <w:t xml:space="preserve">)). </w:t>
      </w:r>
      <w:r>
        <w:rPr>
          <w:rFonts w:ascii="Century" w:hAnsi="Century" w:cs="Century"/>
          <w:rtl w:val="true"/>
        </w:rPr>
        <w:t>כך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לא זהה חומרתו של שוד המתבצע בצוותא באישון לילה לאחר תכנון מוקדם ותוך שימוש בנשק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לחומרתו של שוד המתבצע באופן ספונטני ובלתי מתוכנן על</w:t>
      </w:r>
      <w:r>
        <w:rPr>
          <w:rFonts w:cs="Century" w:ascii="Century" w:hAnsi="Century"/>
          <w:rtl w:val="true"/>
        </w:rPr>
        <w:t>-</w:t>
      </w:r>
      <w:r>
        <w:rPr>
          <w:rFonts w:ascii="Century" w:hAnsi="Century" w:cs="Century"/>
          <w:rtl w:val="true"/>
        </w:rPr>
        <w:t xml:space="preserve">ידי היחיד </w:t>
      </w:r>
      <w:r>
        <w:rPr>
          <w:rFonts w:cs="Century" w:ascii="Century" w:hAnsi="Century"/>
          <w:rtl w:val="true"/>
        </w:rPr>
        <w:t>(</w:t>
      </w:r>
      <w:r>
        <w:rPr>
          <w:rFonts w:ascii="Century" w:hAnsi="Century" w:cs="Century"/>
          <w:rtl w:val="true"/>
        </w:rPr>
        <w:t>ראו למשל</w:t>
      </w:r>
      <w:r>
        <w:rPr>
          <w:rFonts w:cs="Century" w:ascii="Century" w:hAnsi="Century"/>
          <w:rtl w:val="true"/>
        </w:rPr>
        <w:t xml:space="preserve">: </w:t>
      </w:r>
      <w:hyperlink r:id="rId34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1286/13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אבו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ג</w:t>
      </w:r>
      <w:r>
        <w:rPr>
          <w:rFonts w:cs="Miriam" w:ascii="Century" w:hAnsi="Century"/>
          <w:b/>
          <w:spacing w:val="0"/>
          <w:szCs w:val="24"/>
          <w:rtl w:val="true"/>
        </w:rPr>
        <w:t>'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ומעה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פסקה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cs="Miriam" w:ascii="Century" w:hAnsi="Century"/>
          <w:b/>
          <w:spacing w:val="0"/>
          <w:szCs w:val="24"/>
        </w:rPr>
        <w:t>14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20.1.2014</w:t>
      </w:r>
      <w:r>
        <w:rPr>
          <w:rFonts w:cs="Century" w:ascii="Century" w:hAnsi="Century"/>
          <w:rtl w:val="true"/>
        </w:rPr>
        <w:t>) (</w:t>
      </w:r>
      <w:r>
        <w:rPr>
          <w:rFonts w:ascii="Century" w:hAnsi="Century" w:cs="Century"/>
          <w:rtl w:val="true"/>
        </w:rPr>
        <w:t>להלן</w:t>
      </w:r>
      <w:r>
        <w:rPr>
          <w:rFonts w:cs="Century" w:ascii="Century" w:hAnsi="Century"/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עניין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אבו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ג</w:t>
      </w:r>
      <w:r>
        <w:rPr>
          <w:rFonts w:cs="Miriam" w:ascii="Century" w:hAnsi="Century"/>
          <w:b/>
          <w:spacing w:val="0"/>
          <w:szCs w:val="24"/>
          <w:rtl w:val="true"/>
        </w:rPr>
        <w:t>'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ומעה</w:t>
      </w:r>
      <w:r>
        <w:rPr>
          <w:rFonts w:cs="Century" w:ascii="Century" w:hAnsi="Century"/>
          <w:rtl w:val="true"/>
        </w:rPr>
        <w:t>)).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rtl w:val="true"/>
        </w:rPr>
        <w:tab/>
      </w:r>
      <w:r>
        <w:rPr>
          <w:rFonts w:ascii="Century" w:hAnsi="Century" w:cs="Century"/>
          <w:rtl w:val="true"/>
        </w:rPr>
        <w:t>מתחם הענישה שקבע בית המשפט קמא במקרה דנן והעונש שגזר על המערער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סוטים ממדיניות הענישה שננקטה במקרים דומים ואין בגזר</w:t>
      </w:r>
      <w:r>
        <w:rPr>
          <w:rFonts w:cs="Century" w:ascii="Century" w:hAnsi="Century"/>
          <w:rtl w:val="true"/>
        </w:rPr>
        <w:t>-</w:t>
      </w:r>
      <w:r>
        <w:rPr>
          <w:rFonts w:ascii="Century" w:hAnsi="Century" w:cs="Century"/>
          <w:rtl w:val="true"/>
        </w:rPr>
        <w:t>הדין הבחנה מספקת בין נסיבותיו של המקרה דנן – שאינו מצוי ברף הגבוה של עבירות השוד והנסיון לשוד – ובין מקרים אחרים חמורים ממנו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על כן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נדרשת התערבותנו </w:t>
      </w:r>
      <w:r>
        <w:rPr>
          <w:rFonts w:cs="Century" w:ascii="Century" w:hAnsi="Century"/>
          <w:rtl w:val="true"/>
        </w:rPr>
        <w:t>(</w:t>
      </w:r>
      <w:hyperlink r:id="rId35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364/07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עטאטרה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cs="Century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11.4.2007</w:t>
      </w:r>
      <w:r>
        <w:rPr>
          <w:rFonts w:cs="Century" w:ascii="Century" w:hAnsi="Century"/>
          <w:rtl w:val="true"/>
        </w:rPr>
        <w:t xml:space="preserve">); </w:t>
      </w:r>
      <w:hyperlink r:id="rId36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3219/09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חביבי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cs="Century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7.7.2009</w:t>
      </w:r>
      <w:r>
        <w:rPr>
          <w:rFonts w:cs="Century" w:ascii="Century" w:hAnsi="Century"/>
          <w:rtl w:val="true"/>
        </w:rPr>
        <w:t xml:space="preserve">); </w:t>
      </w:r>
      <w:hyperlink r:id="rId37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7655/12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פייסל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cs="Century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4.4.2013</w:t>
      </w:r>
      <w:r>
        <w:rPr>
          <w:rFonts w:cs="Century" w:ascii="Century" w:hAnsi="Century"/>
          <w:rtl w:val="true"/>
        </w:rPr>
        <w:t xml:space="preserve">); </w:t>
      </w:r>
      <w:hyperlink r:id="rId38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452/14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דבוש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cs="Century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3.4.2014</w:t>
      </w:r>
      <w:r>
        <w:rPr>
          <w:rFonts w:cs="Century" w:ascii="Century" w:hAnsi="Century"/>
          <w:rtl w:val="true"/>
        </w:rPr>
        <w:t xml:space="preserve">); </w:t>
      </w:r>
      <w:hyperlink r:id="rId39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6862/13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חג</w:t>
      </w:r>
      <w:r>
        <w:rPr>
          <w:rFonts w:cs="Miriam" w:ascii="Century" w:hAnsi="Century"/>
          <w:b/>
          <w:spacing w:val="0"/>
          <w:szCs w:val="24"/>
          <w:rtl w:val="true"/>
        </w:rPr>
        <w:t>'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אזי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cs="Century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7.7.2014</w:t>
      </w:r>
      <w:r>
        <w:rPr>
          <w:rFonts w:cs="Century" w:ascii="Century" w:hAnsi="Century"/>
          <w:rtl w:val="true"/>
        </w:rPr>
        <w:t>) (</w:t>
      </w:r>
      <w:r>
        <w:rPr>
          <w:rFonts w:ascii="Century" w:hAnsi="Century" w:cs="Century"/>
          <w:rtl w:val="true"/>
        </w:rPr>
        <w:t>להלן</w:t>
      </w:r>
      <w:r>
        <w:rPr>
          <w:rFonts w:cs="Century" w:ascii="Century" w:hAnsi="Century"/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עניין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חג</w:t>
      </w:r>
      <w:r>
        <w:rPr>
          <w:rFonts w:cs="Miriam" w:ascii="Century" w:hAnsi="Century"/>
          <w:b/>
          <w:spacing w:val="0"/>
          <w:szCs w:val="24"/>
          <w:rtl w:val="true"/>
        </w:rPr>
        <w:t>'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אזי</w:t>
      </w:r>
      <w:r>
        <w:rPr>
          <w:rFonts w:cs="Century" w:ascii="Century" w:hAnsi="Century"/>
          <w:rtl w:val="true"/>
        </w:rPr>
        <w:t xml:space="preserve">); </w:t>
      </w:r>
      <w:r>
        <w:rPr>
          <w:rFonts w:ascii="Century" w:hAnsi="Century" w:cs="Century"/>
          <w:rtl w:val="true"/>
        </w:rPr>
        <w:t xml:space="preserve">עניין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חג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'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אזי</w:t>
      </w:r>
      <w:r>
        <w:rPr>
          <w:rFonts w:cs="Century" w:ascii="Century" w:hAnsi="Century"/>
          <w:rtl w:val="true"/>
        </w:rPr>
        <w:t xml:space="preserve">). </w:t>
      </w:r>
      <w:r>
        <w:rPr>
          <w:rFonts w:ascii="Century" w:hAnsi="Century" w:cs="Century"/>
          <w:rtl w:val="true"/>
        </w:rPr>
        <w:t>אכן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מעשה השוד במקרה דנן לא בוצע באופן ספונטני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כפי שקבע בצדק בית המשפט קמא ואף על פי כן אני סבורה כי בהינתן רמת האלימות שהופעלה נגד המתלונן במקרה דנן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אשר לא הייתה מן הקשות </w:t>
      </w:r>
      <w:r>
        <w:rPr>
          <w:rFonts w:cs="Century" w:ascii="Century" w:hAnsi="Century"/>
          <w:rtl w:val="true"/>
        </w:rPr>
        <w:t>(</w:t>
      </w:r>
      <w:hyperlink r:id="rId40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40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ט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(</w:t>
        </w:r>
        <w:r>
          <w:rPr>
            <w:rStyle w:val="Hyperlink"/>
            <w:rFonts w:cs="Century" w:ascii="Century" w:hAnsi="Century"/>
            <w:color w:val="0000FF"/>
            <w:u w:val="single"/>
          </w:rPr>
          <w:t>10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)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לחוק</w:t>
      </w:r>
      <w:r>
        <w:rPr>
          <w:rFonts w:cs="Century" w:ascii="Century" w:hAnsi="Century"/>
          <w:rtl w:val="true"/>
        </w:rPr>
        <w:t xml:space="preserve">), </w:t>
      </w:r>
      <w:r>
        <w:rPr>
          <w:rFonts w:ascii="Century" w:hAnsi="Century" w:cs="Century"/>
          <w:rtl w:val="true"/>
        </w:rPr>
        <w:t>ואף כי אין להמעיט מן ההשפעות הנפשיות העלולות להיגרם לנפגע בעבירת שוד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דומה כי הנזק במקרה דנן אינו משמעותי וכי המתלונן הצליח די בקלות להכניע את המערער ולהבריחו מן המקום </w:t>
      </w:r>
      <w:r>
        <w:rPr>
          <w:rFonts w:cs="Century" w:ascii="Century" w:hAnsi="Century"/>
          <w:rtl w:val="true"/>
        </w:rPr>
        <w:t>(</w:t>
      </w:r>
      <w:hyperlink r:id="rId41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40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ט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(</w:t>
        </w:r>
        <w:r>
          <w:rPr>
            <w:rStyle w:val="Hyperlink"/>
            <w:rFonts w:cs="Century" w:ascii="Century" w:hAnsi="Century"/>
            <w:color w:val="0000FF"/>
            <w:u w:val="single"/>
          </w:rPr>
          <w:t>4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)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לחוק</w:t>
      </w:r>
      <w:r>
        <w:rPr>
          <w:rFonts w:cs="Century" w:ascii="Century" w:hAnsi="Century"/>
          <w:rtl w:val="true"/>
        </w:rPr>
        <w:t xml:space="preserve">). </w:t>
      </w:r>
      <w:r>
        <w:rPr>
          <w:rFonts w:ascii="Century" w:hAnsi="Century" w:cs="Century"/>
          <w:rtl w:val="true"/>
        </w:rPr>
        <w:t>פוטנציאל הנזק שהיה צפוי להיגרם מביצוע העבירה אף הוא לא היה מן הגבוהים במקרה דנן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בהינתן העובדה שהמערער השתמש באקדח פלסטיק </w:t>
      </w:r>
      <w:r>
        <w:rPr>
          <w:rFonts w:cs="Century" w:ascii="Century" w:hAnsi="Century"/>
          <w:rtl w:val="true"/>
        </w:rPr>
        <w:t>(</w:t>
      </w:r>
      <w:hyperlink r:id="rId42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40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ט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(</w:t>
        </w:r>
        <w:r>
          <w:rPr>
            <w:rStyle w:val="Hyperlink"/>
            <w:rFonts w:cs="Century" w:ascii="Century" w:hAnsi="Century"/>
            <w:color w:val="0000FF"/>
            <w:u w:val="single"/>
          </w:rPr>
          <w:t>3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)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לחוק</w:t>
      </w:r>
      <w:r>
        <w:rPr>
          <w:rFonts w:cs="Century" w:ascii="Century" w:hAnsi="Century"/>
          <w:rtl w:val="true"/>
        </w:rPr>
        <w:t xml:space="preserve">). </w:t>
      </w:r>
      <w:r>
        <w:rPr>
          <w:rFonts w:ascii="Century" w:hAnsi="Century" w:cs="Century"/>
          <w:rtl w:val="true"/>
        </w:rPr>
        <w:t>נסיבות אלה כולן יש בהן כדי להשפיע על מתחם העונש ההולם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ואני סבורה כי במקרה דנן יש להעמידו על טווח שבין שנה לשלוש שנות מאסר בפועל</w:t>
      </w:r>
      <w:r>
        <w:rPr>
          <w:rFonts w:cs="Century" w:ascii="Century" w:hAnsi="Century"/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הפנה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בטיעוניו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יחיא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ולעניין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חג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'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אזי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נמוך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אך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הנדון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דומה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לראיה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משום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שאותם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המקרים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עסקו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בשוד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בוצע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ללא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תכנון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מוקדם</w:t>
      </w:r>
      <w:r>
        <w:rPr>
          <w:rtl w:val="true"/>
        </w:rPr>
        <w:t xml:space="preserve">. </w:t>
      </w:r>
      <w:r>
        <w:rPr>
          <w:rtl w:val="true"/>
        </w:rPr>
        <w:t>נוכח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שינוי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סבורה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Fonts w:ascii="Century" w:hAnsi="Century" w:cs="Century"/>
          <w:rtl w:val="true"/>
        </w:rPr>
        <w:t xml:space="preserve">להפחית </w:t>
      </w:r>
      <w:r>
        <w:rPr>
          <w:rFonts w:cs="Century" w:ascii="Century" w:hAnsi="Century"/>
        </w:rPr>
        <w:t>6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חודשים מעונש המאסר בפועל שנגזר על המערער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ולהעמידו על </w:t>
      </w:r>
      <w:r>
        <w:rPr>
          <w:rFonts w:cs="Century" w:ascii="Century" w:hAnsi="Century"/>
        </w:rPr>
        <w:t>24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מאסר בפועל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עונש זה משתלב במדיניות הענישה הנוהגת במקרים דומים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והולם את נסיבותיו הפרטניות של המקרה דנן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כמתואר לעיל</w:t>
      </w:r>
      <w:r>
        <w:rPr>
          <w:rFonts w:cs="Century" w:ascii="Century" w:hAnsi="Century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</w:rPr>
        <w:t>8</w:t>
      </w:r>
      <w:r>
        <w:rPr>
          <w:rFonts w:cs="Century" w:ascii="Century" w:hAnsi="Century"/>
          <w:rtl w:val="true"/>
        </w:rPr>
        <w:t>.</w:t>
        <w:tab/>
      </w:r>
      <w:r>
        <w:rPr>
          <w:rFonts w:ascii="Century" w:hAnsi="Century" w:cs="Century"/>
          <w:rtl w:val="true"/>
        </w:rPr>
        <w:t>באשר לעונש המאסר על</w:t>
      </w:r>
      <w:r>
        <w:rPr>
          <w:rFonts w:cs="Century" w:ascii="Century" w:hAnsi="Century"/>
          <w:rtl w:val="true"/>
        </w:rPr>
        <w:t>-</w:t>
      </w:r>
      <w:r>
        <w:rPr>
          <w:rFonts w:ascii="Century" w:hAnsi="Century" w:cs="Century"/>
          <w:rtl w:val="true"/>
        </w:rPr>
        <w:t>תנאי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סבורני כי אין מקום להתערב ברכיב זה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וזאת בשים לעברו הפלילי המכביד של המערער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אף כי מדובר בעבר פלילי ישן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ובהעדר סטייה ממדיניות הענישה הנוהגת במקרים דומים </w:t>
      </w:r>
      <w:r>
        <w:rPr>
          <w:rFonts w:cs="Century" w:ascii="Century" w:hAnsi="Century"/>
          <w:rtl w:val="true"/>
        </w:rPr>
        <w:t>(</w:t>
      </w:r>
      <w:r>
        <w:rPr>
          <w:rFonts w:ascii="Century" w:hAnsi="Century" w:cs="Century"/>
          <w:rtl w:val="true"/>
        </w:rPr>
        <w:t>ראו למשל</w:t>
      </w:r>
      <w:r>
        <w:rPr>
          <w:rFonts w:cs="Century" w:ascii="Century" w:hAnsi="Century"/>
          <w:rtl w:val="true"/>
        </w:rPr>
        <w:t xml:space="preserve">: </w:t>
      </w:r>
      <w:r>
        <w:rPr>
          <w:rFonts w:ascii="Century" w:hAnsi="Century" w:cs="Century"/>
          <w:rtl w:val="true"/>
        </w:rPr>
        <w:t xml:space="preserve">עניין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חג</w:t>
      </w:r>
      <w:r>
        <w:rPr>
          <w:rFonts w:cs="Miriam" w:ascii="Century" w:hAnsi="Century"/>
          <w:b/>
          <w:spacing w:val="0"/>
          <w:szCs w:val="24"/>
          <w:rtl w:val="true"/>
        </w:rPr>
        <w:t>'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אזי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פסקה </w:t>
      </w:r>
      <w:r>
        <w:rPr>
          <w:rFonts w:cs="Century" w:ascii="Century" w:hAnsi="Century"/>
        </w:rPr>
        <w:t>12</w:t>
      </w:r>
      <w:r>
        <w:rPr>
          <w:rFonts w:cs="Century" w:ascii="Century" w:hAnsi="Century"/>
          <w:rtl w:val="true"/>
        </w:rPr>
        <w:t xml:space="preserve">; </w:t>
      </w:r>
      <w:r>
        <w:rPr>
          <w:rFonts w:ascii="Century" w:hAnsi="Century" w:cs="Century"/>
          <w:rtl w:val="true"/>
        </w:rPr>
        <w:t xml:space="preserve">עניין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יחיא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פסקה </w:t>
      </w:r>
      <w:r>
        <w:rPr>
          <w:rFonts w:cs="Century" w:ascii="Century" w:hAnsi="Century"/>
        </w:rPr>
        <w:t>14</w:t>
      </w:r>
      <w:r>
        <w:rPr>
          <w:rFonts w:cs="Century" w:ascii="Century" w:hAnsi="Century"/>
          <w:rtl w:val="true"/>
        </w:rPr>
        <w:t xml:space="preserve">). </w:t>
      </w:r>
      <w:r>
        <w:rPr>
          <w:rFonts w:ascii="Century" w:hAnsi="Century" w:cs="Century"/>
          <w:rtl w:val="true"/>
        </w:rPr>
        <w:t>בניגוד לטענת המערער כאילו התנאי שהוטל עליו במקרה דנן הוא דרקוני וגורף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אין הדבר כך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שכן התנאי הוא שלא יעבור עבירה זהה לזו שביצע במקרה דנן או עבירת אלימות או עבירת רכוש מסוג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פשע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במשך שלוש שנים מיום שחרורו</w:t>
      </w:r>
      <w:r>
        <w:rPr>
          <w:rFonts w:cs="Century" w:ascii="Century" w:hAnsi="Century"/>
          <w:rtl w:val="true"/>
        </w:rPr>
        <w:t>.</w:t>
      </w:r>
    </w:p>
    <w:p>
      <w:pPr>
        <w:pStyle w:val="Ruller41"/>
        <w:ind w:end="0"/>
        <w:jc w:val="both"/>
        <w:rPr>
          <w:rFonts w:ascii="Century" w:hAnsi="Century" w:cs="Century"/>
          <w:b/>
          <w:bCs/>
        </w:rPr>
      </w:pPr>
      <w:r>
        <w:rPr>
          <w:rFonts w:cs="Century" w:ascii="Century" w:hAnsi="Century"/>
          <w:b/>
          <w:bCs/>
          <w:rtl w:val="true"/>
        </w:rPr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  <w:tab/>
      </w:r>
      <w:r>
        <w:rPr>
          <w:rFonts w:ascii="Century" w:hAnsi="Century" w:cs="Century"/>
          <w:rtl w:val="true"/>
        </w:rPr>
        <w:t xml:space="preserve">סוף דבר </w:t>
      </w:r>
      <w:r>
        <w:rPr>
          <w:rFonts w:cs="Century" w:ascii="Century" w:hAnsi="Century"/>
          <w:rtl w:val="true"/>
        </w:rPr>
        <w:t xml:space="preserve">- </w:t>
      </w:r>
      <w:r>
        <w:rPr>
          <w:rFonts w:ascii="Century" w:hAnsi="Century" w:cs="Century"/>
          <w:rtl w:val="true"/>
        </w:rPr>
        <w:t xml:space="preserve">הערעור מתקבל בחלקו באופן שיופחתו שישה חודשים מעונש המאסר בפועל שנגזר על המערער והוא יעמוד על </w:t>
      </w:r>
      <w:r>
        <w:rPr>
          <w:rFonts w:cs="Century" w:ascii="Century" w:hAnsi="Century"/>
        </w:rPr>
        <w:t>24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מאסר בפועל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יתר רכיבי גזר הדין יוותרו בעינם</w:t>
      </w:r>
      <w:r>
        <w:rPr>
          <w:rFonts w:cs="Century" w:ascii="Century" w:hAnsi="Century"/>
          <w:rtl w:val="true"/>
        </w:rPr>
        <w:t xml:space="preserve">. </w:t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  <w:tab/>
      </w:r>
    </w:p>
    <w:p>
      <w:pPr>
        <w:pStyle w:val="Ruller41"/>
        <w:ind w:end="0"/>
        <w:jc w:val="both"/>
        <w:rPr/>
      </w:pP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>, ‏</w:t>
      </w:r>
      <w:r>
        <w:rPr>
          <w:rtl w:val="true"/>
        </w:rPr>
        <w:t>ט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בטבת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Fonts w:eastAsia="Arial TUR;Times New Roman" w:cs="Arial TUR;Times New Roman"/>
          <w:rtl w:val="true"/>
        </w:rPr>
        <w:t xml:space="preserve"> </w:t>
      </w:r>
      <w:r>
        <w:rPr>
          <w:rtl w:val="true"/>
        </w:rPr>
        <w:t>(‏</w:t>
      </w:r>
      <w:r>
        <w:rPr/>
        <w:t>6.1.2015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color w:val="FFFFFF"/>
                <w:sz w:val="2"/>
                <w:szCs w:val="2"/>
              </w:rPr>
              <w:t>54678313</w:t>
            </w:r>
            <w:r>
              <w:rPr>
                <w:rtl w:val="true"/>
              </w:rPr>
              <w:t>ש</w:t>
            </w:r>
            <w:r>
              <w:rPr>
                <w:rFonts w:eastAsia="Arial TUR;Times New Roman" w:cs="Arial TUR;Times New Roman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Times New Roman" w:cs="Arial TUR;Times New Roman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Times New Roman" w:cs="Arial TUR;Times New Roman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;Times New Roman" w:cs="Arial TUR;Times New Roman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Times New Roman" w:cs="Arial TUR;Times New Roman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Times New Roman" w:cs="Arial TUR;Times New Roman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Times New Roman" w:cs="Arial TUR;Times New Roman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Times New Roman" w:cs="Arial TUR;Times New Roman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Times New Roman" w:cs="Arial TUR;Times New Roman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Times New Roman" w:cs="Arial TUR;Times New Roman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;Times New Roman" w:cs="Arial TUR;Times New Roman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</w:tr>
    </w:tbl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19" w:name="FileName"/>
      <w:r>
        <w:rPr>
          <w:sz w:val="16"/>
        </w:rPr>
        <w:t>14041250</w:t>
      </w:r>
      <w:r>
        <w:rPr>
          <w:sz w:val="16"/>
          <w:rtl w:val="true"/>
        </w:rPr>
        <w:t>_</w:t>
      </w:r>
      <w:r>
        <w:rPr>
          <w:sz w:val="16"/>
        </w:rPr>
        <w:t>V01.doc</w:t>
      </w:r>
      <w:r>
        <w:rPr>
          <w:sz w:val="16"/>
          <w:rtl w:val="true"/>
        </w:rPr>
        <w:t xml:space="preserve">   </w:t>
      </w:r>
      <w:bookmarkEnd w:id="19"/>
      <w:r>
        <w:rPr>
          <w:sz w:val="16"/>
          <w:sz w:val="16"/>
          <w:rtl w:val="true"/>
        </w:rPr>
        <w:t>גק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43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חיות </w:t>
      </w:r>
      <w:r>
        <w:rPr>
          <w:rFonts w:cs="David" w:ascii="David" w:hAnsi="David"/>
          <w:color w:val="000000"/>
          <w:szCs w:val="22"/>
        </w:rPr>
        <w:t>54678313-4125/14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44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45"/>
      <w:footerReference w:type="default" r:id="rId46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Times New Roman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Century">
    <w:charset w:val="00" w:characterSet="windows-1252"/>
    <w:family w:val="roman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11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4125/14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תאופיק חרב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qFormat/>
    <w:rPr>
      <w:rFonts w:ascii="Arial TUR;Times New Roman" w:hAnsi="Arial TUR;Times New Roman" w:cs="FrankRuehl"/>
      <w:spacing w:val="10"/>
      <w:sz w:val="22"/>
      <w:szCs w:val="28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Times New Roman" w:hAnsi="Arial TUR;Times New Roman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Times New Roman" w:hAnsi="Arial TUR;Times New Roman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Times New Roman" w:hAnsi="Arial TUR;Times New Roman" w:cs="DavidFix;Times New Roman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10538499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25" TargetMode="External"/><Relationship Id="rId5" Type="http://schemas.openxmlformats.org/officeDocument/2006/relationships/hyperlink" Target="http://www.nevo.co.il/law/70301/40i.10" TargetMode="External"/><Relationship Id="rId6" Type="http://schemas.openxmlformats.org/officeDocument/2006/relationships/hyperlink" Target="http://www.nevo.co.il/law/70301/40i.3" TargetMode="External"/><Relationship Id="rId7" Type="http://schemas.openxmlformats.org/officeDocument/2006/relationships/hyperlink" Target="http://www.nevo.co.il/law/70301/40i.4" TargetMode="External"/><Relationship Id="rId8" Type="http://schemas.openxmlformats.org/officeDocument/2006/relationships/hyperlink" Target="http://www.nevo.co.il/law/70301/402.a" TargetMode="External"/><Relationship Id="rId9" Type="http://schemas.openxmlformats.org/officeDocument/2006/relationships/hyperlink" Target="http://www.nevo.co.il/law/70301/403" TargetMode="External"/><Relationship Id="rId10" Type="http://schemas.openxmlformats.org/officeDocument/2006/relationships/hyperlink" Target="http://www.nevo.co.il/law/70301/403.a" TargetMode="External"/><Relationship Id="rId11" Type="http://schemas.openxmlformats.org/officeDocument/2006/relationships/hyperlink" Target="http://www.nevo.co.il/law/70301/404" TargetMode="External"/><Relationship Id="rId12" Type="http://schemas.openxmlformats.org/officeDocument/2006/relationships/hyperlink" Target="http://www.nevo.co.il/case/10538499" TargetMode="External"/><Relationship Id="rId13" Type="http://schemas.openxmlformats.org/officeDocument/2006/relationships/hyperlink" Target="http://www.nevo.co.il/law/70301/402.a" TargetMode="External"/><Relationship Id="rId14" Type="http://schemas.openxmlformats.org/officeDocument/2006/relationships/hyperlink" Target="http://www.nevo.co.il/law/70301/25" TargetMode="External"/><Relationship Id="rId15" Type="http://schemas.openxmlformats.org/officeDocument/2006/relationships/hyperlink" Target="http://www.nevo.co.il/law/70301" TargetMode="External"/><Relationship Id="rId16" Type="http://schemas.openxmlformats.org/officeDocument/2006/relationships/hyperlink" Target="http://www.nevo.co.il/law/70301/404" TargetMode="External"/><Relationship Id="rId17" Type="http://schemas.openxmlformats.org/officeDocument/2006/relationships/hyperlink" Target="http://www.nevo.co.il/law/70301" TargetMode="External"/><Relationship Id="rId18" Type="http://schemas.openxmlformats.org/officeDocument/2006/relationships/hyperlink" Target="http://www.nevo.co.il/law/70301/403.a" TargetMode="External"/><Relationship Id="rId19" Type="http://schemas.openxmlformats.org/officeDocument/2006/relationships/hyperlink" Target="http://www.nevo.co.il/law/70301/402.a" TargetMode="External"/><Relationship Id="rId20" Type="http://schemas.openxmlformats.org/officeDocument/2006/relationships/hyperlink" Target="http://www.nevo.co.il/law/70301/25" TargetMode="External"/><Relationship Id="rId21" Type="http://schemas.openxmlformats.org/officeDocument/2006/relationships/hyperlink" Target="http://www.nevo.co.il/law/70301" TargetMode="External"/><Relationship Id="rId22" Type="http://schemas.openxmlformats.org/officeDocument/2006/relationships/hyperlink" Target="http://www.nevo.co.il/law/70301/404" TargetMode="External"/><Relationship Id="rId23" Type="http://schemas.openxmlformats.org/officeDocument/2006/relationships/hyperlink" Target="http://www.nevo.co.il/law/70301/403" TargetMode="External"/><Relationship Id="rId24" Type="http://schemas.openxmlformats.org/officeDocument/2006/relationships/hyperlink" Target="http://www.nevo.co.il/law/70301" TargetMode="External"/><Relationship Id="rId25" Type="http://schemas.openxmlformats.org/officeDocument/2006/relationships/hyperlink" Target="http://www.nevo.co.il/law/70301/403" TargetMode="External"/><Relationship Id="rId26" Type="http://schemas.openxmlformats.org/officeDocument/2006/relationships/hyperlink" Target="http://www.nevo.co.il/law/70301/403" TargetMode="External"/><Relationship Id="rId27" Type="http://schemas.openxmlformats.org/officeDocument/2006/relationships/hyperlink" Target="http://www.nevo.co.il/law/70301/402.a" TargetMode="External"/><Relationship Id="rId28" Type="http://schemas.openxmlformats.org/officeDocument/2006/relationships/hyperlink" Target="http://www.nevo.co.il/law/70301/25" TargetMode="External"/><Relationship Id="rId29" Type="http://schemas.openxmlformats.org/officeDocument/2006/relationships/hyperlink" Target="http://www.nevo.co.il/law/70301" TargetMode="External"/><Relationship Id="rId30" Type="http://schemas.openxmlformats.org/officeDocument/2006/relationships/hyperlink" Target="http://www.nevo.co.il/case/5603213" TargetMode="External"/><Relationship Id="rId31" Type="http://schemas.openxmlformats.org/officeDocument/2006/relationships/hyperlink" Target="http://www.nevo.co.il/case/5569378" TargetMode="External"/><Relationship Id="rId32" Type="http://schemas.openxmlformats.org/officeDocument/2006/relationships/hyperlink" Target="http://www.nevo.co.il/case/7948442" TargetMode="External"/><Relationship Id="rId33" Type="http://schemas.openxmlformats.org/officeDocument/2006/relationships/hyperlink" Target="http://www.nevo.co.il/case/5172599" TargetMode="External"/><Relationship Id="rId34" Type="http://schemas.openxmlformats.org/officeDocument/2006/relationships/hyperlink" Target="http://www.nevo.co.il/case/6426140" TargetMode="External"/><Relationship Id="rId35" Type="http://schemas.openxmlformats.org/officeDocument/2006/relationships/hyperlink" Target="http://www.nevo.co.il/case/5696228" TargetMode="External"/><Relationship Id="rId36" Type="http://schemas.openxmlformats.org/officeDocument/2006/relationships/hyperlink" Target="http://www.nevo.co.il/case/5882926" TargetMode="External"/><Relationship Id="rId37" Type="http://schemas.openxmlformats.org/officeDocument/2006/relationships/hyperlink" Target="http://www.nevo.co.il/case/5603213" TargetMode="External"/><Relationship Id="rId38" Type="http://schemas.openxmlformats.org/officeDocument/2006/relationships/hyperlink" Target="http://www.nevo.co.il/case/11206432" TargetMode="External"/><Relationship Id="rId39" Type="http://schemas.openxmlformats.org/officeDocument/2006/relationships/hyperlink" Target="http://www.nevo.co.il/case/16921206" TargetMode="External"/><Relationship Id="rId40" Type="http://schemas.openxmlformats.org/officeDocument/2006/relationships/hyperlink" Target="http://www.nevo.co.il/law/70301/40i.10" TargetMode="External"/><Relationship Id="rId41" Type="http://schemas.openxmlformats.org/officeDocument/2006/relationships/hyperlink" Target="http://www.nevo.co.il/law/70301/40i.4" TargetMode="External"/><Relationship Id="rId42" Type="http://schemas.openxmlformats.org/officeDocument/2006/relationships/hyperlink" Target="http://www.nevo.co.il/law/70301/40i.3" TargetMode="External"/><Relationship Id="rId43" Type="http://schemas.openxmlformats.org/officeDocument/2006/relationships/hyperlink" Target="http://www.court.gov.il/" TargetMode="External"/><Relationship Id="rId44" Type="http://schemas.openxmlformats.org/officeDocument/2006/relationships/hyperlink" Target="http://www.nevo.co.il/advertisements/nevo-100.doc" TargetMode="External"/><Relationship Id="rId45" Type="http://schemas.openxmlformats.org/officeDocument/2006/relationships/header" Target="header1.xml"/><Relationship Id="rId46" Type="http://schemas.openxmlformats.org/officeDocument/2006/relationships/footer" Target="footer1.xml"/><Relationship Id="rId47" Type="http://schemas.openxmlformats.org/officeDocument/2006/relationships/fontTable" Target="fontTable.xml"/><Relationship Id="rId48" Type="http://schemas.openxmlformats.org/officeDocument/2006/relationships/settings" Target="settings.xml"/><Relationship Id="rId4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14041250.V01.doc</Template>
  <TotalTime>5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2015-01-08T12:43:00Z</dcterms:created>
  <dc:creator> </dc:creator>
  <dc:description/>
  <cp:keywords/>
  <dc:language>en-IL</dc:language>
  <cp:lastModifiedBy>orly</cp:lastModifiedBy>
  <cp:lastPrinted>2015-01-05T14:45:00Z</cp:lastPrinted>
  <dcterms:modified xsi:type="dcterms:W3CDTF">2015-01-08T12:56:00Z</dcterms:modified>
  <cp:revision>3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תאופיק חרב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10538499:2;5603213:2;5569378;7948442;5172599;6426140;5696228;5882926;11206432;16921206</vt:lpwstr>
  </property>
  <property fmtid="{D5CDD505-2E9C-101B-9397-08002B2CF9AE}" pid="9" name="CITY">
    <vt:lpwstr/>
  </property>
  <property fmtid="{D5CDD505-2E9C-101B-9397-08002B2CF9AE}" pid="10" name="DATE">
    <vt:lpwstr>20150106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א' חיות;ע' פוגלמן;ד' ברק ארז</vt:lpwstr>
  </property>
  <property fmtid="{D5CDD505-2E9C-101B-9397-08002B2CF9AE}" pid="14" name="LAWLISTTMP1">
    <vt:lpwstr>70301/402.a:3;025;404;403.a;403;040i.10;040i.4;040i.3</vt:lpwstr>
  </property>
  <property fmtid="{D5CDD505-2E9C-101B-9397-08002B2CF9AE}" pid="15" name="LAWYER">
    <vt:lpwstr>מורן פולמן;ליאור בר זהר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נעה</vt:lpwstr>
  </property>
  <property fmtid="{D5CDD505-2E9C-101B-9397-08002B2CF9AE}" pid="22" name="NEWPARTA">
    <vt:lpwstr/>
  </property>
  <property fmtid="{D5CDD505-2E9C-101B-9397-08002B2CF9AE}" pid="23" name="NEWPARTB">
    <vt:lpwstr/>
  </property>
  <property fmtid="{D5CDD505-2E9C-101B-9397-08002B2CF9AE}" pid="24" name="NEWPARTC">
    <vt:lpwstr/>
  </property>
  <property fmtid="{D5CDD505-2E9C-101B-9397-08002B2CF9AE}" pid="25" name="NEWPROC">
    <vt:lpwstr/>
  </property>
  <property fmtid="{D5CDD505-2E9C-101B-9397-08002B2CF9AE}" pid="26" name="NOSE11">
    <vt:lpwstr>עונשין</vt:lpwstr>
  </property>
  <property fmtid="{D5CDD505-2E9C-101B-9397-08002B2CF9AE}" pid="27" name="NOSE110">
    <vt:lpwstr/>
  </property>
  <property fmtid="{D5CDD505-2E9C-101B-9397-08002B2CF9AE}" pid="28" name="NOSE12">
    <vt:lpwstr>עונשין</vt:lpwstr>
  </property>
  <property fmtid="{D5CDD505-2E9C-101B-9397-08002B2CF9AE}" pid="29" name="NOSE13">
    <vt:lpwstr>עונשין</vt:lpwstr>
  </property>
  <property fmtid="{D5CDD505-2E9C-101B-9397-08002B2CF9AE}" pid="30" name="NOSE14">
    <vt:lpwstr>עונשין</vt:lpwstr>
  </property>
  <property fmtid="{D5CDD505-2E9C-101B-9397-08002B2CF9AE}" pid="31" name="NOSE15">
    <vt:lpwstr/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77;77;77;77</vt:lpwstr>
  </property>
  <property fmtid="{D5CDD505-2E9C-101B-9397-08002B2CF9AE}" pid="37" name="NOSE21">
    <vt:lpwstr>ענישה</vt:lpwstr>
  </property>
  <property fmtid="{D5CDD505-2E9C-101B-9397-08002B2CF9AE}" pid="38" name="NOSE210">
    <vt:lpwstr/>
  </property>
  <property fmtid="{D5CDD505-2E9C-101B-9397-08002B2CF9AE}" pid="39" name="NOSE22">
    <vt:lpwstr>ענישה</vt:lpwstr>
  </property>
  <property fmtid="{D5CDD505-2E9C-101B-9397-08002B2CF9AE}" pid="40" name="NOSE23">
    <vt:lpwstr>ענישה</vt:lpwstr>
  </property>
  <property fmtid="{D5CDD505-2E9C-101B-9397-08002B2CF9AE}" pid="41" name="NOSE24">
    <vt:lpwstr>ענישה</vt:lpwstr>
  </property>
  <property fmtid="{D5CDD505-2E9C-101B-9397-08002B2CF9AE}" pid="42" name="NOSE25">
    <vt:lpwstr/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1446;1446;1446;1446</vt:lpwstr>
  </property>
  <property fmtid="{D5CDD505-2E9C-101B-9397-08002B2CF9AE}" pid="48" name="NOSE31">
    <vt:lpwstr>מדיניות ענישה: שוד</vt:lpwstr>
  </property>
  <property fmtid="{D5CDD505-2E9C-101B-9397-08002B2CF9AE}" pid="49" name="NOSE310">
    <vt:lpwstr/>
  </property>
  <property fmtid="{D5CDD505-2E9C-101B-9397-08002B2CF9AE}" pid="50" name="NOSE32">
    <vt:lpwstr>מתחם הענישה</vt:lpwstr>
  </property>
  <property fmtid="{D5CDD505-2E9C-101B-9397-08002B2CF9AE}" pid="51" name="NOSE33">
    <vt:lpwstr>מדיניות ענישה: שיקולים לקולה</vt:lpwstr>
  </property>
  <property fmtid="{D5CDD505-2E9C-101B-9397-08002B2CF9AE}" pid="52" name="NOSE34">
    <vt:lpwstr>התערבות ערכאת הערעור</vt:lpwstr>
  </property>
  <property fmtid="{D5CDD505-2E9C-101B-9397-08002B2CF9AE}" pid="53" name="NOSE35">
    <vt:lpwstr/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15019;14985;8996;8978</vt:lpwstr>
  </property>
  <property fmtid="{D5CDD505-2E9C-101B-9397-08002B2CF9AE}" pid="59" name="PADIDATE">
    <vt:lpwstr>20150108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</vt:lpwstr>
  </property>
  <property fmtid="{D5CDD505-2E9C-101B-9397-08002B2CF9AE}" pid="64" name="PROCNUM">
    <vt:lpwstr>4125</vt:lpwstr>
  </property>
  <property fmtid="{D5CDD505-2E9C-101B-9397-08002B2CF9AE}" pid="65" name="PROCYEAR">
    <vt:lpwstr>14</vt:lpwstr>
  </property>
  <property fmtid="{D5CDD505-2E9C-101B-9397-08002B2CF9AE}" pid="66" name="PSAKDIN">
    <vt:lpwstr>פסק-דין</vt:lpwstr>
  </property>
  <property fmtid="{D5CDD505-2E9C-101B-9397-08002B2CF9AE}" pid="67" name="TYPE">
    <vt:lpwstr>1</vt:lpwstr>
  </property>
  <property fmtid="{D5CDD505-2E9C-101B-9397-08002B2CF9AE}" pid="68" name="TYPE_ABS_DATE">
    <vt:lpwstr>410120150106</vt:lpwstr>
  </property>
  <property fmtid="{D5CDD505-2E9C-101B-9397-08002B2CF9AE}" pid="69" name="TYPE_N_DATE">
    <vt:lpwstr>41020150106</vt:lpwstr>
  </property>
  <property fmtid="{D5CDD505-2E9C-101B-9397-08002B2CF9AE}" pid="70" name="VOLUME">
    <vt:lpwstr/>
  </property>
  <property fmtid="{D5CDD505-2E9C-101B-9397-08002B2CF9AE}" pid="71" name="WORDNUMPAGES">
    <vt:lpwstr>9</vt:lpwstr>
  </property>
</Properties>
</file>