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8"/>
        <w:gridCol w:w="3673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בחיפה בשבתו כבית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8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פ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41827-08-10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פרידמן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3" w:type="dxa"/>
            <w:tcBorders/>
          </w:tcPr>
          <w:p>
            <w:pPr>
              <w:pStyle w:val="Header"/>
              <w:ind w:end="0"/>
              <w:jc w:val="end"/>
              <w:rPr/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w:t>30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דצמבר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2010</w:t>
            </w:r>
          </w:p>
        </w:tc>
      </w:tr>
    </w:tbl>
    <w:p>
      <w:pPr>
        <w:pStyle w:val="Header"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8"/>
        <w:gridCol w:w="2655"/>
        <w:gridCol w:w="5557"/>
      </w:tblGrid>
      <w:tr>
        <w:trPr>
          <w:trHeight w:val="295" w:hRule="atLeast"/>
        </w:trPr>
        <w:tc>
          <w:tcPr>
            <w:tcW w:w="608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בפני</w:t>
            </w:r>
          </w:p>
        </w:tc>
        <w:tc>
          <w:tcPr>
            <w:tcW w:w="8212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כב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הרכב השופטים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ש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ברלינר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סגן נשיא </w:t>
            </w:r>
            <w:r>
              <w:rPr>
                <w:rFonts w:cs="Arial" w:ascii="Arial" w:hAnsi="Arial"/>
                <w:b/>
                <w:bCs/>
                <w:rtl w:val="true"/>
              </w:rPr>
              <w:t>(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אב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ד</w:t>
            </w:r>
            <w:r>
              <w:rPr>
                <w:rFonts w:cs="Arial" w:ascii="Arial" w:hAnsi="Arial"/>
                <w:b/>
                <w:bCs/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י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גריל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סגן נשיא</w:t>
            </w:r>
          </w:p>
          <w:p>
            <w:pPr>
              <w:pStyle w:val="Normal"/>
              <w:ind w:end="0"/>
              <w:jc w:val="start"/>
              <w:rPr>
                <w:rFonts w:ascii="Arial" w:hAnsi="Arial" w:cs="FrankRuehl"/>
                <w:sz w:val="28"/>
                <w:szCs w:val="28"/>
                <w:highlight w:val="yellow"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א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אליקים</w:t>
            </w:r>
          </w:p>
        </w:tc>
      </w:tr>
      <w:tr>
        <w:trPr/>
        <w:tc>
          <w:tcPr>
            <w:tcW w:w="3263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highlight w:val="yellow"/>
                <w:rtl w:val="true"/>
              </w:rPr>
            </w:r>
            <w:bookmarkStart w:id="0" w:name="LastJudge"/>
            <w:bookmarkStart w:id="1" w:name="FirstLawyer"/>
            <w:bookmarkStart w:id="2" w:name="FirstAppellant"/>
            <w:bookmarkStart w:id="3" w:name="LastJudge"/>
            <w:bookmarkStart w:id="4" w:name="FirstLawyer"/>
            <w:bookmarkStart w:id="5" w:name="FirstAppellant"/>
            <w:bookmarkEnd w:id="3"/>
            <w:bookmarkEnd w:id="4"/>
            <w:bookmarkEnd w:id="5"/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המערער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</w:tc>
        <w:tc>
          <w:tcPr>
            <w:tcW w:w="555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Times New Roman"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דוד פרידמן    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ע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י ב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כ עוה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ד ש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בלומנפלד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/>
        <w:tc>
          <w:tcPr>
            <w:tcW w:w="3263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המשיבה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</w:tc>
        <w:tc>
          <w:tcPr>
            <w:tcW w:w="555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מדינת ישראל</w:t>
            </w:r>
          </w:p>
          <w:p>
            <w:pPr>
              <w:pStyle w:val="Normal"/>
              <w:bidi w:val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ע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י פרקליטות מחוז חיפה </w:t>
            </w:r>
            <w:r>
              <w:rPr>
                <w:rFonts w:cs="Arial" w:ascii="Arial" w:hAnsi="Arial"/>
                <w:b/>
                <w:bCs/>
                <w:rtl w:val="true"/>
              </w:rPr>
              <w:t>(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פלילי</w:t>
            </w:r>
            <w:r>
              <w:rPr>
                <w:rFonts w:cs="Arial" w:ascii="Arial" w:hAnsi="Arial"/>
                <w:b/>
                <w:bCs/>
                <w:rtl w:val="true"/>
              </w:rPr>
              <w:t>)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Style w:val="Hyperlink"/>
        </w:rPr>
      </w:pPr>
      <w:r>
        <w:rPr>
          <w:rFonts w:ascii="FrankRuehl" w:hAnsi="FrankRuehl" w:cs="FrankRuehl"/>
          <w:rtl w:val="true"/>
        </w:rPr>
        <w:t>כתבי עת</w:t>
      </w:r>
      <w:hyperlink r:id="rId2">
        <w:r>
          <w:rPr>
            <w:rFonts w:cs="FrankRuehl" w:ascii="FrankRuehl" w:hAnsi="FrankRuehl"/>
            <w:rtl w:val="true"/>
          </w:rPr>
          <w:t>: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3">
        <w:r>
          <w:rPr>
            <w:rStyle w:val="Hyperlink"/>
            <w:rFonts w:ascii="FrankRuehl" w:hAnsi="FrankRuehl" w:cs="FrankRuehl"/>
            <w:rtl w:val="true"/>
          </w:rPr>
          <w:t>אליקים רובינשטיין</w:t>
        </w:r>
        <w:r>
          <w:rPr>
            <w:rStyle w:val="Hyperlink"/>
            <w:rFonts w:cs="FrankRuehl" w:ascii="FrankRuehl" w:hAnsi="FrankRuehl"/>
            <w:rtl w:val="true"/>
          </w:rPr>
          <w:t>, "</w:t>
        </w:r>
        <w:r>
          <w:rPr>
            <w:rStyle w:val="Hyperlink"/>
            <w:rFonts w:ascii="FrankRuehl" w:hAnsi="FrankRuehl" w:cs="FrankRuehl"/>
            <w:rtl w:val="true"/>
          </w:rPr>
          <w:t>ישראל – הביטחון והמשפט</w:t>
        </w:r>
        <w:r>
          <w:rPr>
            <w:rStyle w:val="Hyperlink"/>
            <w:rFonts w:cs="FrankRuehl" w:ascii="FrankRuehl" w:hAnsi="FrankRuehl"/>
            <w:rtl w:val="true"/>
          </w:rPr>
          <w:t xml:space="preserve">:", </w:t>
        </w:r>
        <w:r>
          <w:rPr>
            <w:rStyle w:val="Hyperlink"/>
            <w:rFonts w:ascii="FrankRuehl" w:hAnsi="FrankRuehl" w:cs="FrankRuehl"/>
            <w:rtl w:val="true"/>
          </w:rPr>
          <w:t>ספר אליהו מצא</w:t>
        </w:r>
        <w:r>
          <w:rPr>
            <w:rStyle w:val="Hyperlink"/>
            <w:rFonts w:cs="FrankRuehl" w:ascii="FrankRuehl" w:hAnsi="FrankRuehl"/>
            <w:rtl w:val="true"/>
          </w:rPr>
          <w:t>,  (</w:t>
        </w:r>
        <w:r>
          <w:rPr>
            <w:rStyle w:val="Hyperlink"/>
            <w:rFonts w:cs="FrankRuehl" w:ascii="FrankRuehl" w:hAnsi="FrankRuehl"/>
          </w:rPr>
          <w:t>2015</w:t>
        </w:r>
        <w:r>
          <w:rPr>
            <w:rStyle w:val="Hyperlink"/>
            <w:rFonts w:cs="FrankRuehl" w:ascii="FrankRuehl" w:hAnsi="FrankRuehl"/>
            <w:rtl w:val="true"/>
          </w:rPr>
          <w:t xml:space="preserve">) </w:t>
        </w:r>
        <w:r>
          <w:rPr>
            <w:rStyle w:val="Hyperlink"/>
            <w:rFonts w:cs="FrankRuehl" w:ascii="FrankRuehl" w:hAnsi="FrankRuehl"/>
          </w:rPr>
          <w:t>99</w:t>
        </w:r>
      </w:hyperlink>
      <w:bookmarkStart w:id="6" w:name="LawTable"/>
      <w:bookmarkEnd w:id="6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4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5">
        <w:r>
          <w:rPr>
            <w:rStyle w:val="Hyperlink"/>
            <w:rFonts w:cs="FrankRuehl" w:ascii="FrankRuehl" w:hAnsi="FrankRuehl"/>
            <w:color w:val="0000FF"/>
            <w:u w:val="single"/>
          </w:rPr>
          <w:t>6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</w:rPr>
          <w:t>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u w:val="single"/>
          </w:rPr>
          <w:t>10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u w:val="single"/>
          </w:rPr>
          <w:t>10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9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המבחן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תשכ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1969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10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11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המהנדסים והאדריכלים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תשי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1958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bookmarkStart w:id="7" w:name="ABSTRACT_START"/>
      <w:bookmarkStart w:id="8" w:name="LawTable_End"/>
      <w:bookmarkEnd w:id="7"/>
      <w:bookmarkEnd w:id="8"/>
      <w:r>
        <w:rPr>
          <w:rFonts w:cs="FrankRuehl"/>
          <w:szCs w:val="26"/>
          <w:rtl w:val="true"/>
        </w:rPr>
        <w:t>מיני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  <w:rtl w:val="true"/>
        </w:rPr>
        <w:t>רציו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  <w:lang w:val="en-US" w:eastAsia="en-US"/>
        </w:rPr>
        <w:t>נדחה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ערעור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המערער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על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גזר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דינו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בית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משפט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השלום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לפיו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דחה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בית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משפט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קמא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בקשת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המערער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להימנע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מהרשעתו</w:t>
      </w:r>
      <w:r>
        <w:rPr>
          <w:rFonts w:cs="FrankRuehl"/>
          <w:szCs w:val="26"/>
          <w:rtl w:val="true"/>
          <w:lang w:val="en-US" w:eastAsia="en-US"/>
        </w:rPr>
        <w:t xml:space="preserve">. </w:t>
      </w:r>
      <w:r>
        <w:rPr>
          <w:rFonts w:cs="FrankRuehl"/>
          <w:szCs w:val="26"/>
          <w:rtl w:val="true"/>
          <w:lang w:val="en-US" w:eastAsia="en-US"/>
        </w:rPr>
        <w:t>נפסק</w:t>
      </w:r>
      <w:r>
        <w:rPr>
          <w:rFonts w:cs="FrankRuehl"/>
          <w:szCs w:val="26"/>
          <w:rtl w:val="true"/>
          <w:lang w:val="en-US" w:eastAsia="en-US"/>
        </w:rPr>
        <w:t>,</w:t>
      </w:r>
      <w:r>
        <w:rPr>
          <w:rFonts w:cs="FrankRuehl"/>
          <w:szCs w:val="26"/>
          <w:rtl w:val="true"/>
          <w:lang w:val="en-US" w:eastAsia="en-US"/>
        </w:rPr>
        <w:t>כי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הימנעות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מהרשעה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לגבי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נאשם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בגיר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תהא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בגדר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יוצא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הכלל</w:t>
      </w:r>
      <w:r>
        <w:rPr>
          <w:rFonts w:cs="FrankRuehl"/>
          <w:szCs w:val="26"/>
          <w:rtl w:val="true"/>
          <w:lang w:val="en-US" w:eastAsia="en-US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FrankRuehl"/>
          <w:szCs w:val="26"/>
          <w:rtl w:val="true"/>
        </w:rPr>
        <w:t xml:space="preserve">: </w:t>
      </w:r>
      <w:r>
        <w:rPr>
          <w:rFonts w:cs="FrankRuehl"/>
          <w:szCs w:val="26"/>
          <w:rtl w:val="true"/>
        </w:rPr>
        <w:t>אי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  <w:rtl w:val="true"/>
        </w:rPr>
        <w:t>הרשעה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  <w:lang w:val="en-US" w:eastAsia="en-US"/>
        </w:rPr>
        <w:t>בפנינו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ערעור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על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גזר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דינו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בית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משפט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השלום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לפיו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דחה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בית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משפט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קמא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בקשת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המערער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להימנע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מהרשעתו</w:t>
      </w:r>
      <w:r>
        <w:rPr>
          <w:rFonts w:cs="FrankRuehl"/>
          <w:szCs w:val="26"/>
          <w:rtl w:val="true"/>
          <w:lang w:val="en-US" w:eastAsia="en-US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דחה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ופסק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כלהלן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  <w:lang w:val="en-US" w:eastAsia="en-US"/>
        </w:rPr>
      </w:pPr>
      <w:r>
        <w:rPr>
          <w:rFonts w:cs="FrankRuehl"/>
          <w:szCs w:val="26"/>
          <w:rtl w:val="true"/>
          <w:lang w:val="en-US" w:eastAsia="en-US"/>
        </w:rPr>
        <w:t>הימנעות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מהרשעה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תיתכן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רק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במקרים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יוצאי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דופן</w:t>
      </w:r>
      <w:r>
        <w:rPr>
          <w:rFonts w:cs="FrankRuehl"/>
          <w:szCs w:val="26"/>
          <w:rtl w:val="true"/>
          <w:lang w:val="en-US" w:eastAsia="en-US"/>
        </w:rPr>
        <w:t xml:space="preserve">, </w:t>
      </w:r>
      <w:r>
        <w:rPr>
          <w:rFonts w:cs="FrankRuehl"/>
          <w:szCs w:val="26"/>
          <w:rtl w:val="true"/>
          <w:lang w:val="en-US" w:eastAsia="en-US"/>
        </w:rPr>
        <w:t>בהם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אין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יחס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סביר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הנזק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הצפוי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לנאשם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ההרשעה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לבין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חומרתה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העבירה</w:t>
      </w:r>
      <w:r>
        <w:rPr>
          <w:rFonts w:cs="FrankRuehl"/>
          <w:szCs w:val="26"/>
          <w:rtl w:val="true"/>
          <w:lang w:val="en-US" w:eastAsia="en-US"/>
        </w:rPr>
        <w:t xml:space="preserve">. </w:t>
      </w:r>
      <w:r>
        <w:rPr>
          <w:rFonts w:cs="FrankRuehl"/>
          <w:szCs w:val="26"/>
          <w:rtl w:val="true"/>
          <w:lang w:val="en-US" w:eastAsia="en-US"/>
        </w:rPr>
        <w:t>נאשם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בגיר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שנקבע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כי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ביצע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העבירה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המיוחסת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יורשע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וההליך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הפלילי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כנגדו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ימוצה</w:t>
      </w:r>
      <w:r>
        <w:rPr>
          <w:rFonts w:cs="FrankRuehl"/>
          <w:szCs w:val="26"/>
          <w:rtl w:val="true"/>
          <w:lang w:val="en-US" w:eastAsia="en-US"/>
        </w:rPr>
        <w:t xml:space="preserve">. </w:t>
      </w:r>
      <w:r>
        <w:rPr>
          <w:rFonts w:cs="FrankRuehl"/>
          <w:szCs w:val="26"/>
          <w:rtl w:val="true"/>
          <w:lang w:val="en-US" w:eastAsia="en-US"/>
        </w:rPr>
        <w:t>הימנעות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מהרשעה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לגבי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נאשם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בגיר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תהא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בגדר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יוצא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הכלל</w:t>
      </w:r>
      <w:r>
        <w:rPr>
          <w:rFonts w:cs="FrankRuehl"/>
          <w:szCs w:val="26"/>
          <w:rtl w:val="true"/>
          <w:lang w:val="en-US" w:eastAsia="en-US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  <w:lang w:val="en-US" w:eastAsia="en-US"/>
        </w:rPr>
      </w:pPr>
      <w:r>
        <w:rPr>
          <w:rFonts w:cs="FrankRuehl"/>
          <w:szCs w:val="26"/>
          <w:rtl w:val="true"/>
          <w:lang w:val="en-US" w:eastAsia="en-US"/>
        </w:rPr>
        <w:t>במקרה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זה</w:t>
      </w:r>
      <w:r>
        <w:rPr>
          <w:rFonts w:cs="FrankRuehl"/>
          <w:szCs w:val="26"/>
          <w:rtl w:val="true"/>
          <w:lang w:val="en-US" w:eastAsia="en-US"/>
        </w:rPr>
        <w:t xml:space="preserve">, </w:t>
      </w:r>
      <w:r>
        <w:rPr>
          <w:rFonts w:cs="FrankRuehl"/>
          <w:szCs w:val="26"/>
          <w:rtl w:val="true"/>
          <w:lang w:val="en-US" w:eastAsia="en-US"/>
        </w:rPr>
        <w:t>לא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הוכח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שנפל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פגם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כלשהוא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בהחלטתו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בית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משפט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קמא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לפיה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אין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מקום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לבטל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הרשעתו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המערער</w:t>
      </w:r>
      <w:r>
        <w:rPr>
          <w:rFonts w:cs="FrankRuehl"/>
          <w:szCs w:val="26"/>
          <w:rtl w:val="true"/>
          <w:lang w:val="en-US" w:eastAsia="en-US"/>
        </w:rPr>
        <w:t xml:space="preserve">. </w:t>
      </w:r>
      <w:r>
        <w:rPr>
          <w:rFonts w:cs="FrankRuehl"/>
          <w:szCs w:val="26"/>
          <w:rtl w:val="true"/>
          <w:lang w:val="en-US" w:eastAsia="en-US"/>
        </w:rPr>
        <w:t>בגזר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דינו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פירט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בית</w:t>
      </w:r>
      <w:r>
        <w:rPr>
          <w:rFonts w:cs="FrankRuehl"/>
          <w:szCs w:val="26"/>
          <w:rtl w:val="true"/>
          <w:lang w:val="en-US" w:eastAsia="en-US"/>
        </w:rPr>
        <w:t>-</w:t>
      </w:r>
      <w:r>
        <w:rPr>
          <w:rFonts w:cs="FrankRuehl"/>
          <w:szCs w:val="26"/>
          <w:rtl w:val="true"/>
          <w:lang w:val="en-US" w:eastAsia="en-US"/>
        </w:rPr>
        <w:t>משפט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קמא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השיקולים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לחומרא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ואת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השיקולים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לקולא</w:t>
      </w:r>
      <w:r>
        <w:rPr>
          <w:rFonts w:cs="FrankRuehl"/>
          <w:szCs w:val="26"/>
          <w:rtl w:val="true"/>
          <w:lang w:val="en-US" w:eastAsia="en-US"/>
        </w:rPr>
        <w:t xml:space="preserve">. </w:t>
      </w:r>
      <w:r>
        <w:rPr>
          <w:rFonts w:cs="FrankRuehl"/>
          <w:szCs w:val="26"/>
          <w:rtl w:val="true"/>
          <w:lang w:val="en-US" w:eastAsia="en-US"/>
        </w:rPr>
        <w:t>הוכח</w:t>
      </w:r>
      <w:r>
        <w:rPr>
          <w:rFonts w:cs="FrankRuehl"/>
          <w:szCs w:val="26"/>
          <w:rtl w:val="true"/>
          <w:lang w:val="en-US" w:eastAsia="en-US"/>
        </w:rPr>
        <w:t xml:space="preserve">, </w:t>
      </w:r>
      <w:r>
        <w:rPr>
          <w:rFonts w:cs="FrankRuehl"/>
          <w:szCs w:val="26"/>
          <w:rtl w:val="true"/>
          <w:lang w:val="en-US" w:eastAsia="en-US"/>
        </w:rPr>
        <w:t>כי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הענישה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שהוטלה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על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המערער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מתונה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ביותר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ומביאה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בחשבון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העובדה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שאין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הרשעות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קודמות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לחובת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המערער</w:t>
      </w:r>
      <w:r>
        <w:rPr>
          <w:rFonts w:cs="FrankRuehl"/>
          <w:szCs w:val="26"/>
          <w:rtl w:val="true"/>
          <w:lang w:val="en-US" w:eastAsia="en-US"/>
        </w:rPr>
        <w:t xml:space="preserve">,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נסיבותיו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האישיות</w:t>
      </w:r>
      <w:r>
        <w:rPr>
          <w:rFonts w:cs="FrankRuehl"/>
          <w:szCs w:val="26"/>
          <w:rtl w:val="true"/>
          <w:lang w:val="en-US" w:eastAsia="en-US"/>
        </w:rPr>
        <w:t xml:space="preserve">, </w:t>
      </w:r>
      <w:r>
        <w:rPr>
          <w:rFonts w:cs="FrankRuehl"/>
          <w:szCs w:val="26"/>
          <w:rtl w:val="true"/>
          <w:lang w:val="en-US" w:eastAsia="en-US"/>
        </w:rPr>
        <w:t>את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העובדה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שהוא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מנהל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אורח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חיים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נורמטיבי</w:t>
      </w:r>
      <w:r>
        <w:rPr>
          <w:rFonts w:cs="FrankRuehl"/>
          <w:szCs w:val="26"/>
          <w:rtl w:val="true"/>
          <w:lang w:val="en-US" w:eastAsia="en-US"/>
        </w:rPr>
        <w:t>.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Cs w:val="26"/>
          <w:lang w:val="en-US" w:eastAsia="en-US"/>
        </w:rPr>
      </w:pPr>
      <w:r>
        <w:rPr>
          <w:rFonts w:cs="FrankRuehl" w:ascii="FrankRuehl" w:hAnsi="FrankRuehl"/>
          <w:szCs w:val="26"/>
          <w:rtl w:val="true"/>
          <w:lang w:val="en-US" w:eastAsia="en-US"/>
        </w:rPr>
      </w:r>
      <w:bookmarkStart w:id="9" w:name="ABSTRACT_END"/>
      <w:bookmarkStart w:id="10" w:name="ABSTRACT_END"/>
      <w:bookmarkEnd w:id="10"/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11" w:name="PsakDin"/>
            <w:bookmarkStart w:id="12" w:name="Links_Kitvei_End"/>
            <w:bookmarkEnd w:id="11"/>
            <w:bookmarkEnd w:id="12"/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פסק דין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בפנינו ערעור על 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דינו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השלום בחיפה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ע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קוטון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 xml:space="preserve">מיום </w:t>
      </w:r>
      <w:r>
        <w:rPr>
          <w:rFonts w:cs="Arial" w:ascii="Arial" w:hAnsi="Arial"/>
          <w:lang w:val="en-US" w:eastAsia="en-US"/>
        </w:rPr>
        <w:t>14.7.10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ב</w:t>
      </w:r>
      <w:hyperlink r:id="rId12">
        <w:r>
          <w:rPr>
            <w:rStyle w:val="Hyperlink"/>
            <w:rFonts w:ascii="Arial" w:hAnsi="Arial" w:cs="Arial"/>
            <w:rtl w:val="true"/>
            <w:lang w:val="en-US" w:eastAsia="en-US"/>
          </w:rPr>
          <w:t>ת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8414-05-09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ascii="Arial" w:hAnsi="Arial" w:cs="Arial"/>
          <w:rtl w:val="true"/>
          <w:lang w:val="en-US" w:eastAsia="en-US"/>
        </w:rPr>
        <w:t>לפיו דחה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את בקשת המערער להימנע מהרשעתו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ולפיכך נדון המערער לחמישה חודשי מאסר בפועל שירוצו בעבודות שירות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על תנאי למקרה והמערער יעבור עבירת פשע בניגוד לפקודת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על תנאי למקרה ויעבור עבירת עוון בניגוד לפקודת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פסילה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תנאי מלקבל או להחזיק רישיון נהיגה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ופיקוח שירות המבחן למשך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יובהר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שכנגד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יליד </w:t>
      </w:r>
      <w:r>
        <w:rPr>
          <w:rFonts w:cs="Arial" w:ascii="Arial" w:hAnsi="Arial"/>
          <w:lang w:val="en-US" w:eastAsia="en-US"/>
        </w:rPr>
        <w:t>1975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הוגש כתב אישום בו נטען שבתאריך </w:t>
      </w:r>
      <w:r>
        <w:rPr>
          <w:rFonts w:cs="Arial" w:ascii="Arial" w:hAnsi="Arial"/>
          <w:lang w:val="en-US" w:eastAsia="en-US"/>
        </w:rPr>
        <w:t>6.5.09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נמצא המערער בביתו כשהוא מחזיק ברשותו סמים מסוכנים כמפורט להלן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 xml:space="preserve">בשידה בחדר השינה בשלוש קופסאות 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39.77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נטו סם מסוכן מסוג קנבוס</w:t>
      </w:r>
      <w:r>
        <w:rPr>
          <w:rFonts w:cs="Arial" w:ascii="Arial" w:hAnsi="Arial"/>
          <w:rtl w:val="true"/>
          <w:lang w:val="en-US" w:eastAsia="en-US"/>
        </w:rPr>
        <w:t>;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 xml:space="preserve">בחדר הארונות בחדר השינה 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138.29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נטו סם מסוכן מסוג קנבוס</w:t>
      </w:r>
      <w:r>
        <w:rPr>
          <w:rFonts w:cs="Arial" w:ascii="Arial" w:hAnsi="Arial"/>
          <w:rtl w:val="true"/>
          <w:lang w:val="en-US" w:eastAsia="en-US"/>
        </w:rPr>
        <w:t>;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 xml:space="preserve">בשידה בחדר השינה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זרעים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cs="Arial" w:ascii="Arial" w:hAnsi="Arial"/>
          <w:rtl w:val="true"/>
          <w:lang w:val="en-US" w:eastAsia="en-US"/>
        </w:rPr>
        <w:t>–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lang w:val="en-US" w:eastAsia="en-US"/>
        </w:rPr>
        <w:t>0.52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נטו סם מסוכן מסוג קנבוס</w:t>
      </w:r>
      <w:r>
        <w:rPr>
          <w:rFonts w:cs="Arial" w:ascii="Arial" w:hAnsi="Arial"/>
          <w:rtl w:val="true"/>
          <w:lang w:val="en-US" w:eastAsia="en-US"/>
        </w:rPr>
        <w:t>;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 xml:space="preserve">בקופסה בריצפת הסלון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lang w:val="en-US" w:eastAsia="en-US"/>
        </w:rPr>
        <w:t>17.84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נטו סם מסוכן מסוג קנבוס</w:t>
      </w:r>
      <w:r>
        <w:rPr>
          <w:rFonts w:cs="Arial" w:ascii="Arial" w:hAnsi="Arial"/>
          <w:rtl w:val="true"/>
          <w:lang w:val="en-US" w:eastAsia="en-US"/>
        </w:rPr>
        <w:t>;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סיגריה מאולתרת ובה תערובת ופירורים של קנבוס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כל זאת ללא היתר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ושלא לצריכתו העצמית של 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נטען עוד בכתב האישום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שהמערער נמצא מגדל סמים מסוכנים מסוג קנבוס בביתו ללא היתר ושלא לצריכתו העצמית בלבד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וכן נמצא המערער מחזיק ברשותו כלים המשמשים להכנת סם מסוכן דהיינו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עציצים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צינור אוורור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בקבוקים לדישון וגידול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נורת חום </w:t>
      </w:r>
      <w:r>
        <w:rPr>
          <w:rFonts w:cs="Arial" w:ascii="Arial" w:hAnsi="Arial"/>
          <w:rtl w:val="true"/>
          <w:lang w:val="en-US" w:eastAsia="en-US"/>
        </w:rPr>
        <w:t xml:space="preserve">+ </w:t>
      </w:r>
      <w:r>
        <w:rPr>
          <w:rFonts w:ascii="Arial" w:hAnsi="Arial" w:cs="Arial"/>
          <w:rtl w:val="true"/>
          <w:lang w:val="en-US" w:eastAsia="en-US"/>
        </w:rPr>
        <w:t>בית מנורה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מסנן אוויר </w:t>
      </w:r>
      <w:r>
        <w:rPr>
          <w:rFonts w:cs="Arial" w:ascii="Arial" w:hAnsi="Arial"/>
          <w:rtl w:val="true"/>
          <w:lang w:val="en-US" w:eastAsia="en-US"/>
        </w:rPr>
        <w:t xml:space="preserve">+ </w:t>
      </w:r>
      <w:r>
        <w:rPr>
          <w:rFonts w:ascii="Arial" w:hAnsi="Arial" w:cs="Arial"/>
          <w:rtl w:val="true"/>
          <w:lang w:val="en-US" w:eastAsia="en-US"/>
        </w:rPr>
        <w:t xml:space="preserve">שנאי </w:t>
      </w:r>
      <w:r>
        <w:rPr>
          <w:rFonts w:cs="Arial" w:ascii="Arial" w:hAnsi="Arial"/>
          <w:rtl w:val="true"/>
          <w:lang w:val="en-US" w:eastAsia="en-US"/>
        </w:rPr>
        <w:t xml:space="preserve">+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טרמוסטטים ללא היתר ושלא לצריכתו העצמית בלבד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נטען גם שבמועדים שונים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שאינם ידועים לתביעה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נהג המערער בביתו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להשתמש בסמים המסוכנים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אותם החזיק וגידל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ללא היתר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וללא רישיון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לפיכך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יוחסו למערער העבירות הבאות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גידול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ייצור והכנת סמים מסוכנים לפי </w:t>
      </w:r>
      <w:hyperlink r:id="rId13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14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החזקת סמים מסוכנים שלא לצריכה עצמית לפי </w:t>
      </w:r>
      <w:hyperlink r:id="rId15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רישא ל</w:t>
      </w:r>
      <w:hyperlink r:id="rId16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החזקת כלים להכנת סם שלא לצריכה עצמית לפי </w:t>
      </w:r>
      <w:hyperlink r:id="rId17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10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2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18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ג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בהכרעת הדין המפורטת והמנומקת מיום </w:t>
      </w:r>
      <w:r>
        <w:rPr>
          <w:rFonts w:cs="Arial" w:ascii="Arial" w:hAnsi="Arial"/>
          <w:lang w:val="en-US" w:eastAsia="en-US"/>
        </w:rPr>
        <w:t>10.3.10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ציין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שהמערער לא כפר במרבית העובדות המיוחסות לו בכתב האישום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סניגורו הודיע כי המערער כופר בכך שהחזיק בסמים ובכלים להכנתם שלא לצריכה עצמית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ולטענתו החזיק המערער בסמים ובכלים לצריכה עצמית בלבד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המערער כפר אמנם בכך שגידל 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אך הסביר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בהמשך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שאינו חולק על תפיסת הסמים המתוארת בעובדה </w:t>
      </w:r>
      <w:r>
        <w:rPr>
          <w:rFonts w:cs="Arial" w:ascii="Arial" w:hAnsi="Arial"/>
          <w:lang w:val="en-US" w:eastAsia="en-US"/>
        </w:rPr>
        <w:t>1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לכתב האישום והמחלוקת נוגעת למטרת ההחזקה ומטרת הגידול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לטענת המערער הוא החזיק בסמים לצריכה עצמית ואף גידל את הסמים לצריכה עצמית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ד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ההוכחות נשמעו בשאלה שבמחלוקת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בהכרעת הדין קבע בית משפט קמא שיש להבחין בין שתילי הסם המסוכן שגודלו בעציצים לבין כמות הסם הנפרדת שאותרה בביתו של 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לגבי כמות הסם הנפרדת שוכנע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שזו נועדה בעיקרה עבור המערער לשימושו העצמי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הסביר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יסוד התשתית הראייתית שהונחה בפניו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שהמערער הצליח לעמוד בנטל ההוכחה המוטל עליו להוכיח כי הסם הוחזק בעיקר לצריכתו העצמית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יחד עם 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הוסיף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וקבע שהסם הוחזק בביתו של המערער לא לצריכתו העצמית בלבד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אם גם לצריכתה של חברתו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אם מדובר בצריכה מצומצמת למדי ובכמות קטנה שאינה ניתנת לכימות או למדידה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להרשיע את המערער בעבירה של החזקת סם שלא לצריכה עצמית הואיל והוכח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לפי גירסת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שהסם הוחזק שלא לצריכתו העצמית בלבד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עוד קבע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בהכרעת הדין שהוכח כי המערער גידל סמים מסוכנים וציין </w:t>
      </w:r>
      <w:hyperlink r:id="rId19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שסעיף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20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ascii="Arial" w:hAnsi="Arial" w:cs="Arial"/>
          <w:rtl w:val="true"/>
          <w:lang w:val="en-US" w:eastAsia="en-US"/>
        </w:rPr>
        <w:t xml:space="preserve"> האוסר על גידול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ייצור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הפקה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והכנה של 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נועד למנוע הכנסת סם חדש למערכת הפצת הסם הכוללת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זאת הואיל ואין לדעת בשלב הייצור וההכנה לאן מועדות פני הסם ולאילו ידיים יעשה את דרכו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ואין להסיר את החשש המובנה בהקשר זה מעצם הגידול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דהיינו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שהסם יגיע גם לידיים שאינן ידי המערער וימשיך דרכו הלאה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קבע איפוא שהמערער עבר את העבירה שלפי </w:t>
      </w:r>
      <w:hyperlink r:id="rId21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של </w:t>
      </w:r>
      <w:hyperlink r:id="rId22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וכן קבע שהמערער גם עבר את העבירה שלפי </w:t>
      </w:r>
      <w:hyperlink r:id="rId23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10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לפקודת הסמים המסוכנים בכך שהחזיק ברשותו כלים לשם הכנת 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והכלים שימשו את המערער לצורך גידול הסם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ולא לצורך שימוש בצריכתו העצמית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לפיכך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הרשיע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את המערער בכל העבירות המיוחסות לו בכתב האישום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בתסקיר שירות המבחן מיום </w:t>
      </w:r>
      <w:r>
        <w:rPr>
          <w:rFonts w:cs="Arial" w:ascii="Arial" w:hAnsi="Arial"/>
          <w:lang w:val="en-US" w:eastAsia="en-US"/>
        </w:rPr>
        <w:t>20.6.10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צויין שאין לחובת המערער הרשעות קודמות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המערער תיאר בפני שירות המבחן שהחל להשתמש בסמים מסוג גראס וחשיש לפני </w:t>
      </w:r>
      <w:r>
        <w:rPr>
          <w:rFonts w:cs="Arial" w:ascii="Arial" w:hAnsi="Arial"/>
          <w:lang w:val="en-US" w:eastAsia="en-US"/>
        </w:rPr>
        <w:t>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שנים ותדירות השימוש בתקופות שונות היתה לעיתים אינטנסיבית ולעיתים כלל לא עישן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השימוש בסמים סיפק לו תחושת הרגעה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לטענתו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הפסיק את השימוש כשנה טרם התסקיר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מאז מעצרו והחוויה הקשה שחווה עקב השתלשלות העניינים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בבדיקת שתן שנערכה בשירות המבחן לא נמצאו שרידי 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התרשמות שירות המבחן היתה שהמערער נוטה למזער במשמעות התנהגותו ולתת לה הסברים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ומנסה להפחית במשמעות התמכרותו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יחד עם 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התרשם שירות המבחן שהמערער מוכן לעבור תהליך טיפולי להבנת נסיבות התנהגותו והתמכרותו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וליצור בהם שינוי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שירות המבחן התרשם שתהליך טיפולי עשוי לתרום לצמצום התנהגות דומה בעתיד והמליץ להטיל על המערער צו מבחן סמים למשך שנתיים במהלכו ישתלב בתהליך טיפולי ממוקד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שירות המבחן גם המליץ על צו של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צ בהיקף </w:t>
      </w:r>
      <w:r>
        <w:rPr>
          <w:rFonts w:cs="Arial" w:ascii="Arial" w:hAnsi="Arial"/>
          <w:lang w:val="en-US" w:eastAsia="en-US"/>
        </w:rPr>
        <w:t>200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שעות כחלופה עונשית שתחבר את המערער למשמעות התנהגותו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ח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שירות המבחן הוסיף בסיפא של התסקיר שלא הוגשו לו מסמכים רשמיים בעניין פגיעה אפשרית של הרשעת המערער בכל הנוגע לקבלת רישוי עבודה כהנדסאי אדריכלות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אך נוכח העדר הרשעות קודמות והתרשמות שירות המבחן מתיפקוד תקין בתחום התעסוקתי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והזדהות עם ערכים נורמטיביים בדרך כלל ונכונות המערער להשתלב בתהליך טיפולי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המליץ שירות המבחן שבית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 ישקול ביטול הרשעתו של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כדי שלא לפגוע בהשתלבותו בתעסוקה בעתיד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ט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בחוות דעתו של הממונה על עבודות שירות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נמצא המערער כשיר לביצוע עבודות שירות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לאחר שמסר בדיקת שתן שנמצאה תקינה והביע נכונות לשאת מאסר בעבודות שירות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הדין מיום </w:t>
      </w:r>
      <w:r>
        <w:rPr>
          <w:rFonts w:cs="Arial" w:ascii="Arial" w:hAnsi="Arial"/>
          <w:lang w:val="en-US" w:eastAsia="en-US"/>
        </w:rPr>
        <w:t>14.7.10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עמד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על כך שהעבירה לפי </w:t>
      </w:r>
      <w:hyperlink r:id="rId24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25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האוסרת על ייצור 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הפקתו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הכנתו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וכו</w:t>
      </w:r>
      <w:r>
        <w:rPr>
          <w:rFonts w:cs="Arial" w:ascii="Arial" w:hAnsi="Arial"/>
          <w:rtl w:val="true"/>
          <w:lang w:val="en-US" w:eastAsia="en-US"/>
        </w:rPr>
        <w:t xml:space="preserve">') </w:t>
      </w:r>
      <w:r>
        <w:rPr>
          <w:rFonts w:ascii="Arial" w:hAnsi="Arial" w:cs="Arial"/>
          <w:rtl w:val="true"/>
          <w:lang w:val="en-US" w:eastAsia="en-US"/>
        </w:rPr>
        <w:t>נועדה למנוע הכנסת סם חדש למערכת הפצת הסם הכוללת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והמחוקק רואה בגידול סם מסוכן משום מעשה שווה ערך לייצור 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הפקתו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הכנתו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ומיצויו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 xml:space="preserve">הסיבה לכך היא שאין לדעת לאן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יתגלגל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הסם שיופק מן הצמחים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העונש המירבי הקבוע לצד עבירת הגידול הוא </w:t>
      </w:r>
      <w:r>
        <w:rPr>
          <w:rFonts w:cs="Arial" w:ascii="Arial" w:hAnsi="Arial"/>
          <w:lang w:val="en-US" w:eastAsia="en-US"/>
        </w:rPr>
        <w:t>20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שנות מאסר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מציין שופט קמא בגזר דינו שעל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 להחמיר עם המגדלים כדי לצקת תוכן לתכלית החקיקה ולהרתיע את היחיד והרבים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גם אין להתעלם מן הכלים והמיכשור שאותרו בבית המערער ושנועדו להשבחת הגידול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יחד עם 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קיבל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את טענת המערער שהסמים שהוחזקו בביתו נועדו בעיקרם לצריכתו העצמית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וככל שחברתו באותה עת השתמשה גם היא בחלק מסויים מן הסם שבביתו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הרי שהיה זה בחלק קטן ומצומצם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הוסיף וקבע בגזר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דינו שאין באפשרותו לקבל את המלצת שירות המבחן להימנע מהרשעה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וזאת הן משום שמדובר בשתי 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ובהן גידול 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והחזקת כלים לשם גידול הסם המסוכן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שיש בהן חומרה בלתי מבוטלת והן משום שלא ניתן להתעלם מן התקופה הארוכה ביותר במהלכה צרך המערער סמים מסוכנים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העובדה שהמערער נעדר הרשעות קודמות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אין בה כדי לאיין את צריכתו האינטנסיבית במשך שנים רבות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כפי שהדבר בא לידי ביטוי בדבריו של המערער בפני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 ובפני שירות המבחן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בנוסף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ציין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בגזר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הדין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שהימנעות מהרשעה עלולה לפגוע בתכלית ההרתעה המתבקשת ולהעביר מסר סלחני לעוסקים בגידול סם מסוכן ובצריכתו האינטנסיבית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הימנעות מהרשעה גם עלולה לפגוע ביסודות השוויון והוודאות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הוסיף שעניינו של המערער אינו עולה בקנה אחד עם הקריטריונים של הימנעות מהרשעה כפי שנקבעו בפסיקה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לא הובאו ראיות שיש בהן כדי לבסס את טענת ההגנה לפיה הרשעתו של המערער תמנע את יכולתו של המערער לעסוק במקצוע בו הוא מתעתד לעבוד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לא שוכנע שזהו אחד המקרים החריגים והמיוחדים בהם ראוי להימנע מהרשעה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לאחר שהביא בחשבון את השיקולים לחומרא ולקולא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הטיל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על המערער את העונשים כפי שפורטו לעיל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הודעת הערעור שהגיש המערער מתמקדת בקביעתו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הדוחה את בקשתו של המערער שתבוטל הרשעתו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כפועל יוצא מכך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מופנית הודעת הערעור גם כנגד רכיב הענישה של עבודות השירות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זה מתבקש להימנע מהרשעת המערער בשים לב להמלצת שירות המבחן ולהטיל על המערער במקום זאת צו של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צ ללא הרשעה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ג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נטען בנימוקי הערעור שעניינו של המערער הוא אחד מאותם מקרים יוצאי דופן המצדיקים הימנעות מהרשעה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לדעת המערער נתקיימו לגביו הקריטריונים שנקבעו בפסיקת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 העליון בנוגע להימנעות מהרשעה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נטען בנימוקי הערעור שהמערער הודה ונטל אחריות על מעשיו וגירסתו אף זכתה לאמונו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מדובר במי שגידל סם בביתו לשימוש העצמי והרשעתו בעבירה של שימוש שלא לצריכה עצמית נובעת מכך שנתן כמות  מצומצמת לבת זוגו דאז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שכנגדה לא הוגש כתב אישום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כמו 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צויין בנימוקי הערעור שהמערער חדל מלהשתמש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כך שהוא הפיק לקח מן ההליך הפלילי ובדיקת השתן אצל הממונה על עבודות שירות נמצאה נקיה מסמים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נטען עוד בנימוקי הערעור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שהמערער הוא סטודנט להנדסה בטכניון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השכל הישר והידיעה השיפוטית מובילים למסקנה שמעסיק שיבחן אפשרות העסקתו של המערער כהנדסאי יימנע מלהעסיקו לכשיתברר לו שבפניו אדם שהורשע בפלילים בעבירת 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מכאן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טענת הסניגור שמדובר במערער ללא הרשעות קודמות שהרשעתו בפלילים תפגע בו קשות ובאופן ודאי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הן כיום והן בעתיד ותגרום נזק למערער ולעתידו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בדיון שהתקיים בפנינו ביום </w:t>
      </w:r>
      <w:r>
        <w:rPr>
          <w:rFonts w:cs="Arial" w:ascii="Arial" w:hAnsi="Arial"/>
          <w:lang w:val="en-US" w:eastAsia="en-US"/>
        </w:rPr>
        <w:t>9.12.10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לא הופיעה הפרקליטות עקב השביתה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הסניגור המלומד חזר בפנינו על תמצית טענותיו ועתר לביטול הרשעתו של המערער ואף הוסיף</w:t>
      </w:r>
      <w:r>
        <w:rPr>
          <w:rFonts w:cs="Arial" w:ascii="Arial" w:hAnsi="Arial"/>
          <w:rtl w:val="true"/>
          <w:lang w:val="en-US" w:eastAsia="en-US"/>
        </w:rPr>
        <w:t xml:space="preserve">: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גם אחרי שטענתי היום אבקש לקבל את עמדת הפרקליטות והיה ובית המשפט לא יענה לבקשה זו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העובדה שהם אינם כאן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אומרת שהם מסכימים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</w:t>
      </w:r>
      <w:r>
        <w:rPr>
          <w:rFonts w:cs="Arial" w:ascii="Arial" w:hAnsi="Arial"/>
          <w:rtl w:val="true"/>
          <w:lang w:val="en-US" w:eastAsia="en-US"/>
        </w:rPr>
        <w:t xml:space="preserve">').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בנוסף גם הגיש הסניגור לעיוננו פסיקה לתמיכה בעמדתו ובטיעוניו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ט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לא ראינו הצדקה לדחיית מועד הדיון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הואיל וסבורים אנו שמלוא הנתונים והטיעונים הצריכים לעניין מצויים 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כעולה מתיקו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המונח 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ולרבות הטיעונים והנימוקים שבערעור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ט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לאחר שנתנו דעתנו להכרעת הדין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הדין המפורט והמנומק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תסקיר שירות המבחן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חוות דעתו של הממונה על עבודות שירות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וטיעוניו המפורטים של הסניגור המלומד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בכתב ובעל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סבורים אנו שדין הערעור להידחות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ראינו צורך לדחות את מועד הדיון בערעור לשמיעת עמדתה ונימוקיה של המשיבה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כידוע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נקבע בפסיקת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 העליון שהימנעות מהרשעה תיתכן רק במקרים יוצאי דופן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בהם אין יחס סביר בין הנזק הצפוי לנאשם מן ההרשעה לבין חומרתה של העבירה </w:t>
      </w:r>
      <w:r>
        <w:rPr>
          <w:rFonts w:cs="Arial" w:ascii="Arial" w:hAnsi="Arial"/>
          <w:rtl w:val="true"/>
          <w:lang w:val="en-US" w:eastAsia="en-US"/>
        </w:rPr>
        <w:t>(</w:t>
      </w:r>
      <w:hyperlink r:id="rId26">
        <w:r>
          <w:rPr>
            <w:rStyle w:val="Hyperlink"/>
            <w:rFonts w:ascii="Arial" w:hAnsi="Arial" w:cs="Arial"/>
            <w:rtl w:val="true"/>
            <w:lang w:val="en-US" w:eastAsia="en-US"/>
          </w:rPr>
          <w:t>ר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ע </w:t>
        </w:r>
        <w:r>
          <w:rPr>
            <w:rStyle w:val="Hyperlink"/>
            <w:rFonts w:cs="Arial" w:ascii="Arial" w:hAnsi="Arial"/>
            <w:lang w:val="en-US" w:eastAsia="en-US"/>
          </w:rPr>
          <w:t>432/85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גדעון רומנו נ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מדינת ישראל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ascii="Arial" w:hAnsi="Arial" w:cs="Arial"/>
          <w:rtl w:val="true"/>
          <w:lang w:val="en-US" w:eastAsia="en-US"/>
        </w:rPr>
        <w:t>תק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על </w:t>
      </w:r>
      <w:r>
        <w:rPr>
          <w:rFonts w:cs="Arial" w:ascii="Arial" w:hAnsi="Arial"/>
          <w:lang w:val="en-US" w:eastAsia="en-US"/>
        </w:rPr>
        <w:t>85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cs="Arial" w:ascii="Arial" w:hAnsi="Arial"/>
          <w:lang w:val="en-US" w:eastAsia="en-US"/>
        </w:rPr>
        <w:t>737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וכן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hyperlink r:id="rId27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2083/96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 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כתב נגד מדינת ישראל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, 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פ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ד נ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ב</w:t>
        </w:r>
      </w:hyperlink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cs="Arial" w:ascii="Arial" w:hAnsi="Arial"/>
          <w:lang w:val="en-US" w:eastAsia="en-US"/>
        </w:rPr>
        <w:t>337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341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בפסיקתנו נקבע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כי המבחן ללא הרשעה הינו חריג לכלל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שכן משהוכח ביצועה של עבירה יש להרשיע את הנאשם וראוי להטיל אמצעי זה רק במקרים יוצאי דופן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שבהן אין יחס סביר בין הנזק הצפוי לנאשם מן ההרשעה לבין חומרתה של העבירה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ראו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: </w:t>
      </w:r>
      <w:hyperlink r:id="rId28"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>ר</w:t>
        </w:r>
        <w:r>
          <w:rPr>
            <w:rStyle w:val="Hyperlink"/>
            <w:rFonts w:cs="Arial" w:ascii="Arial" w:hAnsi="Arial"/>
            <w:b/>
            <w:bCs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 xml:space="preserve">ע </w:t>
        </w:r>
        <w:r>
          <w:rPr>
            <w:rStyle w:val="Hyperlink"/>
            <w:rFonts w:cs="Arial" w:ascii="Arial" w:hAnsi="Arial"/>
            <w:b/>
            <w:bCs/>
            <w:lang w:val="en-US" w:eastAsia="en-US"/>
          </w:rPr>
          <w:t>432/85</w:t>
        </w:r>
      </w:hyperlink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רומנו נגד מדינת ישראל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ובהמשך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342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אכן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ענישתו של נאשם היא אינדיווידואלית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ובית המשפט בוחן עניינו של כל נאשם ונאשם ואינו קובע את עונשו אך על</w:t>
      </w:r>
      <w:r>
        <w:rPr>
          <w:rFonts w:cs="Arial" w:ascii="Arial" w:hAnsi="Arial"/>
          <w:b/>
          <w:bCs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פי מהות העבירה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ואולם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מהותה של העבירה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הצורך בהרתעת הרבים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ובעבירות שקורבנן אינו הפרט אלא הציבור כולו אף הוקעת מעשי העבירה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–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בצירוף מדיניות ענישה אחידה ככל האפשר על יסוד שיקולים אלה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–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כל אלה משמשים כגורמים העלולים לגבור אף על שיקומו של הנאשם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הימנעות מהרשעה אפשרית איפוא בהצטבר שני גורמים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: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ראשית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על ההרשעה לפגוע פגיעה חמורה בשיקום הנאשם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ושנית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סוג העבירה מאפשר לוותר בנסיבות המקרה המסויים על ההרשעה בלי לפגוע באופן מהותי בשיקולי הענישה האחרים המפורטים לעיל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ההדגשה שלנו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ab/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נקבע בפסיקה שנאשם בגיר שנקבע כי ביצע את העבירה המיוחסת לו יורשע וההליך הפלילי כנגדו ימוצה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הימנעות מהרשעה לגבי נאשם בגיר תהא בגדר יוצא מן הכלל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hyperlink r:id="rId29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9262/03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 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פלוני נ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' 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מדינת ישראל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, 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פ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ד נ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ח</w:t>
        </w:r>
      </w:hyperlink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cs="Arial" w:ascii="Arial" w:hAnsi="Arial"/>
          <w:lang w:val="en-US" w:eastAsia="en-US"/>
        </w:rPr>
        <w:t>869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876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על דרך הכלל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משנמצא כי נאשם בגיר ביצע עבירה מתחייב כי ההליך הפלילי כנגדו ימוצה בדרך של הרשעתו וענישתו כחלק מהליך אכיפת חוק שוויוני וכחלק מאינטרס ההרתעה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אמנם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סעיף </w:t>
      </w:r>
      <w:r>
        <w:rPr>
          <w:rFonts w:cs="Arial" w:ascii="Arial" w:hAnsi="Arial"/>
          <w:b/>
          <w:bCs/>
          <w:lang w:val="en-US" w:eastAsia="en-US"/>
        </w:rPr>
        <w:t>1</w:t>
      </w:r>
      <w:r>
        <w:rPr>
          <w:rFonts w:cs="Arial" w:ascii="Arial" w:hAnsi="Arial"/>
          <w:b/>
          <w:bCs/>
          <w:rtl w:val="true"/>
          <w:lang w:val="en-US" w:eastAsia="en-US"/>
        </w:rPr>
        <w:t>(</w:t>
      </w:r>
      <w:r>
        <w:rPr>
          <w:rFonts w:cs="Arial" w:ascii="Arial" w:hAnsi="Arial"/>
          <w:b/>
          <w:bCs/>
          <w:lang w:val="en-US" w:eastAsia="en-US"/>
        </w:rPr>
        <w:t>2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)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ל</w:t>
      </w:r>
      <w:hyperlink r:id="rId30"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 xml:space="preserve"> המבחן</w:t>
        </w:r>
      </w:hyperlink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cs="Arial" w:ascii="Arial" w:hAnsi="Arial"/>
          <w:b/>
          <w:bCs/>
          <w:rtl w:val="true"/>
          <w:lang w:val="en-US" w:eastAsia="en-US"/>
        </w:rPr>
        <w:t>[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נוסח חדש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],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תשכ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ט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–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cs="Arial" w:ascii="Arial" w:hAnsi="Arial"/>
          <w:b/>
          <w:bCs/>
          <w:lang w:val="en-US" w:eastAsia="en-US"/>
        </w:rPr>
        <w:t>1969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וכן סעיף </w:t>
      </w:r>
      <w:r>
        <w:rPr>
          <w:rFonts w:cs="Arial" w:ascii="Arial" w:hAnsi="Arial"/>
          <w:b/>
          <w:bCs/>
          <w:lang w:val="en-US" w:eastAsia="en-US"/>
        </w:rPr>
        <w:t>71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</w:t>
      </w:r>
      <w:r>
        <w:rPr>
          <w:rFonts w:cs="Arial" w:ascii="Arial" w:hAnsi="Arial"/>
          <w:b/>
          <w:bCs/>
          <w:rtl w:val="true"/>
          <w:lang w:val="en-US" w:eastAsia="en-US"/>
        </w:rPr>
        <w:t>'(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')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ל</w:t>
      </w:r>
      <w:hyperlink r:id="rId31"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>חוק</w:t>
        </w:r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 xml:space="preserve"> העונשין</w:t>
        </w:r>
      </w:hyperlink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מסמיכים את בית המשפט ליתן צו מבחן או צו שירות לתועלת לציבור תוך הימנעות מהרשעה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 xml:space="preserve">עם זאת הלכה פסוקה היא כי הימנעות מהרשעה של נאשם בגיר אשר נקבע כי ביצע עבירה מהווה חריג שיופעל רק בנסיבות 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מיוחדות חריגות ויוצאות דופן ביותר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>...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ההדגשה שלנו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ובהמשך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ab/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ככלל יימנע בית המשפט מהרשעתו של אדם בגיר רק במקרים נדירים שבהם ההרשעה צפויה להסב לנאשם נזק רב תוך פגיעה חמורה בסיכויי שיקומו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וכאשר טיב העבירה וחומרתה מאפשרים לוותר על הרשעה בלי לפגוע באופן מהותי בשיקולי הענישה האחרים</w:t>
      </w:r>
      <w:r>
        <w:rPr>
          <w:rFonts w:cs="Arial" w:ascii="Arial" w:hAnsi="Arial"/>
          <w:b/>
          <w:bCs/>
          <w:rtl w:val="true"/>
          <w:lang w:val="en-US" w:eastAsia="en-US"/>
        </w:rPr>
        <w:t>..."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וכן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hyperlink r:id="rId32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2669/00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 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מדינת ישראל נ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' 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פלוני פ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ד נ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ד</w:t>
        </w:r>
      </w:hyperlink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cs="Arial" w:ascii="Arial" w:hAnsi="Arial"/>
          <w:lang w:val="en-US" w:eastAsia="en-US"/>
        </w:rPr>
        <w:t>685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689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690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ט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מכאן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שיש לבחון האם מתקיימים במערער שני התנאים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האחד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שההרשעה עלולה לפגוע פגיעה חמורה בשיקומו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והשני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שסוג העבירה מאפשר לוותר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בנסיבות המקרה המסויים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ההרשעה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וזאת מבלי לפגוע באופן מהותי בשיקולי הענישה האחרים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על שני התנאים להתקיים במצטבר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לא היה מוכן להיעתר לבקשתו של המערער לביטול הרשעתו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וסבורים אנו שנימוקיו ושיקוליו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כפי שפורטו בגזר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דינו ראויים הם ומעוגנים היטב בדין ובפסיקה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הסניגור המלומד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עוה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ש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בלומנפלד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שעשה כמיטב יכולתו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מנת לשכנענו כי נתערב בגזר דינו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הניח לפתחנו פסיקה שנועדה לתמוך בעמדתו ובנימוקיו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אך כידוע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 לבחון כל מקרה ומקרה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פי נסיבותיו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איננו סבורים כי מקרה זה מצוי במסגרת אותן נסיבות שיש בהן כדי להצדיק את ביטולה של ההרשעה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אדרבא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בשים לב לשיקולים ולנימוקים שפורטו בגזר דינו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והמקובלים עלינו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ברי שאין להיעתר לבקשה לביטול הרשעתו של 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בצדק עמד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על התקופה הארוכה ביותר שבמהלכה צרך המערער סמים מסוכנים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העובדה שאין לחובת המערער הרשעות קודמות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אין בה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בתור שכזו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כדי לאיין את צריכתו האינטנסיבית במשך שנים רבות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יתר על 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המערער הורשע גם בעבירות חמורות של גידול סם מסוכן והחזקת כלים לשם גידולו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 xml:space="preserve">ביחס לעבירה לפי </w:t>
      </w:r>
      <w:hyperlink r:id="rId33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של </w:t>
      </w:r>
      <w:hyperlink r:id="rId34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שהיא אחת מן העבירות בהן הורשע המערער בענייננו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קבע המחוקק עונש של </w:t>
      </w:r>
      <w:r>
        <w:rPr>
          <w:rFonts w:cs="Arial" w:ascii="Arial" w:hAnsi="Arial"/>
          <w:lang w:val="en-US" w:eastAsia="en-US"/>
        </w:rPr>
        <w:t>20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שנות מאסר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מקובלת עלינו עמדתו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סעיף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של 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הדין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שתכלית איסור הגידול היא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בין היתר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מניעת הכנסת סם חדש למערכת הפצת הסם הכוללת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 xml:space="preserve">המחוקק לא הבחין בין גידול סם מסוכן לצריכה עצמית לבין גידול סם שלא לצריכה עצמית הואיל ואין לדעת לאן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יתגלגל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הסם שיופק מן הצמחים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כפי שנקבע בגזר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הדין נשוא הערעור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 להחמיר עם המגדלים כדי לצקת תוכן לתכלית החקיקה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לגמול למגדלים על מעשיהם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ולהרתיע את היחיד והרבים מלבצע עבירה מסוג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בנוסף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גם להביא בחשבון את הכלים והמיכשור שאותרו בבית המערער ושנועדו להביא להשבחת גידול הצמחים מהם הופק הסם המסוכן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ג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בעניין אחר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שנדון בפנינו בערעור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הורשע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יליד </w:t>
      </w:r>
      <w:r>
        <w:rPr>
          <w:rFonts w:cs="Arial" w:ascii="Arial" w:hAnsi="Arial"/>
          <w:lang w:val="en-US" w:eastAsia="en-US"/>
        </w:rPr>
        <w:t>1981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שבמקביל לעבודתו למד משפטים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ועמד בפני סיום לימודיו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בעבירות של מסירת הודעה כוזבת וניסיון לקבל דבר במירמה מחברת ביטוח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לנאשם לא היו הרשעות קודמות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ונטען שהוא עומד להתחיל בהתמחות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א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רובינשטיין דחה את בקשת רשות הערעור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רע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פ </w:t>
      </w:r>
      <w:r>
        <w:rPr>
          <w:rFonts w:cs="Arial" w:ascii="Arial" w:hAnsi="Arial"/>
          <w:lang w:val="en-US" w:eastAsia="en-US"/>
        </w:rPr>
        <w:t>3515/01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מנחם פדאל נ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מדינת ישראל</w:t>
      </w:r>
      <w:r>
        <w:rPr>
          <w:rFonts w:ascii="Arial" w:hAnsi="Arial" w:cs="Arial"/>
          <w:rtl w:val="true"/>
          <w:lang w:val="en-US" w:eastAsia="en-US"/>
        </w:rPr>
        <w:t xml:space="preserve"> מיום </w:t>
      </w:r>
      <w:r>
        <w:rPr>
          <w:rFonts w:cs="Arial" w:ascii="Arial" w:hAnsi="Arial"/>
          <w:lang w:val="en-US" w:eastAsia="en-US"/>
        </w:rPr>
        <w:t>21.5.09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וכתב את הדברים הבאים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פסיקה בדבר הימנעות מהרשעה היא על פי רוב נחלתם של קטינים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או של מי שעברו עבירות קלות במיוחד ונזק הרשעתם יהא גדול במיוחד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תוך ששיקולי ענישה אחרים אינם נפגעים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ואולם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בנידון דידן בעבירות של הודעה כוזבת וניסיון לקבלת דבר במרמה עסקינן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;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הללו הן עבירות נפוצות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קלות לביצוע ומפתות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–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פרצה קוראת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כמעט כל אדם עלול להיות נזקק לשירותי חברות ביטוח למשל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ובהינף קולמוס ניתן לברוא סיפורים בדויים ולנסות לזכות בכספים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כך גם בשירותים ציבוריים אחרים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בשלטונות המס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ברשויות המקומיות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בקופות חולים ועוד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אם לא תהא יד בתי המשפט ניכרת במאבק בעבירות מעין אלה ישוגר המסר הלא נכון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על כן אין מתקיים בנידון דידן אחד מן התנאים המצטברים שהציגה הלכת כתב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שניתן לכנותו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תנאי השלכות הרוחב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".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חומרתה של עבירה מעין זו נהירה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וברי פוטנציאל הפגיעה בציבור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שעלול להתקיים לגביו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בהתנהגות אותם גורמים</w:t>
      </w:r>
      <w:r>
        <w:rPr>
          <w:rFonts w:cs="Arial" w:ascii="Arial" w:hAnsi="Arial"/>
          <w:b/>
          <w:bCs/>
          <w:rtl w:val="true"/>
          <w:lang w:val="en-US" w:eastAsia="en-US"/>
        </w:rPr>
        <w:t>, 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האיש אחד יחטא וכל העדה תקצוף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?"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במדבר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ט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אין צריך לחזור ולהסביר את החומרה הטמונה בעבירות שביצע המערער והגם שבית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קיבל את גירסת המערער שהוא השתמש בסם לצריכתו העצמית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ואילו בת זוגו דאז עשתה שימוש בסם בצריכה מצומצמת למדי ובכמות קטנה שאינה ניתנת לכימות או למדידה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הרי הורשע המערער גם בעבירה לפי </w:t>
      </w:r>
      <w:hyperlink r:id="rId35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של פקודת הסמים שעל חומרתה כבר עמדנו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וכן גם בעבירה לפי </w:t>
      </w:r>
      <w:hyperlink r:id="rId36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10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של פקודת הסמים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בצדק עמד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על החומרה הטמונה בעבירות אלה והצורך לגמול למגדלים על מעשיהם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ולהרתיע את היחיד ואת הרבים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העלולים לפעול כמותו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אם להשתמש בדבריו של 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א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רובינשטיין ב</w:t>
      </w:r>
      <w:r>
        <w:rPr>
          <w:rFonts w:cs="Arial" w:ascii="Arial" w:hAnsi="Arial"/>
          <w:rtl w:val="true"/>
          <w:lang w:val="en-US" w:eastAsia="en-US"/>
        </w:rPr>
        <w:t>-</w:t>
      </w:r>
      <w:hyperlink r:id="rId37">
        <w:r>
          <w:rPr>
            <w:rStyle w:val="Hyperlink"/>
            <w:rFonts w:ascii="Arial" w:hAnsi="Arial" w:cs="Arial"/>
            <w:rtl w:val="true"/>
            <w:lang w:val="en-US" w:eastAsia="en-US"/>
          </w:rPr>
          <w:t>רע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3515/09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הנ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 xml:space="preserve">בעבירות אלה לא מתקיים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תנאי השלכות הרוחב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וכן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חומרתה של עבירה מעין זו נהירה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ובה פוטנציאל הפגיעה בציבור שעלול להתקיים לגביו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בהתנהגות אותם גורמים</w:t>
      </w:r>
      <w:r>
        <w:rPr>
          <w:rFonts w:cs="Arial" w:ascii="Arial" w:hAnsi="Arial"/>
          <w:b/>
          <w:bCs/>
          <w:rtl w:val="true"/>
          <w:lang w:val="en-US" w:eastAsia="en-US"/>
        </w:rPr>
        <w:t>: 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האיש האחד יחטא וכל העדה תקצוף</w:t>
      </w:r>
      <w:r>
        <w:rPr>
          <w:rFonts w:cs="Arial" w:ascii="Arial" w:hAnsi="Arial"/>
          <w:b/>
          <w:bCs/>
          <w:rtl w:val="true"/>
          <w:lang w:val="en-US" w:eastAsia="en-US"/>
        </w:rPr>
        <w:t>?"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ה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כזכור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המליץ שירות המבחן בפני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על הטלת צו של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צ על המערער ללא הרשעה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כדי שלא לפגוע בהשתלבותו של המערער בתעסוקה בעתיד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תמימי דעים אנו עם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שלא</w:t>
      </w:r>
      <w:r>
        <w:rPr>
          <w:rFonts w:ascii="Arial" w:hAnsi="Arial" w:cs="Arial"/>
          <w:rtl w:val="true"/>
          <w:lang w:val="en-US" w:eastAsia="en-US"/>
        </w:rPr>
        <w:t xml:space="preserve"> היה מקום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בנסיבות העניין שבתיק זה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להיענות להמלצתו של שירות המבחן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וכפי שכתב 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א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רובינשטיין ב</w:t>
      </w:r>
      <w:r>
        <w:rPr>
          <w:rFonts w:cs="Arial" w:ascii="Arial" w:hAnsi="Arial"/>
          <w:rtl w:val="true"/>
          <w:lang w:val="en-US" w:eastAsia="en-US"/>
        </w:rPr>
        <w:t>-</w:t>
      </w:r>
      <w:hyperlink r:id="rId38">
        <w:r>
          <w:rPr>
            <w:rStyle w:val="Hyperlink"/>
            <w:rFonts w:ascii="Arial" w:hAnsi="Arial" w:cs="Arial"/>
            <w:rtl w:val="true"/>
            <w:lang w:val="en-US" w:eastAsia="en-US"/>
          </w:rPr>
          <w:t>רע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3515/09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הנ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 xml:space="preserve">"...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מייחס אני חשיבות רבה להמלצת שירות המבחן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אך כפי שצויין לא פעם בעבר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המלצה זו היא חלק מתמונה כוללת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שיש בה רכיבים שונים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שירות המבחן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זרוע חשובה בעבודתו של בית המשפט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נדרש בראש וראשונה לפרט שלפניו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;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על בית המשפט לשרטט את התמונה במכלולה ולשקללה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;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ראו </w:t>
      </w:r>
      <w:hyperlink r:id="rId39"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b/>
            <w:bCs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b/>
            <w:bCs/>
            <w:lang w:val="en-US" w:eastAsia="en-US"/>
          </w:rPr>
          <w:t>344/81</w:t>
        </w:r>
        <w:r>
          <w:rPr>
            <w:rStyle w:val="Hyperlink"/>
            <w:rFonts w:cs="Arial" w:ascii="Arial" w:hAnsi="Arial"/>
            <w:b/>
            <w:bCs/>
            <w:rtl w:val="true"/>
            <w:lang w:val="en-US" w:eastAsia="en-US"/>
          </w:rPr>
          <w:t xml:space="preserve"> </w:t>
        </w:r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>מדינת ישראל נ</w:t>
        </w:r>
        <w:r>
          <w:rPr>
            <w:rStyle w:val="Hyperlink"/>
            <w:rFonts w:cs="Arial" w:ascii="Arial" w:hAnsi="Arial"/>
            <w:b/>
            <w:bCs/>
            <w:rtl w:val="true"/>
            <w:lang w:val="en-US" w:eastAsia="en-US"/>
          </w:rPr>
          <w:t xml:space="preserve">' </w:t>
        </w:r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>סגל</w:t>
        </w:r>
        <w:r>
          <w:rPr>
            <w:rStyle w:val="Hyperlink"/>
            <w:rFonts w:cs="Arial" w:ascii="Arial" w:hAnsi="Arial"/>
            <w:b/>
            <w:bCs/>
            <w:rtl w:val="true"/>
            <w:lang w:val="en-US" w:eastAsia="en-US"/>
          </w:rPr>
          <w:t xml:space="preserve">, </w:t>
        </w:r>
        <w:r>
          <w:rPr>
            <w:rStyle w:val="Hyperlink"/>
            <w:rFonts w:ascii="Arial" w:hAnsi="Arial" w:cs="Arial"/>
            <w:b/>
            <w:b/>
            <w:bCs/>
            <w:rtl w:val="true"/>
            <w:lang w:val="en-US" w:eastAsia="en-US"/>
          </w:rPr>
          <w:t>פד לה</w:t>
        </w:r>
      </w:hyperlink>
      <w:r>
        <w:rPr>
          <w:rFonts w:cs="Arial" w:ascii="Arial" w:hAnsi="Arial"/>
          <w:b/>
          <w:bCs/>
          <w:rtl w:val="true"/>
          <w:lang w:val="en-US" w:eastAsia="en-US"/>
        </w:rPr>
        <w:t>(</w:t>
      </w:r>
      <w:r>
        <w:rPr>
          <w:rFonts w:cs="Arial" w:ascii="Arial" w:hAnsi="Arial"/>
          <w:b/>
          <w:bCs/>
          <w:lang w:val="en-US" w:eastAsia="en-US"/>
        </w:rPr>
        <w:t>4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) </w:t>
      </w:r>
      <w:r>
        <w:rPr>
          <w:rFonts w:cs="Arial" w:ascii="Arial" w:hAnsi="Arial"/>
          <w:b/>
          <w:bCs/>
          <w:lang w:val="en-US" w:eastAsia="en-US"/>
        </w:rPr>
        <w:t>313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cs="Arial" w:ascii="Arial" w:hAnsi="Arial"/>
          <w:b/>
          <w:bCs/>
          <w:lang w:val="en-US" w:eastAsia="en-US"/>
        </w:rPr>
        <w:t>318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(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השופט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–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כתארו אז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–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שמגר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); </w:t>
      </w:r>
      <w:hyperlink r:id="rId40">
        <w:r>
          <w:rPr>
            <w:rStyle w:val="Hyperlink"/>
            <w:rFonts w:ascii="Arial" w:hAnsi="Arial" w:cs="Arial"/>
            <w:b/>
            <w:b/>
            <w:bCs/>
            <w:color w:val="0000FF"/>
            <w:u w:val="single"/>
            <w:rtl w:val="true"/>
            <w:lang w:val="en-US" w:eastAsia="en-US"/>
          </w:rPr>
          <w:t>אהרון   ברק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  <w:rtl w:val="true"/>
            <w:lang w:val="en-US" w:eastAsia="en-US"/>
          </w:rPr>
          <w:t>, "</w:t>
        </w:r>
        <w:r>
          <w:rPr>
            <w:rStyle w:val="Hyperlink"/>
            <w:rFonts w:ascii="Arial" w:hAnsi="Arial" w:cs="Arial"/>
            <w:b/>
            <w:b/>
            <w:bCs/>
            <w:color w:val="0000FF"/>
            <w:u w:val="single"/>
            <w:rtl w:val="true"/>
            <w:lang w:val="en-US" w:eastAsia="en-US"/>
          </w:rPr>
          <w:t>התסקיר וקצין המבחן למבוגרים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  <w:rtl w:val="true"/>
            <w:lang w:val="en-US" w:eastAsia="en-US"/>
          </w:rPr>
          <w:t xml:space="preserve">" </w:t>
        </w:r>
        <w:r>
          <w:rPr>
            <w:rStyle w:val="Hyperlink"/>
            <w:rFonts w:ascii="Arial" w:hAnsi="Arial" w:cs="Arial"/>
            <w:b/>
            <w:b/>
            <w:bCs/>
            <w:color w:val="0000FF"/>
            <w:u w:val="single"/>
            <w:rtl w:val="true"/>
            <w:lang w:val="en-US" w:eastAsia="en-US"/>
          </w:rPr>
          <w:t>בתוך מבחר כתבים בעריכת א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  <w:rtl w:val="true"/>
            <w:lang w:val="en-US" w:eastAsia="en-US"/>
          </w:rPr>
          <w:t xml:space="preserve">' </w:t>
        </w:r>
      </w:hyperlink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כהן וי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זמיר</w:t>
      </w:r>
      <w:r>
        <w:rPr>
          <w:rFonts w:cs="Arial" w:ascii="Arial" w:hAnsi="Arial"/>
          <w:b/>
          <w:bCs/>
          <w:rtl w:val="true"/>
          <w:lang w:val="en-US" w:eastAsia="en-US"/>
        </w:rPr>
        <w:t>, (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תש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ס</w:t>
      </w:r>
      <w:r>
        <w:rPr>
          <w:rFonts w:cs="Arial" w:ascii="Arial" w:hAnsi="Arial"/>
          <w:b/>
          <w:bCs/>
          <w:rtl w:val="true"/>
          <w:lang w:val="en-US" w:eastAsia="en-US"/>
        </w:rPr>
        <w:t>-</w:t>
      </w:r>
      <w:r>
        <w:rPr>
          <w:rFonts w:cs="Arial" w:ascii="Arial" w:hAnsi="Arial"/>
          <w:b/>
          <w:bCs/>
          <w:lang w:val="en-US" w:eastAsia="en-US"/>
        </w:rPr>
        <w:t>2000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), </w:t>
      </w:r>
      <w:r>
        <w:rPr>
          <w:rFonts w:cs="Arial" w:ascii="Arial" w:hAnsi="Arial"/>
          <w:b/>
          <w:bCs/>
          <w:lang w:val="en-US" w:eastAsia="en-US"/>
        </w:rPr>
        <w:t>653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cs="Arial" w:ascii="Arial" w:hAnsi="Arial"/>
          <w:b/>
          <w:bCs/>
          <w:lang w:val="en-US" w:eastAsia="en-US"/>
        </w:rPr>
        <w:t>656-655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גם התנאי המצטבר הנוסף הנדרש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דהיינו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שההרשעה צפויה להסב למערער נזק רב ולפגוע פגיעה חמורה בשיקומו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התקיים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ציין בגזר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דינו כי שירות המבחן כותב בתסקירו שלא הוגשו בפניו מסמכים רשמיים בעניין פגיעה אפשרית של הרשעה בדין בקבלת רישוי עבודה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כהנדסאי אדריכלות</w:t>
      </w:r>
      <w:r>
        <w:rPr>
          <w:rFonts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cs="Arial"/>
          <w:rtl w:val="true"/>
          <w:lang w:val="en-US" w:eastAsia="en-US"/>
        </w:rPr>
        <w:t>גם במהלך הדיון בפני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לא הובאו ראיות שיש בהן כדי לבסס את טענת ההגנה לפיה ההרשעה תמנע את יכולתו של המערער לעסוק במקצוע בו הוא מתעתד לעסוק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סעיף </w:t>
      </w:r>
      <w:r>
        <w:rPr>
          <w:rFonts w:cs="Arial" w:ascii="Arial" w:hAnsi="Arial"/>
          <w:lang w:val="en-US" w:eastAsia="en-US"/>
        </w:rPr>
        <w:t>17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של 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הדין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אין בידינו לקבל את טרונייתו של המערער כנגד קביעתו זו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השאלה מה ההשלכה שתהא להרשעתו של המערער בגין ביצוע העבירות נשוא הדיון על אפשרותו לעבוד ולהיות מועסק במקצועו כהנדסאי אדריכלות תוכרע בבוא העת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ידי הגורם המוסמך לכך לפי </w:t>
      </w:r>
      <w:hyperlink r:id="rId41">
        <w:r>
          <w:rPr>
            <w:rStyle w:val="Hyperlink"/>
            <w:rFonts w:ascii="Arial" w:hAnsi="Arial" w:cs="Arial"/>
            <w:rtl w:val="true"/>
            <w:lang w:val="en-US" w:eastAsia="en-US"/>
          </w:rPr>
          <w:t>חוק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המהנדסים והאדריכלים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התשי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ח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lang w:val="en-US" w:eastAsia="en-US"/>
        </w:rPr>
        <w:t>1958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ובשים לב לגופים הפועלים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פי אותו חוק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מועצת ההנדסה והאדריכלות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וועדת האתיקה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אשר יוכלו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במידת הצורך לשקול ולבחון את הנסיבות ואת השלכתן של נסיבות אלה על אפשרויותיו של המערער לעסוק במקצועו כהנדסאי אדריכלות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בדומה לכך נקבע ב</w:t>
      </w:r>
      <w:r>
        <w:rPr>
          <w:rFonts w:cs="Arial" w:ascii="Arial" w:hAnsi="Arial"/>
          <w:rtl w:val="true"/>
          <w:lang w:val="en-US" w:eastAsia="en-US"/>
        </w:rPr>
        <w:t>-</w:t>
      </w:r>
      <w:hyperlink r:id="rId42">
        <w:r>
          <w:rPr>
            <w:rStyle w:val="Hyperlink"/>
            <w:rFonts w:ascii="Arial" w:hAnsi="Arial" w:cs="Arial"/>
            <w:rtl w:val="true"/>
            <w:lang w:val="en-US" w:eastAsia="en-US"/>
          </w:rPr>
          <w:t>רע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3515/09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שנזכר כבר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שהשאלה אם יוכל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להגשים את רצונו לעסוק במקצוע המשפטים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תיבחן ותיבדק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ידי לשכת עורכי הדין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בפיסקה ח</w:t>
      </w:r>
      <w:r>
        <w:rPr>
          <w:rFonts w:cs="Arial" w:ascii="Arial" w:hAnsi="Arial"/>
          <w:rtl w:val="true"/>
          <w:lang w:val="en-US" w:eastAsia="en-US"/>
        </w:rPr>
        <w:t xml:space="preserve">').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בדומה לכך קבענו ב</w:t>
      </w:r>
      <w:hyperlink r:id="rId43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מחוזי חיפה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) </w:t>
        </w:r>
        <w:r>
          <w:rPr>
            <w:rStyle w:val="Hyperlink"/>
            <w:rFonts w:cs="Arial" w:ascii="Arial" w:hAnsi="Arial"/>
            <w:lang w:val="en-US" w:eastAsia="en-US"/>
          </w:rPr>
          <w:t>2794/07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סלאמה סלים נ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מדינת ישראל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ascii="Arial" w:hAnsi="Arial" w:cs="Arial"/>
          <w:rtl w:val="true"/>
          <w:lang w:val="en-US" w:eastAsia="en-US"/>
        </w:rPr>
        <w:t>תק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מח </w:t>
      </w:r>
      <w:r>
        <w:rPr>
          <w:rFonts w:cs="Arial" w:ascii="Arial" w:hAnsi="Arial"/>
          <w:lang w:val="en-US" w:eastAsia="en-US"/>
        </w:rPr>
        <w:t>2008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1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cs="Arial" w:ascii="Arial" w:hAnsi="Arial"/>
          <w:lang w:val="en-US" w:eastAsia="en-US"/>
        </w:rPr>
        <w:t>7908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לגבי סטודנט למשפטים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</w:t>
      </w:r>
      <w:hyperlink r:id="rId44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מחוזי חיפה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) </w:t>
        </w:r>
        <w:r>
          <w:rPr>
            <w:rStyle w:val="Hyperlink"/>
            <w:rFonts w:cs="Arial" w:ascii="Arial" w:hAnsi="Arial"/>
            <w:lang w:val="en-US" w:eastAsia="en-US"/>
          </w:rPr>
          <w:t>2729/07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bCs/>
          <w:rtl w:val="true"/>
          <w:lang w:val="en-US" w:eastAsia="en-US"/>
        </w:rPr>
        <w:t>מדינת ישראל נ</w:t>
      </w:r>
      <w:r>
        <w:rPr>
          <w:rFonts w:cs="Arial" w:ascii="Arial" w:hAnsi="Arial"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Cs/>
          <w:rtl w:val="true"/>
          <w:lang w:val="en-US" w:eastAsia="en-US"/>
        </w:rPr>
        <w:t>זחאלקה</w:t>
      </w:r>
      <w:r>
        <w:rPr>
          <w:rFonts w:cs="Arial" w:ascii="Arial" w:hAnsi="Arial"/>
          <w:b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rtl w:val="true"/>
          <w:lang w:val="en-US" w:eastAsia="en-US"/>
        </w:rPr>
        <w:t>אתר נבו</w:t>
      </w:r>
      <w:r>
        <w:rPr>
          <w:rFonts w:cs="Arial" w:ascii="Arial" w:hAnsi="Arial"/>
          <w:b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rtl w:val="true"/>
          <w:lang w:val="en-US" w:eastAsia="en-US"/>
        </w:rPr>
        <w:t xml:space="preserve">מיום </w:t>
      </w:r>
      <w:r>
        <w:rPr>
          <w:rFonts w:cs="Arial" w:ascii="Arial" w:hAnsi="Arial"/>
          <w:b/>
          <w:lang w:val="en-US" w:eastAsia="en-US"/>
        </w:rPr>
        <w:t>22.1.08</w:t>
      </w:r>
      <w:r>
        <w:rPr>
          <w:rFonts w:cs="Arial" w:ascii="Arial" w:hAnsi="Arial"/>
          <w:b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rtl w:val="true"/>
          <w:lang w:val="en-US" w:eastAsia="en-US"/>
        </w:rPr>
        <w:t xml:space="preserve">לגבי רואה חשבון </w:t>
      </w:r>
      <w:r>
        <w:rPr>
          <w:rFonts w:cs="Arial" w:ascii="Arial" w:hAnsi="Arial"/>
          <w:b/>
          <w:rtl w:val="true"/>
          <w:lang w:val="en-US" w:eastAsia="en-US"/>
        </w:rPr>
        <w:t>(</w:t>
      </w:r>
      <w:r>
        <w:rPr>
          <w:rFonts w:ascii="Arial" w:hAnsi="Arial" w:cs="Arial"/>
          <w:b/>
          <w:b/>
          <w:rtl w:val="true"/>
          <w:lang w:val="en-US" w:eastAsia="en-US"/>
        </w:rPr>
        <w:t>שם</w:t>
      </w:r>
      <w:r>
        <w:rPr>
          <w:rFonts w:cs="Arial" w:ascii="Arial" w:hAnsi="Arial"/>
          <w:b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rtl w:val="true"/>
          <w:lang w:val="en-US" w:eastAsia="en-US"/>
        </w:rPr>
        <w:t>בפיסקה כ</w:t>
      </w:r>
      <w:r>
        <w:rPr>
          <w:rFonts w:cs="Arial" w:ascii="Arial" w:hAnsi="Arial"/>
          <w:b/>
          <w:rtl w:val="true"/>
          <w:lang w:val="en-US" w:eastAsia="en-US"/>
        </w:rPr>
        <w:t xml:space="preserve">').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b/>
          <w:lang w:val="en-US" w:eastAsia="en-US"/>
        </w:rPr>
      </w:pPr>
      <w:r>
        <w:rPr>
          <w:rFonts w:cs="Arial" w:ascii="Arial" w:hAnsi="Arial"/>
          <w:b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b/>
          <w:rtl w:val="true"/>
          <w:lang w:val="en-US" w:eastAsia="en-US"/>
        </w:rPr>
        <w:t>מעל לכל נוסיף ונפנה לדבריה של כב</w:t>
      </w:r>
      <w:r>
        <w:rPr>
          <w:rFonts w:cs="Arial" w:ascii="Arial" w:hAnsi="Arial"/>
          <w:b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rtl w:val="true"/>
          <w:lang w:val="en-US" w:eastAsia="en-US"/>
        </w:rPr>
        <w:t>השופטת א</w:t>
      </w:r>
      <w:r>
        <w:rPr>
          <w:rFonts w:cs="Arial" w:ascii="Arial" w:hAnsi="Arial"/>
          <w:b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rtl w:val="true"/>
          <w:lang w:val="en-US" w:eastAsia="en-US"/>
        </w:rPr>
        <w:t>פרוקצ</w:t>
      </w:r>
      <w:r>
        <w:rPr>
          <w:rFonts w:cs="Arial" w:ascii="Arial" w:hAnsi="Arial"/>
          <w:b/>
          <w:rtl w:val="true"/>
          <w:lang w:val="en-US" w:eastAsia="en-US"/>
        </w:rPr>
        <w:t>'</w:t>
      </w:r>
      <w:r>
        <w:rPr>
          <w:rFonts w:ascii="Arial" w:hAnsi="Arial" w:cs="Arial"/>
          <w:b/>
          <w:b/>
          <w:rtl w:val="true"/>
          <w:lang w:val="en-US" w:eastAsia="en-US"/>
        </w:rPr>
        <w:t>יה ב</w:t>
      </w:r>
      <w:r>
        <w:rPr>
          <w:rFonts w:cs="Arial" w:ascii="Arial" w:hAnsi="Arial"/>
          <w:b/>
          <w:rtl w:val="true"/>
          <w:lang w:val="en-US" w:eastAsia="en-US"/>
        </w:rPr>
        <w:t>-</w:t>
      </w:r>
      <w:hyperlink r:id="rId45">
        <w:r>
          <w:rPr>
            <w:rStyle w:val="Hyperlink"/>
            <w:rFonts w:ascii="Arial" w:hAnsi="Arial" w:cs="Arial"/>
            <w:b/>
            <w:b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b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b/>
            <w:b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b/>
            <w:lang w:val="en-US" w:eastAsia="en-US"/>
          </w:rPr>
          <w:t>9893/06</w:t>
        </w:r>
      </w:hyperlink>
      <w:r>
        <w:rPr>
          <w:rFonts w:cs="Arial" w:ascii="Arial" w:hAnsi="Arial"/>
          <w:b/>
          <w:rtl w:val="true"/>
          <w:lang w:val="en-US" w:eastAsia="en-US"/>
        </w:rPr>
        <w:t xml:space="preserve"> </w:t>
      </w:r>
      <w:r>
        <w:rPr>
          <w:rFonts w:ascii="Arial" w:hAnsi="Arial" w:cs="Arial"/>
          <w:bCs/>
          <w:rtl w:val="true"/>
          <w:lang w:val="en-US" w:eastAsia="en-US"/>
        </w:rPr>
        <w:t>אסנת אלון לאופר נ</w:t>
      </w:r>
      <w:r>
        <w:rPr>
          <w:rFonts w:cs="Arial" w:ascii="Arial" w:hAnsi="Arial"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Cs/>
          <w:rtl w:val="true"/>
          <w:lang w:val="en-US" w:eastAsia="en-US"/>
        </w:rPr>
        <w:t>מדינת ישראל</w:t>
      </w:r>
      <w:r>
        <w:rPr>
          <w:rFonts w:cs="Arial" w:ascii="Arial" w:hAnsi="Arial"/>
          <w:b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rtl w:val="true"/>
          <w:lang w:val="en-US" w:eastAsia="en-US"/>
        </w:rPr>
        <w:t>אתר נבו</w:t>
      </w:r>
      <w:r>
        <w:rPr>
          <w:rFonts w:cs="Arial" w:ascii="Arial" w:hAnsi="Arial"/>
          <w:b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rtl w:val="true"/>
          <w:lang w:val="en-US" w:eastAsia="en-US"/>
        </w:rPr>
        <w:t xml:space="preserve">מיום </w:t>
      </w:r>
      <w:r>
        <w:rPr>
          <w:rFonts w:cs="Arial" w:ascii="Arial" w:hAnsi="Arial"/>
          <w:b/>
          <w:lang w:val="en-US" w:eastAsia="en-US"/>
        </w:rPr>
        <w:t>31.12.07</w:t>
      </w:r>
      <w:r>
        <w:rPr>
          <w:rFonts w:cs="Arial" w:ascii="Arial" w:hAnsi="Arial"/>
          <w:b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b/>
          <w:lang w:val="en-US" w:eastAsia="en-US"/>
        </w:rPr>
      </w:pPr>
      <w:r>
        <w:rPr>
          <w:rFonts w:cs="Arial" w:ascii="Arial" w:hAnsi="Arial"/>
          <w:b/>
          <w:rtl w:val="true"/>
          <w:lang w:val="en-US" w:eastAsia="en-US"/>
        </w:rPr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b/>
          <w:lang w:val="en-US" w:eastAsia="en-US"/>
        </w:rPr>
      </w:pPr>
      <w:r>
        <w:rPr>
          <w:rFonts w:cs="Arial" w:ascii="Arial" w:hAnsi="Arial"/>
          <w:bCs/>
          <w:rtl w:val="true"/>
          <w:lang w:val="en-US" w:eastAsia="en-US"/>
        </w:rPr>
        <w:t>"</w:t>
      </w:r>
      <w:r>
        <w:rPr>
          <w:rFonts w:ascii="Arial" w:hAnsi="Arial" w:cs="Arial"/>
          <w:bCs/>
          <w:rtl w:val="true"/>
          <w:lang w:val="en-US" w:eastAsia="en-US"/>
        </w:rPr>
        <w:t>אין להוציא מכלל אפשרות כי הגורם המעסיק</w:t>
      </w:r>
      <w:r>
        <w:rPr>
          <w:rFonts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Cs/>
          <w:rtl w:val="true"/>
          <w:lang w:val="en-US" w:eastAsia="en-US"/>
        </w:rPr>
        <w:t>בשוקלו את שיקוליו לעניין ההעסקה</w:t>
      </w:r>
      <w:r>
        <w:rPr>
          <w:rFonts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Cs/>
          <w:rtl w:val="true"/>
          <w:lang w:val="en-US" w:eastAsia="en-US"/>
        </w:rPr>
        <w:t>היה שוקל לגופם את אופי המעשים שבוצעו בידי המערערת</w:t>
      </w:r>
      <w:r>
        <w:rPr>
          <w:rFonts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Cs/>
          <w:rtl w:val="true"/>
          <w:lang w:val="en-US" w:eastAsia="en-US"/>
        </w:rPr>
        <w:t>אף במנותק משאלת ההרשעה</w:t>
      </w:r>
      <w:r>
        <w:rPr>
          <w:rFonts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Cs/>
          <w:rtl w:val="true"/>
          <w:lang w:val="en-US" w:eastAsia="en-US"/>
        </w:rPr>
        <w:t>ואפשר שעצם האירועים עצמם היו עומדים ביסוד שיקול הדעת המופעל</w:t>
      </w:r>
      <w:r>
        <w:rPr>
          <w:rFonts w:cs="Arial" w:ascii="Arial" w:hAnsi="Arial"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Cs/>
          <w:rtl w:val="true"/>
          <w:lang w:val="en-US" w:eastAsia="en-US"/>
        </w:rPr>
        <w:t>ואם אמנם כך הדבר</w:t>
      </w:r>
      <w:r>
        <w:rPr>
          <w:rFonts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Cs/>
          <w:rtl w:val="true"/>
          <w:lang w:val="en-US" w:eastAsia="en-US"/>
        </w:rPr>
        <w:t>אפשר כי לצורך הקשר זה</w:t>
      </w:r>
      <w:r>
        <w:rPr>
          <w:rFonts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Cs/>
          <w:rtl w:val="true"/>
          <w:lang w:val="en-US" w:eastAsia="en-US"/>
        </w:rPr>
        <w:t>שאלת אי</w:t>
      </w:r>
      <w:r>
        <w:rPr>
          <w:rFonts w:cs="Arial" w:ascii="Arial" w:hAnsi="Arial"/>
          <w:bCs/>
          <w:rtl w:val="true"/>
          <w:lang w:val="en-US" w:eastAsia="en-US"/>
        </w:rPr>
        <w:t>-</w:t>
      </w:r>
      <w:r>
        <w:rPr>
          <w:rFonts w:ascii="Arial" w:hAnsi="Arial" w:cs="Arial"/>
          <w:bCs/>
          <w:rtl w:val="true"/>
          <w:lang w:val="en-US" w:eastAsia="en-US"/>
        </w:rPr>
        <w:t>ההרשעה היתה מאבדת במידת מה מחשיבותה</w:t>
      </w:r>
      <w:r>
        <w:rPr>
          <w:rFonts w:cs="Arial" w:ascii="Arial" w:hAnsi="Arial"/>
          <w:bCs/>
          <w:rtl w:val="true"/>
          <w:lang w:val="en-US" w:eastAsia="en-US"/>
        </w:rPr>
        <w:t>"</w:t>
      </w:r>
      <w:r>
        <w:rPr>
          <w:rFonts w:cs="Arial" w:ascii="Arial" w:hAnsi="Arial"/>
          <w:b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lang w:val="en-US" w:eastAsia="en-US"/>
        </w:rPr>
      </w:pPr>
      <w:r>
        <w:rPr>
          <w:rFonts w:cs="Arial" w:ascii="Arial" w:hAnsi="Arial"/>
          <w:b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ט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בטרם סיום נוסיף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שלאחר שגם עיינו בפסיקה שהסניגור המלומד הניח לפתחנו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בניסיון לבסס את טענתו לפיה יש מקום להטיל על המערער צו של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צ להימנע מלהרשיעו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הרי מעבר לכך שיש לדון בכל מקרה ומקרה לפי נסיבותיו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ראוי להדגיש שהנאשמים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בכל ההחלטות שהגיש הסניגור לעיוננו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היו צעירים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חלקם אף היו במועד ביצוע העבירות זמן קצר לאחר שהגיעו לגיל 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בעוד שהמערער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יליד </w:t>
      </w:r>
      <w:r>
        <w:rPr>
          <w:rFonts w:cs="Arial" w:ascii="Arial" w:hAnsi="Arial"/>
          <w:lang w:val="en-US" w:eastAsia="en-US"/>
        </w:rPr>
        <w:t>1975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 xml:space="preserve">היה במועד הרלוונטי לכתב האישום כבן </w:t>
      </w:r>
      <w:r>
        <w:rPr>
          <w:rFonts w:cs="Arial" w:ascii="Arial" w:hAnsi="Arial"/>
          <w:lang w:val="en-US" w:eastAsia="en-US"/>
        </w:rPr>
        <w:t>34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כשתסקיר שירות המבחן אף מעיד על לימודיו בבית הספר להנדסאים בטכניון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עבודתו כעוזר מתרגל בבית הספר להנדסאים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וההערכה שזכה בה בעבודתו כמאבטח אינטליגנטי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חברותי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בעל פוטנציאל גבוה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אמין ואחראי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דווקא משום כך ניתן היה לצפות שהמערער יהא מודע היטב לעבירות החמורות אותן ביצע ובגינן הורשע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לעומת 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מעיון בפסיקה שהוגשה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ידי הסניגור עולה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הנאשם בת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פ </w:t>
      </w:r>
      <w:r>
        <w:rPr>
          <w:rFonts w:cs="Arial" w:ascii="Arial" w:hAnsi="Arial"/>
          <w:lang w:val="en-US" w:eastAsia="en-US"/>
        </w:rPr>
        <w:t>3312/07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שלום תל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אביב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 xml:space="preserve">היה במועד ביצוע העבירה כבן </w:t>
      </w:r>
      <w:r>
        <w:rPr>
          <w:rFonts w:cs="Arial" w:ascii="Arial" w:hAnsi="Arial"/>
          <w:lang w:val="en-US" w:eastAsia="en-US"/>
        </w:rPr>
        <w:t>21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לגבי הנאשם ב</w:t>
      </w:r>
      <w:hyperlink r:id="rId46">
        <w:r>
          <w:rPr>
            <w:rStyle w:val="Hyperlink"/>
            <w:rFonts w:ascii="Arial" w:hAnsi="Arial" w:cs="Arial"/>
            <w:rtl w:val="true"/>
            <w:lang w:val="en-US" w:eastAsia="en-US"/>
          </w:rPr>
          <w:t>ת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שלום ירושלים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 xml:space="preserve">) </w:t>
        </w:r>
        <w:r>
          <w:rPr>
            <w:rStyle w:val="Hyperlink"/>
            <w:rFonts w:cs="Arial" w:ascii="Arial" w:hAnsi="Arial"/>
            <w:lang w:val="en-US" w:eastAsia="en-US"/>
          </w:rPr>
          <w:t>7350/08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צויינו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רצונו הילדותי לרצות את סביבתו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וגילו הצעיר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בת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פ </w:t>
      </w:r>
      <w:r>
        <w:rPr>
          <w:rFonts w:cs="Arial" w:ascii="Arial" w:hAnsi="Arial"/>
          <w:lang w:val="en-US" w:eastAsia="en-US"/>
        </w:rPr>
        <w:t>2852/08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שלום פתח תקוה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 xml:space="preserve">הנאשם היה במועד ביצוע העבירה כבן </w:t>
      </w:r>
      <w:r>
        <w:rPr>
          <w:rFonts w:cs="Arial" w:ascii="Arial" w:hAnsi="Arial"/>
          <w:lang w:val="en-US" w:eastAsia="en-US"/>
        </w:rPr>
        <w:t>19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בת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פ </w:t>
      </w:r>
      <w:r>
        <w:rPr>
          <w:rFonts w:cs="Arial" w:ascii="Arial" w:hAnsi="Arial"/>
          <w:lang w:val="en-US" w:eastAsia="en-US"/>
        </w:rPr>
        <w:t>3250/07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שלום ירושלים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 xml:space="preserve">היה הנאשם במועד ביצוע העבירה כבן 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בת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פ </w:t>
      </w:r>
      <w:r>
        <w:rPr>
          <w:rFonts w:cs="Arial" w:ascii="Arial" w:hAnsi="Arial"/>
          <w:lang w:val="en-US" w:eastAsia="en-US"/>
        </w:rPr>
        <w:t>4570/07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שלום ירושלים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צויין שהנאשם ביצע חלק מן העבירות בהיותו קטין וחלק מהן זמן קצר לאחר מכן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ובת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פ </w:t>
      </w:r>
      <w:r>
        <w:rPr>
          <w:rFonts w:cs="Arial" w:ascii="Arial" w:hAnsi="Arial"/>
          <w:lang w:val="en-US" w:eastAsia="en-US"/>
        </w:rPr>
        <w:t>1175/07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שלום חדרה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 xml:space="preserve">צויין שבמועד ביצוע העבירות היה הנאשם כבן 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וכמה ימים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אין ללמוד גזירה שווה מן האמור בהחלטות אלה למקרה שבפנינו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בסיכום הדברים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לא שוכנענו שנפל פגם כלשהוא בהחלטתו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לפיה אין מקום לבטל את הרשעתו של 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נוסיף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שבגזר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דינו פירט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את השיקולים לחומרא ואת השיקולים לקולא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שוכנענו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הענישה שהוטלה על המערער מתונה ביותר ומביאה בחשבון את העובדה שאין הרשעות קודמות לחובת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את נסיבותיו האישיות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את העובדה שהוא מנהל אורח חיים נורמטיבי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ובדיקות השתן שנתן בשירות המבחן ובמשרדי הממונה על עבודות שירות נמצאו ללא שרידי סם מסוכן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נראה שהמערער מפנים את איסורי החוק ומוכן לשתף פעולה בהליך טיפולי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גזר הדין מידתי ומתחשב כראוי בכל הנסיבות הרלוונטיות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התוצאה מכל האמור לעיל היא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שאנו דוחים את הערעור על כל חלקיו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המערער יתייצב בתאריך </w:t>
      </w:r>
      <w:r>
        <w:rPr>
          <w:rFonts w:cs="Arial" w:ascii="Arial" w:hAnsi="Arial"/>
          <w:b/>
          <w:bCs/>
          <w:u w:val="single"/>
          <w:lang w:val="en-US" w:eastAsia="en-US"/>
        </w:rPr>
        <w:t>30.1.2011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 xml:space="preserve">שעה </w:t>
      </w:r>
      <w:r>
        <w:rPr>
          <w:rFonts w:cs="Arial" w:ascii="Arial" w:hAnsi="Arial"/>
          <w:b/>
          <w:bCs/>
          <w:u w:val="single"/>
          <w:lang w:val="en-US" w:eastAsia="en-US"/>
        </w:rPr>
        <w:t>08:00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במפקדת מחוז צפון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יחידת עבודות שירות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כפר מגאר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מתחם כלא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חרמון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לשם קליטה והצבה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לתחילת ביצוע עבודות השירות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b/>
          <w:b/>
          <w:bCs/>
          <w:rtl w:val="true"/>
          <w:lang w:val="en-US" w:eastAsia="en-US"/>
        </w:rPr>
        <w:t>ניתן היום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כג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בטבת תשע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 </w:t>
      </w:r>
      <w:r>
        <w:rPr>
          <w:rFonts w:cs="Arial" w:ascii="Arial" w:hAnsi="Arial"/>
          <w:b/>
          <w:bCs/>
          <w:lang w:val="en-US" w:eastAsia="en-US"/>
        </w:rPr>
        <w:t>30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בדצמבר </w:t>
      </w:r>
      <w:r>
        <w:rPr>
          <w:rFonts w:cs="Arial" w:ascii="Arial" w:hAnsi="Arial"/>
          <w:b/>
          <w:bCs/>
          <w:lang w:val="en-US" w:eastAsia="en-US"/>
        </w:rPr>
        <w:t>2010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במעמד הצדדים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המזכירות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 תמציא את העתק פסק</w:t>
      </w:r>
      <w:r>
        <w:rPr>
          <w:rFonts w:cs="Arial" w:ascii="Arial" w:hAnsi="Arial"/>
          <w:b/>
          <w:bCs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הדין לממונה על עבודות שירות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8"/>
        <w:gridCol w:w="239"/>
        <w:gridCol w:w="2513"/>
        <w:gridCol w:w="239"/>
        <w:gridCol w:w="2573"/>
      </w:tblGrid>
      <w:tr>
        <w:trPr/>
        <w:tc>
          <w:tcPr>
            <w:tcW w:w="2958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ברלינר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ס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513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י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גריל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נשיא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573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א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אליקים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spacing w:lineRule="auto" w:line="360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spacing w:lineRule="auto" w:line="360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  <w:rtl w:val="true"/>
        </w:rPr>
      </w:r>
    </w:p>
    <w:p>
      <w:pPr>
        <w:pStyle w:val="Normal"/>
        <w:spacing w:lineRule="auto" w:line="360"/>
        <w:ind w:end="0"/>
        <w:jc w:val="center"/>
        <w:rPr>
          <w:color w:val="0000FF"/>
          <w:u w:val="single"/>
        </w:rPr>
      </w:pPr>
      <w:hyperlink r:id="rId47">
        <w:r>
          <w:rPr>
            <w:rStyle w:val="Hyperlink"/>
            <w:rtl w:val="true"/>
          </w:rPr>
          <w:t>בעניין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עריכה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ושינויים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במסמכי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פסיקה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חקיקה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ועוד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באתר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נבו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הקש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כאן</w:t>
        </w:r>
      </w:hyperlink>
    </w:p>
    <w:p>
      <w:pPr>
        <w:pStyle w:val="Normal"/>
        <w:keepNext w:val="true"/>
        <w:spacing w:lineRule="auto" w:line="360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spacing w:lineRule="auto" w:line="360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>ש</w:t>
      </w:r>
      <w:r>
        <w:rPr>
          <w:rFonts w:cs="David" w:ascii="David" w:hAnsi="David"/>
          <w:color w:val="000000"/>
          <w:sz w:val="22"/>
          <w:szCs w:val="22"/>
          <w:rtl w:val="true"/>
        </w:rPr>
        <w:t xml:space="preserve">. </w:t>
      </w: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ברלינר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spacing w:lineRule="auto" w:line="360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48"/>
      <w:footerReference w:type="default" r:id="rId49"/>
      <w:type w:val="nextPage"/>
      <w:pgSz w:w="11906" w:h="16838"/>
      <w:pgMar w:left="1701" w:right="1701" w:gutter="0" w:header="720" w:top="1701" w:footer="1055" w:bottom="1111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15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41827-08-10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דוד פרידמן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CaseID" w:val="68937088"/>
    <w:docVar w:name="CasePresentationDS" w:val="&lt;?xml version=&quot;1.0&quot;?&gt;&#10;&lt;CasePresentationDS&gt;&#10;  &lt;xs:schema id=&quot;CasePresentationDS&quot; targetNamespace=&quot;http://tempuri.org/CasePresentationDS.xsd&quot; xmlns:mstns=&quot;http://tempuri.org/CasePresentationDS.xsd&quot; xmlns=&quot;http://tempuri.org/CasePresentationDS.xsd&quot; xmlns:xs=&quot;http://www.w3.org/2001/XMLSchema&quot; xmlns:msdata=&quot;urn:schemas-microsoft-com:xml-msdata&quot; attributeFormDefault=&quot;qualified&quot; elementFormDefault=&quot;qualified&quot;&gt;&#10;    &lt;xs:element name=&quot;CasePresentationDS&quot; msdata:IsDataSet=&quot;true&quot; msdata:Locale=&quot;he-IL&quot;&gt;&#10;      &lt;xs:complexType&gt;&#10;        &lt;xs:choice maxOccurs=&quot;unbounded&quot;&gt;&#10;          &lt;xs:element name=&quot;CasePresentationDataSet&quot;&gt;&#10;            &lt;xs:complexType&gt;&#10;              &lt;xs:sequence&gt;&#10;                &lt;xs:element name=&quot;CaseID&quot; type=&quot;xs:int&quot; /&gt;&#10;                &lt;xs:element name=&quot;CaseMonth&quot; type=&quot;xs:int&quot; /&gt;&#10;                &lt;xs:element name=&quot;CaseYear&quot; type=&quot;xs:int&quot; /&gt;&#10;                &lt;xs:element name=&quot;CaseNumber&quot; type=&quot;xs:int&quot; /&gt;&#10;                &lt;xs:element name=&quot;NumeratorGroupID&quot; type=&quot;xs:int&quot; /&gt;&#10;                &lt;xs:element name=&quot;CaseName&quot; type=&quot;xs:string&quot; /&gt;&#10;                &lt;xs:element name=&quot;CourtID&quot; type=&quot;xs:int&quot; /&gt;&#10;                &lt;xs:element name=&quot;CaseTypeID&quot; type=&quot;xs:int&quot; /&gt;&#10;                &lt;xs:element name=&quot;CaseInterestID&quot; type=&quot;xs:int&quot; minOccurs=&quot;0&quot; /&gt;&#10;                &lt;xs:element name=&quot;CaseJudgeName&quot; type=&quot;xs:string&quot; minOccurs=&quot;0&quot; /&gt;&#10;                &lt;xs:element name=&quot;CaseLinkTypeID&quot; type=&quot;xs:int&quot; minOccurs=&quot;0&quot; /&gt;&#10;                &lt;xs:element name=&quot;ProcedureID&quot; type=&quot;xs:int&quot; minOccurs=&quot;0&quot; /&gt;&#10;                &lt;xs:element name=&quot;PreviousCaseYear&quot; type=&quot;xs:string&quot; minOccurs=&quot;0&quot; /&gt;&#10;                &lt;xs:element name=&quot;PreviousCaseNumber&quot; type=&quot;xs:int&quot; minOccurs=&quot;0&quot; /&gt;&#10;                &lt;xs:element name=&quot;CaseStatusID&quot; type=&quot;xs:int&quot; /&gt;&#10;                &lt;xs:element name=&quot;ProceedingID&quot; type=&quot;xs:int&quot; /&gt;&#10;                &lt;xs:element name=&quot;IsCaseLinked&quot; type=&quot;xs:boolean&quot; /&gt;&#10;                &lt;xs:element name=&quot;IsCaseConverted&quot; type=&quot;xs:boolean&quot; minOccurs=&quot;0&quot; /&gt;&#10;                &lt;xs:element name=&quot;PrivilegeID&quot; type=&quot;xs:int&quot; /&gt;&#10;                &lt;xs:element name=&quot;IsAppealingCaseExist&quot; type=&quot;xs:boolean&quot; minOccurs=&quot;0&quot; /&gt;&#10;                &lt;xs:element name=&quot;CaseDisplayIdentifier&quot; type=&quot;xs:string&quot; minOccurs=&quot;0&quot; /&gt;&#10;                &lt;xs:element name=&quot;CaseTypeDesc&quot; type=&quot;xs:string&quot; minOccurs=&quot;0&quot; /&gt;&#10;                &lt;xs:element name=&quot;CourtDesc&quot; type=&quot;xs:string&quot; minOccurs=&quot;0&quot; /&gt;&#10;                &lt;xs:element name=&quot;CaseStageDesc&quot; type=&quot;xs:string&quot; /&gt;&#10;                &lt;xs:element name=&quot;IsPendingExemptionDecision&quot; type=&quot;xs:boolean&quot; minOccurs=&quot;0&quot; /&gt;&#10;                &lt;xs:element name=&quot;IsPendingEntitlementDecision&quot; type=&quot;xs:boolean&quot; minOccurs=&quot;0&quot; /&gt;&#10;                &lt;xs:element name=&quot;IsPendingDifferentCaseVerdict&quot; type=&quot;xs:boolean&quot; minOccurs=&quot;0&quot; /&gt;&#10;                &lt;xs:element name=&quot;IsUnpaidFeeExist&quot; type=&quot;xs:boolean&quot; minOccurs=&quot;0&quot; /&gt;&#10;                &lt;xs:element name=&quot;IsExecutionDelayed&quot; type=&quot;xs:boolean&quot; minOccurs=&quot;0&quot; /&gt;&#10;                &lt;xs:element name=&quot;CaseEntitiesArrestResult&quot; type=&quot;xs:string&quot; minOccurs=&quot;0&quot; /&gt;&#10;                &lt;xs:element name=&quot;CasePreviousSessionDate&quot; type=&quot;xs:dateTime&quot; minOccurs=&quot;0&quot; /&gt;&#10;                &lt;xs:element name=&quot;CaseNextSessionDate&quot; type=&quot;xs:dateTime&quot; minOccurs=&quot;0&quot; /&gt;&#10;                &lt;xs:element name=&quot;PreviousCaseNumberDesc&quot; type=&quot;xs:string&quot; minOccurs=&quot;0&quot; /&gt;&#10;                &lt;xs:element name=&quot;SubCaseNumber&quot; type=&quot;xs:int&quot; minOccurs=&quot;0&quot; /&gt;&#10;                &lt;xs:element name=&quot;CaseNextDeterminingTask&quot; type=&quot;xs:int&quot; minOccurs=&quot;0&quot; /&gt;&#10;                &lt;xs:element name=&quot;TemporaryAidStatus&quot; type=&quot;xs:string&quot; minOccurs=&quot;0&quot; /&gt;&#10;                &lt;xs:element name=&quot;CaseOpenDate&quot; type=&quot;xs:dateTime&quot; /&gt;&#10;                &lt;xs:element name=&quot;PleaTypeID&quot; type=&quot;xs:int&quot; minOccurs=&quot;0&quot; /&gt;&#10;                &lt;xs:element name=&quot;CourtLevelID&quot; type=&quot;xs:int&quot; minOccurs=&quot;0&quot; /&gt;&#10;                &lt;xs:element name=&quot;CourtLevelCaseTypeInterestID&quot; type=&quot;xs:int&quot; minOccurs=&quot;0&quot; /&gt;&#10;                &lt;xs:element name=&quot;CaseJudgeFirstName&quot; type=&quot;xs:string&quot; minOccurs=&quot;0&quot; /&gt;&#10;                &lt;xs:element name=&quot;CaseJudgeLastName&quot; type=&quot;xs:string&quot; minOccurs=&quot;0&quot; /&gt;&#10;                &lt;xs:element name=&quot;JudicalPersonID&quot; type=&quot;xs:string&quot; minOccurs=&quot;0&quot; /&gt;&#10;                &lt;xs:element name=&quot;IsJudicalPanel&quot; type=&quot;xs:boolean&quot; minOccurs=&quot;0&quot; /&gt;&#10;                &lt;xs:element name=&quot;CourtDisplayName&quot; type=&quot;xs:string&quot; minOccurs=&quot;0&quot; /&gt;&#10;                &lt;xs:element name=&quot;IsAllStartDataCollected&quot; type=&quot;xs:boolean&quot; minOccurs=&quot;0&quot; /&gt;&#10;                &lt;xs:element name=&quot;IsMainCase&quot; type=&quot;xs:boolean&quot; minOccurs=&quot;0&quot; /&gt;&#10;                &lt;xs:element name=&quot;PreviousCourtID&quot; type=&quot;xs:int&quot; minOccurs=&quot;0&quot; /&gt;&#10;                &lt;xs:element name=&quot;PreviousCaseTypeID&quot; type=&quot;xs:int&quot; minOccurs=&quot;0&quot; /&gt;&#10;                &lt;xs:element name=&quot;CaseDesc&quot; type=&quot;xs:string&quot; minOccurs=&quot;0&quot; /&gt;&#10;                &lt;xs:element name=&quot;isExistMinorSide&quot; type=&quot;xs:boolean&quot; minOccurs=&quot;0&quot; /&gt;&#10;                &lt;xs:element name=&quot;isExistMinorWitness&quot; type=&quot;xs:boolean&quot; minOccurs=&quot;0&quot; /&gt;&#10;                &lt;xs:element name=&quot;CaseNextSessionTypeID&quot; type=&quot;xs:int&quot; minOccurs=&quot;0&quot; /&gt;&#10;                &lt;xs:element name=&quot;CasePreviousSessionTypeID&quot; type=&quot;xs:int&quot; minOccurs=&quot;0&quot; /&gt;&#10;                &lt;xs:element name=&quot;CasePermitStatus&quot; type=&quot;xs:int&quot; minOccurs=&quot;0&quot; /&gt;&#10;                &lt;xs:element name=&quot;InstitutionalPathID&quot; type=&quot;xs:int&quot; minOccurs=&quot;0&quot; /&gt;&#10;                &lt;xs:element name=&quot;PreviousCaseIdentifier&quot; type=&quot;xs:string&quot; minOccurs=&quot;0&quot; /&gt;&#10;                &lt;xs:element name=&quot;ArchivingActivityID&quot; type=&quot;xs:int&quot; minOccurs=&quot;0&quot; /&gt;&#10;                &lt;xs:element name=&quot;GettingReasonID&quot; type=&quot;xs:int&quot; minOccurs=&quot;0&quot; /&gt;&#10;                &lt;xs:element name=&quot;StorageDate&quot; type=&quot;xs:dateTime&quot; minOccurs=&quot;0&quot; /&gt;&#10;                &lt;xs:element name=&quot;IsDecisionTypeZaveElyon&quot; type=&quot;xs:boolean&quot; minOccurs=&quot;0&quot; /&gt;&#10;                &lt;xs:element name=&quot;IsGuaranteeDeposit&quot; type=&quot;xs:boolean&quot; minOccurs=&quot;0&quot; /&gt;&#10;                &lt;xs:element name=&quot;IsFeePaid&quot; type=&quot;xs:boolean&quot; minOccurs=&quot;0&quot; /&gt;&#10;                &lt;xs:element name=&quot;IsExistCancelledArrest&quot; type=&quot;xs:boolean&quot; minOccurs=&quot;0&quot; /&gt;&#10;                &lt;xs:element name=&quot;IsExistPrisoner&quot; type=&quot;xs:boolean&quot; minOccurs=&quot;0&quot; /&gt;&#10;                &lt;xs:element name=&quot;IsExistDetainee&quot; type=&quot;xs:boolean&quot; minOccurs=&quot;0&quot; /&gt;&#10;                &lt;xs:element name=&quot;IsDebitExist&quot; type=&quot;xs:boolean&quot; minOccurs=&quot;0&quot; /&gt;&#10;                &lt;xs:element name=&quot;DebitExsitDate&quot; type=&quot;xs:dateTime&quot; minOccurs=&quot;0&quot; /&gt;&#10;                &lt;xs:element name=&quot;OpenFeeIndication&quot; type=&quot;xs:int&quot; minOccurs=&quot;0&quot; /&gt;&#10;                &lt;xs:element name=&quot;GuaranteeIndication&quot; type=&quot;xs:int&quot; minOccurs=&quot;0&quot; /&gt;&#10;                &lt;xs:element name=&quot;DelayedPunishmentDate&quot; type=&quot;xs:dateTime&quot; minOccurs=&quot;0&quot; /&gt;&#10;              &lt;/xs:sequence&gt;&#10;            &lt;/xs:complexType&gt;&#10;          &lt;/xs:element&gt;&#10;        &lt;/xs:choice&gt;&#10;      &lt;/xs:complexType&gt;&#10;    &lt;/xs:element&gt;&#10;  &lt;/xs:schema&gt;&#10;  &lt;diffgr:diffgram xmlns:msdata=&quot;urn:schemas-microsoft-com:xml-msdata&quot; xmlns:diffgr=&quot;urn:schemas-microsoft-com:xml-diffgram-v1&quot;&gt;&#10;    &lt;CasePresentationDS xmlns=&quot;http://tempuri.org/CasePresentationDS.xsd&quot;&gt;&#10;      &lt;CasePresentationDataSet diffgr:id=&quot;CasePresentationDataSet1&quot; msdata:rowOrder=&quot;0&quot; diffgr:hasChanges=&quot;modified&quot;&gt;&#10;        &lt;CaseID&gt;68937088&lt;/CaseID&gt;&#10;        &lt;CaseMonth&gt;8&lt;/CaseMonth&gt;&#10;        &lt;CaseYear&gt;2010&lt;/CaseYear&gt;&#10;        &lt;CaseNumber&gt;41827&lt;/CaseNumber&gt;&#10;        &lt;NumeratorGroupID&gt;1&lt;/NumeratorGroupID&gt;&#10;        &lt;CaseName&gt;פרידמן נ' מדינת ישראל&lt;/CaseName&gt;&#10;        &lt;CourtID&gt;13&lt;/CourtID&gt;&#10;        &lt;CaseTypeID&gt;10013&lt;/CaseTypeID&gt;&#10;        &lt;CaseJudgeName&gt;שמואל ברלינר&lt;/CaseJudgeName&gt;&#10;        &lt;CaseLinkTypeID&gt;7&lt;/CaseLinkTypeID&gt;&#10;        &lt;ProcedureID&gt;2&lt;/ProcedureID&gt;&#10;        &lt;CaseStatusID&gt;1&lt;/CaseStatusID&gt;&#10;        &lt;ProceedingID&gt;17&lt;/ProceedingID&gt;&#10;        &lt;IsCaseLinked&gt;true&lt;/IsCaseLinked&gt;&#10;        &lt;PrivilegeID&gt;1&lt;/PrivilegeID&gt;&#10;        &lt;IsAppealingCaseExist&gt;false&lt;/IsAppealingCaseExist&gt;&#10;        &lt;CaseDisplayIdentifier&gt;41827-08-10&lt;/CaseDisplayIdentifier&gt;&#10;        &lt;CaseTypeDesc&gt;ע&quot;פ&lt;/CaseTypeDesc&gt;&#10;        &lt;CourtDesc&gt;המחוזי חיפה&lt;/CourtDesc&gt;&#10;        &lt;CaseStageDesc&gt;תיק אלקטרוני&lt;/CaseStageDesc&gt;&#10;        &lt;CaseNextDeterminingTask&gt;151&lt;/CaseNextDeterminingTask&gt;&#10;        &lt;CaseOpenDate&gt;2010-08-24T08:58:00.0000000+02:00&lt;/CaseOpenDate&gt;&#10;        &lt;PleaTypeID&gt;6&lt;/PleaTypeID&gt;&#10;        &lt;CourtLevelID&gt;2&lt;/CourtLevelID&gt;&#10;        &lt;CaseJudgeFirstName&gt;שמואל&lt;/CaseJudgeFirstName&gt;&#10;        &lt;CaseJudgeLastName&gt;ברלינר &lt;/CaseJudgeLastName&gt;&#10;        &lt;JudicalPersonID&gt;001680792@GOV.IL&lt;/JudicalPersonID&gt;&#10;        &lt;IsJudicalPanel&gt;true&lt;/IsJudicalPanel&gt;&#10;        &lt;CourtDisplayName&gt;בית המשפט המחוזי בחיפה בשבתו כבית-משפט לערעורים פליליים&lt;/CourtDisplayName&gt;&#10;        &lt;IsAllStartDataCollected&gt;true&lt;/IsAllStartDataCollected&gt;&#10;        &lt;IsMainCase&gt;true&lt;/IsMainCase&gt;&#10;        &lt;CaseDesc&gt;תיק דלמטה הגיע &lt;/CaseDesc&gt;&#10;        &lt;isExistMinorSide&gt;false&lt;/isExistMinorSide&gt;&#10;        &lt;isExistMinorWitness&gt;false&lt;/isExistMinorWitness&gt;&#10;        &lt;ArchivingActivityID&gt;1&lt;/ArchivingActivityID&gt;&#10;        &lt;IsDecisionTypeZaveElyon&gt;false&lt;/IsDecisionTypeZaveElyon&gt;&#10;        &lt;IsExistPrisoner&gt;false&lt;/IsExistPrisoner&gt;&#10;        &lt;IsExistDetainee&gt;false&lt;/IsExistDetainee&gt;&#10;        &lt;IsDebitExist&gt;false&lt;/IsDebitExist&gt;&#10;        &lt;DebitExsitDate&gt;2010-12-30T04:15:00.0000000+02:00&lt;/DebitExsitDate&gt;&#10;      &lt;/CasePresentationDataSet&gt;&#10;    &lt;/CasePresentationDS&gt;&#10;    &lt;diffgr:before&gt;&#10;      &lt;CasePresentationDataSet diffgr:id=&quot;CasePresentationDataSet1&quot; msdata:rowOrder=&quot;0&quot; xmlns=&quot;http://tempuri.org/CasePresentationDS.xsd&quot;&gt;&#10;        &lt;CaseID&gt;68937088&lt;/CaseID&gt;&#10;        &lt;CaseMonth&gt;8&lt;/CaseMonth&gt;&#10;        &lt;CaseYear&gt;2010&lt;/CaseYear&gt;&#10;        &lt;CaseNumber&gt;41827&lt;/CaseNumber&gt;&#10;        &lt;NumeratorGroupID&gt;1&lt;/NumeratorGroupID&gt;&#10;        &lt;CaseName&gt;פרידמן נ' מדינת ישראל&lt;/CaseName&gt;&#10;        &lt;CourtID&gt;13&lt;/CourtID&gt;&#10;        &lt;CaseTypeID&gt;10013&lt;/CaseTypeID&gt;&#10;        &lt;CaseJudgeName&gt;שמואל ברלינר&lt;/CaseJudgeName&gt;&#10;        &lt;CaseLinkTypeID&gt;7&lt;/CaseLinkTypeID&gt;&#10;        &lt;ProcedureID&gt;2&lt;/ProcedureID&gt;&#10;        &lt;CaseStatusID&gt;1&lt;/CaseStatusID&gt;&#10;        &lt;ProceedingID&gt;17&lt;/ProceedingID&gt;&#10;        &lt;IsCaseLinked&gt;true&lt;/IsCaseLinked&gt;&#10;        &lt;PrivilegeID&gt;1&lt;/PrivilegeID&gt;&#10;        &lt;IsAppealingCaseExist&gt;false&lt;/IsAppealingCaseExist&gt;&#10;        &lt;CaseDisplayIdentifier&gt;41827-08-10&lt;/CaseDisplayIdentifier&gt;&#10;        &lt;CaseTypeDesc&gt;ע&quot;פ&lt;/CaseTypeDesc&gt;&#10;        &lt;CourtDesc&gt;המחוזי חיפה&lt;/CourtDesc&gt;&#10;        &lt;CaseStageDesc&gt;תיק אלקטרוני&lt;/CaseStageDesc&gt;&#10;        &lt;CaseNextDeterminingTask&gt;151&lt;/CaseNextDeterminingTask&gt;&#10;        &lt;CaseOpenDate&gt;2010-08-24T08:58:00.0000000+02:00&lt;/CaseOpenDate&gt;&#10;        &lt;PleaTypeID&gt;6&lt;/PleaTypeID&gt;&#10;        &lt;CourtLevelID&gt;2&lt;/CourtLevelID&gt;&#10;        &lt;CaseJudgeFirstName&gt;שמואל&lt;/CaseJudgeFirstName&gt;&#10;        &lt;CaseJudgeLastName&gt;ברלינר &lt;/CaseJudgeLastName&gt;&#10;        &lt;JudicalPersonID&gt;001680792@GOV.IL&lt;/JudicalPersonID&gt;&#10;        &lt;IsJudicalPanel&gt;true&lt;/IsJudicalPanel&gt;&#10;        &lt;CourtDisplayName&gt;בית המשפט המחוזי בחיפה בשבתו כבית-משפט לערעורים פליליים&lt;/CourtDisplayName&gt;&#10;        &lt;IsAllStartDataCollected&gt;true&lt;/IsAllStartDataCollected&gt;&#10;        &lt;IsMainCase&gt;true&lt;/IsMainCase&gt;&#10;        &lt;CaseDesc&gt;תיק דלמטה הגיע &lt;/CaseDesc&gt;&#10;        &lt;ArchivingActivityID&gt;1&lt;/ArchivingActivityID&gt;&#10;      &lt;/CasePresentationDataSet&gt;&#10;    &lt;/diffgr:before&gt;&#10;  &lt;/diffgr:diffgram&gt;&#10;&lt;/CasePresentationDS&gt;"/>
    <w:docVar w:name="CourtID" w:val="13"/>
    <w:docVar w:name="DecisionDS" w:val="&lt;?xml version=&quot;1.0&quot;?&gt;&#10;&lt;DecisionDS&gt;&#10;  &lt;xs:schema id=&quot;DecisionDS&quot; targetNamespace=&quot;http://www.tempuri.org/DecisionDS.xsd&quot; xmlns:mstns=&quot;http://www.tempuri.org/DecisionDS.xsd&quot; xmlns=&quot;http://www.tempuri.org/DecisionDS.xsd&quot; xmlns:xs=&quot;http://www.w3.org/2001/XMLSchema&quot; xmlns:msdata=&quot;urn:schemas-microsoft-com:xml-msdata&quot; attributeFormDefault=&quot;qualified&quot; elementFormDefault=&quot;qualified&quot;&gt;&#10;    &lt;xs:element name=&quot;DecisionDS&quot; msdata:IsDataSet=&quot;true&quot; msdata:Locale=&quot;he-IL&quot;&gt;&#10;      &lt;xs:complexType&gt;&#10;        &lt;xs:choice maxOccurs=&quot;unbounded&quot;&gt;&#10;          &lt;xs:element name=&quot;dt_Decision&quot;&gt;&#10;            &lt;xs:complexType&gt;&#10;              &lt;xs:sequence&gt;&#10;                &lt;xs:element name=&quot;DecisionID&quot; msdata:ReadOnly=&quot;true&quot; msdata:AutoIncrement=&quot;true&quot; type=&quot;xs:int&quot; /&gt;&#10;                &lt;xs:element name=&quot;DecisionNumber&quot; type=&quot;xs:int&quot; minOccurs=&quot;0&quot; /&gt;&#10;                &lt;xs:element name=&quot;DecisionName&quot; type=&quot;xs:string&quot; /&gt;&#10;                &lt;xs:element name=&quot;DecisionStatusID&quot; type=&quot;xs:int&quot; /&gt;&#10;                &lt;xs:element name=&quot;DecisionStatusChangeDate&quot; type=&quot;xs:dateTime&quot; /&gt;&#10;                &lt;xs:element name=&quot;DecisionSignatureDate&quot; type=&quot;xs:dateTime&quot; minOccurs=&quot;0&quot; /&gt;&#10;                &lt;xs:element name=&quot;DecisionSignatureUserID&quot; type=&quot;xs:string&quot; minOccurs=&quot;0&quot; /&gt;&#10;                &lt;xs:element name=&quot;DecisionCreateDate&quot; type=&quot;xs:dateTime&quot; /&gt;&#10;                &lt;xs:element name=&quot;DecisionChangeDate&quot; type=&quot;xs:dateTime&quot; minOccurs=&quot;0&quot; /&gt;&#10;                &lt;xs:element name=&quot;DecisionChangeUserID&quot; type=&quot;xs:string&quot; minOccurs=&quot;0&quot; /&gt;&#10;                &lt;xs:element name=&quot;DecisionDesc&quot; type=&quot;xs:string&quot; minOccurs=&quot;0&quot; /&gt;&#10;                &lt;xs:element name=&quot;IsChosenDecision&quot; type=&quot;xs:boolean&quot; default=&quot;false&quot; /&gt;&#10;                &lt;xs:element name=&quot;IsDecisionImplementationTask&quot; type=&quot;xs:boolean&quot; default=&quot;false&quot; minOccurs=&quot;0&quot; /&gt;&#10;                &lt;xs:element name=&quot;IsDecisionInProtocol&quot; type=&quot;xs:boolean&quot; default=&quot;false&quot; /&gt;&#10;                &lt;xs:element name=&quot;DecisionTypeID&quot; type=&quot;xs:int&quot; /&gt;&#10;                &lt;xs:element name=&quot;DecisionText&quot; type=&quot;xs:string&quot; minOccurs=&quot;0&quot; /&gt;&#10;                &lt;xs:element name=&quot;IsOnlyOneParty&quot; type=&quot;xs:boolean&quot; default=&quot;false&quot; /&gt;&#10;                &lt;xs:element name=&quot;IsCanceledDecision&quot; type=&quot;xs:boolean&quot; default=&quot;false&quot; /&gt;&#10;                &lt;xs:element name=&quot;DecisionLinkID&quot; type=&quot;xs:int&quot; minOccurs=&quot;0&quot; /&gt;&#10;                &lt;xs:element name=&quot;DecisionLinkTypeID&quot; type=&quot;xs:int&quot; minOccurs=&quot;0&quot; /&gt;&#10;                &lt;xs:element name=&quot;DocumentID&quot; type=&quot;xs:int&quot; minOccurs=&quot;0&quot; /&gt;&#10;                &lt;xs:element name=&quot;PrivilegeID&quot; type=&quot;xs:int&quot; /&gt;&#10;                &lt;xs:element name=&quot;IsDecisionConverted&quot; type=&quot;xs:boolean&quot; default=&quot;false&quot; /&gt;&#10;                &lt;xs:element name=&quot;SignatureUserTypeID&quot; type=&quot;xs:int&quot; minOccurs=&quot;0&quot; /&gt;&#10;                &lt;xs:element name=&quot;IsOpenedToSecondSide&quot; type=&quot;xs:boolean&quot; default=&quot;false&quot; /&gt;&#10;                &lt;xs:element name=&quot;IsDecisionAppeled&quot; type=&quot;xs:boolean&quot; default=&quot;false&quot; /&gt;&#10;                &lt;xs:element name=&quot;DecisionWriterID&quot; type=&quot;xs:string&quot; minOccurs=&quot;0&quot; /&gt;&#10;                &lt;xs:element name=&quot;IsInstruction&quot; type=&quot;xs:boolean&quot; default=&quot;false&quot; /&gt;&#10;                &lt;xs:element name=&quot;PreviousCaseID&quot; type=&quot;xs:string&quot; minOccurs=&quot;0&quot; /&gt;&#10;                &lt;xs:element name=&quot;IsNeedAllSignatures&quot; type=&quot;xs:boolean&quot; default=&quot;false&quot; minOccurs=&quot;0&quot; /&gt;&#10;                &lt;xs:element name=&quot;DecisionAttributeID&quot; type=&quot;xs:int&quot; minOccurs=&quot;0&quot; /&gt;&#10;                &lt;xs:element name=&quot;DecisionCreationUserID&quot; type=&quot;xs:string&quot; /&gt;&#10;                &lt;xs:element name=&quot;DecisionLinkName&quot; type=&quot;xs:string&quot; minOccurs=&quot;0&quot; /&gt;&#10;                &lt;xs:element name=&quot;DecisionLinkCaseID&quot; type=&quot;xs:int&quot; minOccurs=&quot;0&quot; /&gt;&#10;                &lt;xs:element name=&quot;DecisionDisplayName&quot; type=&quot;xs:string&quot; minOccurs=&quot;0&quot; /&gt;&#10;                &lt;xs:element name=&quot;IsScanned&quot; type=&quot;xs:boolean&quot; minOccurs=&quot;0&quot; /&gt;&#10;                &lt;xs:element name=&quot;DecisionSignatureUserName&quot; type=&quot;xs:string&quot; minOccurs=&quot;0&quot; /&gt;&#10;                &lt;xs:element name=&quot;ChangePrivilegeUserID&quot; type=&quot;xs:string&quot; minOccurs=&quot;0&quot; /&gt;&#10;                &lt;xs:element name=&quot;PublishInWebUserID&quot; type=&quot;xs:string&quot; minOccurs=&quot;0&quot; /&gt;&#10;                &lt;xs:element name=&quot;NotificationTypeID&quot; type=&quot;xs:int&quot; default=&quot;1&quot; minOccurs=&quot;0&quot; /&gt;&#10;                &lt;xs:element name=&quot;NotificationAuthorizeUserID&quot; type=&quot;xs:string&quot; minOccurs=&quot;0&quot; /&gt;&#10;                &lt;xs:element name=&quot;DecisionReleaseDate&quot; type=&quot;xs:dateTime&quot; minOccurs=&quot;0&quot; /&gt;&#10;                &lt;xs:element name=&quot;IsDecisionInNote&quot; type=&quot;xs:boolean&quot; default=&quot;false&quot; /&gt;&#10;                &lt;xs:element name=&quot;IsOriginal&quot; type=&quot;xs:boolean&quot; minOccurs=&quot;0&quot; /&gt;&#10;              &lt;/xs:sequence&gt;&#10;            &lt;/xs:complexType&gt;&#10;          &lt;/xs:element&gt;&#10;          &lt;xs:element name=&quot;dt_DecisionCase&quot;&gt;&#10;            &lt;xs:complexType&gt;&#10;              &lt;xs:sequence&gt;&#10;                &lt;xs:element name=&quot;DecisionID&quot; type=&quot;xs:int&quot; /&gt;&#10;                &lt;xs:element name=&quot;CaseID&quot; type=&quot;xs:int&quot; /&gt;&#10;                &lt;xs:element name=&quot;IsOriginal&quot; type=&quot;xs:boolean&quot; default=&quot;false&quot; minOccurs=&quot;0&quot; /&gt;&#10;                &lt;xs:element name=&quot;IsDeleted&quot; type=&quot;xs:boolean&quot; default=&quot;false&quot; /&gt;&#10;                &lt;xs:element name=&quot;CaseLinkTypeID&quot; type=&quot;xs:int&quot; minOccurs=&quot;0&quot; /&gt;&#10;                &lt;xs:element name=&quot;CaseName&quot; type=&quot;xs:string&quot; minOccurs=&quot;0&quot; /&gt;&#10;                &lt;xs:element name=&quot;CaseDisplayIdentifier&quot; type=&quot;xs:string&quot; minOccurs=&quot;0&quot; /&gt;&#10;              &lt;/xs:sequence&gt;&#10;            &lt;/xs:complexType&gt;&#10;          &lt;/xs:element&gt;&#10;          &lt;xs:element name=&quot;dt_DecisionMotion&quot;&gt;&#10;            &lt;xs:complexType&gt;&#10;              &lt;xs:sequence&gt;&#10;                &lt;xs:element name=&quot;DecisionID&quot; type=&quot;xs:int&quot; /&gt;&#10;                &lt;xs:element name=&quot;MotionID&quot; type=&quot;xs:int&quot; /&gt;&#10;                &lt;xs:element name=&quot;DecisionResultID&quot; type=&quot;xs:int&quot; minOccurs=&quot;0&quot; /&gt;&#10;                &lt;xs:element name=&quot;IsOriginalMotion&quot; type=&quot;xs:boolean&quot; default=&quot;false&quot; minOccurs=&quot;0&quot; /&gt;&#10;                &lt;xs:element name=&quot;MotionName&quot; type=&quot;xs:string&quot; minOccurs=&quot;0&quot; /&gt;&#10;                &lt;xs:element name=&quot;MotionOpenDate&quot; type=&quot;xs:dateTime&quot; minOccurs=&quot;0&quot; /&gt;&#10;                &lt;xs:element name=&quot;CaseID&quot; type=&quot;xs:int&quot; minOccurs=&quot;0&quot; /&gt;&#10;                &lt;xs:element name=&quot;CaseDisplayIdentifier&quot; type=&quot;xs:string&quot; minOccurs=&quot;0&quot; /&gt;&#10;                &lt;xs:element name=&quot;ProcessNumber&quot; type=&quot;xs:int&quot; minOccurs=&quot;0&quot; /&gt;&#10;              &lt;/xs:sequence&gt;&#10;            &lt;/xs:complexType&gt;&#10;          &lt;/xs:element&gt;&#10;          &lt;xs:element name=&quot;dt_DecisionProtocol&quot;&gt;&#10;            &lt;xs:complexType&gt;&#10;              &lt;xs:sequence&gt;&#10;                &lt;xs:element name=&quot;DecisionID&quot; type=&quot;xs:int&quot; /&gt;&#10;                &lt;xs:element name=&quot;ProtocolID&quot; type=&quot;xs:int&quot; /&gt;&#10;                &lt;xs:element name=&quot;ProtocolEventID&quot; type=&quot;xs:int&quot; /&gt;&#10;              &lt;/xs:sequence&gt;&#10;            &lt;/xs:complexType&gt;&#10;          &lt;/xs:element&gt;&#10;          &lt;xs:element name=&quot;dt_DecisionJudgePanel&quot;&gt;&#10;            &lt;xs:complexType&gt;&#10;              &lt;xs:sequence&gt;&#10;                &lt;xs:element name=&quot;DecisionID&quot; type=&quot;xs:int&quot; /&gt;&#10;                &lt;xs:element name=&quot;JudgeID&quot; type=&quot;xs:string&quot; /&gt;&#10;                &lt;xs:element name=&quot;DocumentSendDate&quot; type=&quot;xs:dateTime&quot; minOccurs=&quot;0&quot; /&gt;&#10;                &lt;xs:element name=&quot;FinalDate&quot; type=&quot;xs:dateTime&quot; minOccurs=&quot;0&quot; /&gt;&#10;                &lt;xs:element name=&quot;SignatureDate&quot; type=&quot;xs:dateTime&quot; minOccurs=&quot;0&quot; /&gt;&#10;                &lt;xs:element name=&quot;DocumentID&quot; type=&quot;xs:int&quot; minOccurs=&quot;0&quot; /&gt;&#10;                &lt;xs:element name=&quot;DecisionOpinionDate&quot; type=&quot;xs:dateTime&quot; minOccurs=&quot;0&quot; /&gt;&#10;                &lt;xs:element name=&quot;WriterViewedDraftDate&quot; type=&quot;xs:dateTime&quot; minOccurs=&quot;0&quot; /&gt;&#10;                &lt;xs:element name=&quot;IsNeedAllSignatures&quot; type=&quot;xs:boolean&quot; minOccurs=&quot;0&quot; /&gt;&#10;                &lt;xs:element name=&quot;DocumentIDNotes&quot; type=&quot;xs:int&quot; minOccurs=&quot;0&quot; /&gt;&#10;                &lt;xs:element name=&quot;OrdinalNumber&quot; type=&quot;xs:int&quot; minOccurs=&quot;0&quot; /&gt;&#10;              &lt;/xs:sequence&gt;&#10;            &lt;/xs:complexType&gt;&#10;          &lt;/xs:element&gt;&#10;        &lt;/xs:choice&gt;&#10;      &lt;/xs:complexType&gt;&#10;      &lt;xs:unique name=&quot;DecisionDSKey1&quot; msdata:PrimaryKey=&quot;true&quot;&gt;&#10;        &lt;xs:selector xpath=&quot;.//mstns:dt_Decision&quot; /&gt;&#10;        &lt;xs:field xpath=&quot;mstns:DecisionID&quot; /&gt;&#10;      &lt;/xs:unique&gt;&#10;      &lt;xs:unique name=&quot;DecisionDSKey2&quot; msdata:PrimaryKey=&quot;true&quot;&gt;&#10;        &lt;xs:selector xpath=&quot;.//mstns:dt_DecisionCase&quot; /&gt;&#10;        &lt;xs:field xpath=&quot;mstns:DecisionID&quot; /&gt;&#10;        &lt;xs:field xpath=&quot;mstns:CaseID&quot; /&gt;&#10;      &lt;/xs:unique&gt;&#10;      &lt;xs:unique name=&quot;DecisionDSKey3&quot; msdata:PrimaryKey=&quot;true&quot;&gt;&#10;        &lt;xs:selector xpath=&quot;.//mstns:dt_DecisionMotion&quot; /&gt;&#10;        &lt;xs:field xpath=&quot;mstns:DecisionID&quot; /&gt;&#10;        &lt;xs:field xpath=&quot;mstns:MotionID&quot; /&gt;&#10;      &lt;/xs:unique&gt;&#10;      &lt;xs:unique name=&quot;DecisionDSKey4&quot; msdata:PrimaryKey=&quot;true&quot;&gt;&#10;        &lt;xs:selector xpath=&quot;.//mstns:dt_DecisionProtocol&quot; /&gt;&#10;        &lt;xs:field xpath=&quot;mstns:DecisionID&quot; /&gt;&#10;        &lt;xs:field xpath=&quot;mstns:ProtocolID&quot; /&gt;&#10;        &lt;xs:field xpath=&quot;mstns:ProtocolEventID&quot; /&gt;&#10;      &lt;/xs:unique&gt;&#10;      &lt;xs:unique name=&quot;DecisionDSKey10&quot; msdata:PrimaryKey=&quot;true&quot;&gt;&#10;        &lt;xs:selector xpath=&quot;.//mstns:dt_DecisionJudgePanel&quot; /&gt;&#10;        &lt;xs:field xpath=&quot;mstns:DecisionID&quot; /&gt;&#10;        &lt;xs:field xpath=&quot;mstns:JudgeID&quot; /&gt;&#10;      &lt;/xs:unique&gt;&#10;      &lt;xs:keyref name=&quot;dt_Decisiondt_DecisionJudgePanel&quot; refer=&quot;DecisionDSKey1&quot;&gt;&#10;        &lt;xs:selector xpath=&quot;.//mstns:dt_DecisionJudgePanel&quot; /&gt;&#10;        &lt;xs:field xpath=&quot;mstns:DecisionID&quot; /&gt;&#10;      &lt;/xs:keyref&gt;&#10;      &lt;xs:keyref name=&quot;dt_Decisiondt_DecisionProtocol&quot; refer=&quot;DecisionDSKey1&quot;&gt;&#10;        &lt;xs:selector xpath=&quot;.//mstns:dt_DecisionProtocol&quot; /&gt;&#10;        &lt;xs:field xpath=&quot;mstns:DecisionID&quot; /&gt;&#10;      &lt;/xs:keyref&gt;&#10;      &lt;xs:keyref name=&quot;dt_Decisiondt_DecisionMotion&quot; refer=&quot;DecisionDSKey1&quot;&gt;&#10;        &lt;xs:selector xpath=&quot;.//mstns:dt_DecisionMotion&quot; /&gt;&#10;        &lt;xs:field xpath=&quot;mstns:DecisionID&quot; /&gt;&#10;      &lt;/xs:keyref&gt;&#10;      &lt;xs:keyref name=&quot;dt_Decisiondt_DecisionCase&quot; refer=&quot;DecisionDSKey1&quot;&gt;&#10;        &lt;xs:selector xpath=&quot;.//mstns:dt_DecisionCase&quot; /&gt;&#10;        &lt;xs:field xpath=&quot;mstns:DecisionID&quot; /&gt;&#10;      &lt;/xs:keyref&gt;&#10;    &lt;/xs:element&gt;&#10;  &lt;/xs:schema&gt;&#10;  &lt;diffgr:diffgram xmlns:msdata=&quot;urn:schemas-microsoft-com:xml-msdata&quot; xmlns:diffgr=&quot;urn:schemas-microsoft-com:xml-diffgram-v1&quot;&gt;&#10;    &lt;DecisionDS xmlns=&quot;http://www.tempuri.org/DecisionDS.xsd&quot;&gt;&#10;      &lt;dt_Decision diffgr:id=&quot;dt_Decision1&quot; msdata:rowOrder=&quot;0&quot;&gt;&#10;        &lt;DecisionID&gt;74107953&lt;/DecisionID&gt;&#10;        &lt;DecisionName&gt;פסק דין  מתאריך  10/12/10  שניתנה ע&quot;י  יגאל גריל&lt;/DecisionName&gt;&#10;        &lt;DecisionStatusID&gt;1&lt;/DecisionStatusID&gt;&#10;        &lt;DecisionStatusChangeDate&gt;2010-12-19T09:16:15.5400000+02:00&lt;/DecisionStatusChangeDate&gt;&#10;        &lt;DecisionSignatureDate&gt;2010-12-10T09:32:05.4130000+02:00&lt;/DecisionSignatureDate&gt;&#10;        &lt;DecisionSignatureUserID&gt;001694504@GOV.IL&lt;/DecisionSignatureUserID&gt;&#10;        &lt;DecisionCreateDate&gt;2010-12-10T09:37:10.9300000+02:00&lt;/DecisionCreateDate&gt;&#10;        &lt;DecisionChangeDate&gt;2010-12-19T09:16:16.0730000+02:00&lt;/DecisionChangeDate&gt;&#10;        &lt;DecisionChangeUserID&gt;001694504@GOV.IL&lt;/DecisionChangeUserID&gt;&#10;        &lt;IsChosenDecision&gt;false&lt;/IsChosenDecision&gt;&#10;        &lt;IsDecisionImplementationTask&gt;true&lt;/IsDecisionImplementationTask&gt;&#10;        &lt;IsDecisionInProtocol&gt;false&lt;/IsDecisionInProtocol&gt;&#10;        &lt;DecisionTypeID&gt;2&lt;/DecisionTypeID&gt;&#10;        &lt;IsOnlyOneParty&gt;false&lt;/IsOnlyOneParty&gt;&#10;        &lt;IsCanceledDecision&gt;false&lt;/IsCanceledDecision&gt;&#10;        &lt;DocumentID&gt;106543869&lt;/DocumentID&gt;&#10;        &lt;PrivilegeID&gt;1&lt;/PrivilegeID&gt;&#10;        &lt;IsDecisionConverted&gt;false&lt;/IsDecisionConverted&gt;&#10;        &lt;IsOpenedToSecondSide&gt;false&lt;/IsOpenedToSecondSide&gt;&#10;        &lt;IsDecisionAppeled&gt;false&lt;/IsDecisionAppeled&gt;&#10;        &lt;DecisionWriterID&gt;001694504@GOV.IL&lt;/DecisionWriterID&gt;&#10;        &lt;IsInstruction&gt;false&lt;/IsInstruction&gt;&#10;        &lt;IsNeedAllSignatures&gt;false&lt;/IsNeedAllSignatures&gt;&#10;        &lt;DecisionAttributeID&gt;1&lt;/DecisionAttributeID&gt;&#10;        &lt;DecisionCreationUserID&gt;001694504@GOV.IL&lt;/DecisionCreationUserID&gt;&#10;        &lt;DecisionDisplayName&gt;פסק דין  מתאריך  10/12/10  שניתנה ע&quot;י  יגאל גריל&lt;/DecisionDisplayName&gt;&#10;        &lt;IsScanned&gt;false&lt;/IsScanned&gt;&#10;        &lt;DecisionSignatureUserName&gt;יגאל גריל&lt;/DecisionSignatureUserName&gt;&#10;        &lt;NotificationTypeID&gt;1&lt;/NotificationTypeID&gt;&#10;        &lt;IsDecisionInNote&gt;false&lt;/IsDecisionInNote&gt;&#10;      &lt;/dt_Decision&gt;&#10;      &lt;dt_DecisionCase diffgr:id=&quot;dt_DecisionCase1&quot; msdata:rowOrder=&quot;0&quot;&gt;&#10;        &lt;DecisionID&gt;74107953&lt;/DecisionID&gt;&#10;        &lt;CaseID&gt;68937088&lt;/CaseID&gt;&#10;        &lt;IsOriginal&gt;true&lt;/IsOriginal&gt;&#10;        &lt;IsDeleted&gt;false&lt;/IsDeleted&gt;&#10;        &lt;CaseName&gt;פרידמן נ' מדינת ישראל&lt;/CaseName&gt;&#10;        &lt;CaseDisplayIdentifier&gt;41827-08-10 ע&quot;פ&lt;/CaseDisplayIdentifier&gt;&#10;      &lt;/dt_DecisionCase&gt;&#10;      &lt;dt_DecisionJudgePanel diffgr:id=&quot;dt_DecisionJudgePanel1&quot; msdata:rowOrder=&quot;0&quot;&gt;&#10;        &lt;DecisionID&gt;74107953&lt;/DecisionID&gt;&#10;        &lt;JudgeID&gt;001680792@GOV.IL&lt;/JudgeID&gt;&#10;        &lt;OrdinalNumber&gt;1&lt;/OrdinalNumber&gt;&#10;      &lt;/dt_DecisionJudgePanel&gt;&#10;      &lt;dt_DecisionJudgePanel diffgr:id=&quot;dt_DecisionJudgePanel2&quot; msdata:rowOrder=&quot;1&quot;&gt;&#10;        &lt;DecisionID&gt;74107953&lt;/DecisionID&gt;&#10;        &lt;JudgeID&gt;001694504@GOV.IL&lt;/JudgeID&gt;&#10;        &lt;OrdinalNumber&gt;2&lt;/OrdinalNumber&gt;&#10;      &lt;/dt_DecisionJudgePanel&gt;&#10;      &lt;dt_DecisionJudgePanel diffgr:id=&quot;dt_DecisionJudgePanel3&quot; msdata:rowOrder=&quot;2&quot;&gt;&#10;        &lt;DecisionID&gt;74107953&lt;/DecisionID&gt;&#10;        &lt;JudgeID&gt;054674635@GOV.IL&lt;/JudgeID&gt;&#10;        &lt;OrdinalNumber&gt;3&lt;/OrdinalNumber&gt;&#10;      &lt;/dt_DecisionJudgePanel&gt;&#10;    &lt;/DecisionDS&gt;&#10;  &lt;/diffgr:diffgram&gt;&#10;&lt;/DecisionDS&gt;"/>
    <w:docVar w:name="DecisionID" w:val="74107953"/>
    <w:docVar w:name="docID" w:val="106543869"/>
    <w:docVar w:name="judgeUPN" w:val="001694504@GOV.IL"/>
    <w:docVar w:name="MyInfo" w:val="This document was extracted from Nevo's site"/>
    <w:docVar w:name="NGCS.caseInterestID" w:val="-1"/>
    <w:docVar w:name="NGCS.caseTypeID" w:val="10013"/>
    <w:docVar w:name="NGCS.courtID" w:val="13"/>
    <w:docVar w:name="NGCS.isReservedAddressPlace" w:val="0"/>
    <w:docVar w:name="NGCS.isReservedVoucherPlace" w:val="0"/>
    <w:docVar w:name="NGCS.proceedingID" w:val="17"/>
    <w:docVar w:name="NGCS.TemplateCaseInterestID" w:val="-1"/>
    <w:docVar w:name="NGCS.TemplateCaseTypeID" w:val="10013"/>
    <w:docVar w:name="NGCS.TemplateCategoryID" w:val="80"/>
    <w:docVar w:name="NGCS.TemplateCourtID" w:val="13"/>
    <w:docVar w:name="NGCS.TemplateProceedingID" w:val="17"/>
    <w:docVar w:name="NGCS.userUPN" w:val="001694504@GOV.IL"/>
    <w:docVar w:name="noteDocID" w:val="106543869"/>
    <w:docVar w:name="WordClientAssemblyName" w:val="NGCS.Decision.ClientWordBL"/>
    <w:docVar w:name="WordClientClassName" w:val="NGCS.Decision.ClientWordBL.JudgePanelSignDecisionClient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  <w:shadow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13">
    <w:name w:val="סעיפים"/>
    <w:basedOn w:val="Normal"/>
    <w:qFormat/>
    <w:pPr>
      <w:spacing w:lineRule="auto" w:line="360"/>
      <w:jc w:val="both"/>
    </w:pPr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safrut/book/23280" TargetMode="External"/><Relationship Id="rId3" Type="http://schemas.openxmlformats.org/officeDocument/2006/relationships/hyperlink" Target="http://www.nevo.co.il/safrut/book/23280" TargetMode="External"/><Relationship Id="rId4" Type="http://schemas.openxmlformats.org/officeDocument/2006/relationships/hyperlink" Target="http://www.nevo.co.il/law/4216" TargetMode="External"/><Relationship Id="rId5" Type="http://schemas.openxmlformats.org/officeDocument/2006/relationships/hyperlink" Target="http://www.nevo.co.il/law/4216/6" TargetMode="External"/><Relationship Id="rId6" Type="http://schemas.openxmlformats.org/officeDocument/2006/relationships/hyperlink" Target="http://www.nevo.co.il/law/4216/7.a" TargetMode="External"/><Relationship Id="rId7" Type="http://schemas.openxmlformats.org/officeDocument/2006/relationships/hyperlink" Target="http://www.nevo.co.il/law/4216/10" TargetMode="External"/><Relationship Id="rId8" Type="http://schemas.openxmlformats.org/officeDocument/2006/relationships/hyperlink" Target="http://www.nevo.co.il/law/4216/10.2" TargetMode="External"/><Relationship Id="rId9" Type="http://schemas.openxmlformats.org/officeDocument/2006/relationships/hyperlink" Target="http://www.nevo.co.il/law/71553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law/72296" TargetMode="External"/><Relationship Id="rId12" Type="http://schemas.openxmlformats.org/officeDocument/2006/relationships/hyperlink" Target="http://www.nevo.co.il/case/4213218" TargetMode="External"/><Relationship Id="rId13" Type="http://schemas.openxmlformats.org/officeDocument/2006/relationships/hyperlink" Target="http://www.nevo.co.il/law/4216/6" TargetMode="External"/><Relationship Id="rId14" Type="http://schemas.openxmlformats.org/officeDocument/2006/relationships/hyperlink" Target="http://www.nevo.co.il/law/4216" TargetMode="External"/><Relationship Id="rId15" Type="http://schemas.openxmlformats.org/officeDocument/2006/relationships/hyperlink" Target="http://www.nevo.co.il/law/4216/7.a" TargetMode="External"/><Relationship Id="rId16" Type="http://schemas.openxmlformats.org/officeDocument/2006/relationships/hyperlink" Target="http://www.nevo.co.il/law/4216" TargetMode="External"/><Relationship Id="rId17" Type="http://schemas.openxmlformats.org/officeDocument/2006/relationships/hyperlink" Target="http://www.nevo.co.il/law/4216/10.2" TargetMode="External"/><Relationship Id="rId18" Type="http://schemas.openxmlformats.org/officeDocument/2006/relationships/hyperlink" Target="http://www.nevo.co.il/law/4216" TargetMode="External"/><Relationship Id="rId19" Type="http://schemas.openxmlformats.org/officeDocument/2006/relationships/hyperlink" Target="http://www.nevo.co.il/law/4216/6" TargetMode="External"/><Relationship Id="rId20" Type="http://schemas.openxmlformats.org/officeDocument/2006/relationships/hyperlink" Target="http://www.nevo.co.il/law/4216" TargetMode="External"/><Relationship Id="rId21" Type="http://schemas.openxmlformats.org/officeDocument/2006/relationships/hyperlink" Target="http://www.nevo.co.il/law/4216/6" TargetMode="External"/><Relationship Id="rId22" Type="http://schemas.openxmlformats.org/officeDocument/2006/relationships/hyperlink" Target="http://www.nevo.co.il/law/4216" TargetMode="External"/><Relationship Id="rId23" Type="http://schemas.openxmlformats.org/officeDocument/2006/relationships/hyperlink" Target="http://www.nevo.co.il/law/4216/10" TargetMode="External"/><Relationship Id="rId24" Type="http://schemas.openxmlformats.org/officeDocument/2006/relationships/hyperlink" Target="http://www.nevo.co.il/law/4216/6" TargetMode="External"/><Relationship Id="rId25" Type="http://schemas.openxmlformats.org/officeDocument/2006/relationships/hyperlink" Target="http://www.nevo.co.il/law/4216" TargetMode="External"/><Relationship Id="rId26" Type="http://schemas.openxmlformats.org/officeDocument/2006/relationships/hyperlink" Target="http://www.nevo.co.il/case/17943750" TargetMode="External"/><Relationship Id="rId27" Type="http://schemas.openxmlformats.org/officeDocument/2006/relationships/hyperlink" Target="http://www.nevo.co.il/case/5810781" TargetMode="External"/><Relationship Id="rId28" Type="http://schemas.openxmlformats.org/officeDocument/2006/relationships/hyperlink" Target="http://www.nevo.co.il/case/17943750" TargetMode="External"/><Relationship Id="rId29" Type="http://schemas.openxmlformats.org/officeDocument/2006/relationships/hyperlink" Target="http://www.nevo.co.il/case/6240015" TargetMode="External"/><Relationship Id="rId30" Type="http://schemas.openxmlformats.org/officeDocument/2006/relationships/hyperlink" Target="http://www.nevo.co.il/law/71553" TargetMode="External"/><Relationship Id="rId31" Type="http://schemas.openxmlformats.org/officeDocument/2006/relationships/hyperlink" Target="http://www.nevo.co.il/law/70301" TargetMode="External"/><Relationship Id="rId32" Type="http://schemas.openxmlformats.org/officeDocument/2006/relationships/hyperlink" Target="http://www.nevo.co.il/case/5849797" TargetMode="External"/><Relationship Id="rId33" Type="http://schemas.openxmlformats.org/officeDocument/2006/relationships/hyperlink" Target="http://www.nevo.co.il/law/4216/6" TargetMode="External"/><Relationship Id="rId34" Type="http://schemas.openxmlformats.org/officeDocument/2006/relationships/hyperlink" Target="http://www.nevo.co.il/law/4216" TargetMode="External"/><Relationship Id="rId35" Type="http://schemas.openxmlformats.org/officeDocument/2006/relationships/hyperlink" Target="http://www.nevo.co.il/law/4216/6" TargetMode="External"/><Relationship Id="rId36" Type="http://schemas.openxmlformats.org/officeDocument/2006/relationships/hyperlink" Target="http://www.nevo.co.il/law/4216/10" TargetMode="External"/><Relationship Id="rId37" Type="http://schemas.openxmlformats.org/officeDocument/2006/relationships/hyperlink" Target="http://www.nevo.co.il/case/5899645" TargetMode="External"/><Relationship Id="rId38" Type="http://schemas.openxmlformats.org/officeDocument/2006/relationships/hyperlink" Target="http://www.nevo.co.il/case/5899645" TargetMode="External"/><Relationship Id="rId39" Type="http://schemas.openxmlformats.org/officeDocument/2006/relationships/hyperlink" Target="http://www.nevo.co.il/case/17939098" TargetMode="External"/><Relationship Id="rId40" Type="http://schemas.openxmlformats.org/officeDocument/2006/relationships/hyperlink" Target="http://www.nevo.co.il/safrut/book/8723" TargetMode="External"/><Relationship Id="rId41" Type="http://schemas.openxmlformats.org/officeDocument/2006/relationships/hyperlink" Target="http://www.nevo.co.il/law/72296" TargetMode="External"/><Relationship Id="rId42" Type="http://schemas.openxmlformats.org/officeDocument/2006/relationships/hyperlink" Target="http://www.nevo.co.il/case/5899645" TargetMode="External"/><Relationship Id="rId43" Type="http://schemas.openxmlformats.org/officeDocument/2006/relationships/hyperlink" Target="http://www.nevo.co.il/case/2543854" TargetMode="External"/><Relationship Id="rId44" Type="http://schemas.openxmlformats.org/officeDocument/2006/relationships/hyperlink" Target="http://www.nevo.co.il/case/2257750" TargetMode="External"/><Relationship Id="rId45" Type="http://schemas.openxmlformats.org/officeDocument/2006/relationships/hyperlink" Target="http://www.nevo.co.il/case/6161385" TargetMode="External"/><Relationship Id="rId46" Type="http://schemas.openxmlformats.org/officeDocument/2006/relationships/hyperlink" Target="http://www.nevo.co.il/case/2389826" TargetMode="External"/><Relationship Id="rId47" Type="http://schemas.openxmlformats.org/officeDocument/2006/relationships/hyperlink" Target="http://www.nevo.co.il/advertisements/nevo-100.doc" TargetMode="External"/><Relationship Id="rId48" Type="http://schemas.openxmlformats.org/officeDocument/2006/relationships/header" Target="header1.xml"/><Relationship Id="rId49" Type="http://schemas.openxmlformats.org/officeDocument/2006/relationships/footer" Target="footer1.xml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2017-02-09T07:46:00Z</dcterms:created>
  <dc:creator> </dc:creator>
  <dc:description/>
  <cp:keywords/>
  <dc:language>en-IL</dc:language>
  <cp:lastModifiedBy>orly</cp:lastModifiedBy>
  <cp:lastPrinted>2010-12-19T09:10:00Z</cp:lastPrinted>
  <dcterms:modified xsi:type="dcterms:W3CDTF">2017-02-09T07:46:00Z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דוד פרידמן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BOOKLISTTMP1">
    <vt:lpwstr>8723</vt:lpwstr>
  </property>
  <property fmtid="{D5CDD505-2E9C-101B-9397-08002B2CF9AE}" pid="9" name="CASESLISTTMP1">
    <vt:lpwstr>4213218;17943750:2;5810781;6240015;5849797;5899645:3;17939098;2543854;2257750;6161385;2389826</vt:lpwstr>
  </property>
  <property fmtid="{D5CDD505-2E9C-101B-9397-08002B2CF9AE}" pid="10" name="CITY">
    <vt:lpwstr>חי'</vt:lpwstr>
  </property>
  <property fmtid="{D5CDD505-2E9C-101B-9397-08002B2CF9AE}" pid="11" name="DATE">
    <vt:lpwstr>20101230</vt:lpwstr>
  </property>
  <property fmtid="{D5CDD505-2E9C-101B-9397-08002B2CF9AE}" pid="12" name="DELEMATA">
    <vt:lpwstr/>
  </property>
  <property fmtid="{D5CDD505-2E9C-101B-9397-08002B2CF9AE}" pid="13" name="ISABSTRACT">
    <vt:lpwstr>Y</vt:lpwstr>
  </property>
  <property fmtid="{D5CDD505-2E9C-101B-9397-08002B2CF9AE}" pid="14" name="JUDGE">
    <vt:lpwstr>ש. ברלינר;י. גריל;א. אליקים</vt:lpwstr>
  </property>
  <property fmtid="{D5CDD505-2E9C-101B-9397-08002B2CF9AE}" pid="15" name="LAWLISTTMP1">
    <vt:lpwstr>4216/006:6;007.a;010.2;010:2</vt:lpwstr>
  </property>
  <property fmtid="{D5CDD505-2E9C-101B-9397-08002B2CF9AE}" pid="16" name="LAWLISTTMP2">
    <vt:lpwstr>71553</vt:lpwstr>
  </property>
  <property fmtid="{D5CDD505-2E9C-101B-9397-08002B2CF9AE}" pid="17" name="LAWLISTTMP3">
    <vt:lpwstr>70301</vt:lpwstr>
  </property>
  <property fmtid="{D5CDD505-2E9C-101B-9397-08002B2CF9AE}" pid="18" name="LAWLISTTMP4">
    <vt:lpwstr>72296</vt:lpwstr>
  </property>
  <property fmtid="{D5CDD505-2E9C-101B-9397-08002B2CF9AE}" pid="19" name="LAWYER">
    <vt:lpwstr>ש. בלומנפלד</vt:lpwstr>
  </property>
  <property fmtid="{D5CDD505-2E9C-101B-9397-08002B2CF9AE}" pid="20" name="LINKK1">
    <vt:lpwstr/>
  </property>
  <property fmtid="{D5CDD505-2E9C-101B-9397-08002B2CF9AE}" pid="21" name="LINKK2">
    <vt:lpwstr/>
  </property>
  <property fmtid="{D5CDD505-2E9C-101B-9397-08002B2CF9AE}" pid="22" name="LINKK3">
    <vt:lpwstr/>
  </property>
  <property fmtid="{D5CDD505-2E9C-101B-9397-08002B2CF9AE}" pid="23" name="LINKK4">
    <vt:lpwstr/>
  </property>
  <property fmtid="{D5CDD505-2E9C-101B-9397-08002B2CF9AE}" pid="24" name="LINKK5">
    <vt:lpwstr/>
  </property>
  <property fmtid="{D5CDD505-2E9C-101B-9397-08002B2CF9AE}" pid="25" name="METAKZER">
    <vt:lpwstr>עומרי</vt:lpwstr>
  </property>
  <property fmtid="{D5CDD505-2E9C-101B-9397-08002B2CF9AE}" pid="26" name="NEWPARTA">
    <vt:lpwstr>41827</vt:lpwstr>
  </property>
  <property fmtid="{D5CDD505-2E9C-101B-9397-08002B2CF9AE}" pid="27" name="NEWPARTB">
    <vt:lpwstr>08</vt:lpwstr>
  </property>
  <property fmtid="{D5CDD505-2E9C-101B-9397-08002B2CF9AE}" pid="28" name="NEWPARTC">
    <vt:lpwstr>10</vt:lpwstr>
  </property>
  <property fmtid="{D5CDD505-2E9C-101B-9397-08002B2CF9AE}" pid="29" name="NEWPROC">
    <vt:lpwstr>עפ</vt:lpwstr>
  </property>
  <property fmtid="{D5CDD505-2E9C-101B-9397-08002B2CF9AE}" pid="30" name="NOSE11">
    <vt:lpwstr>עונשין</vt:lpwstr>
  </property>
  <property fmtid="{D5CDD505-2E9C-101B-9397-08002B2CF9AE}" pid="31" name="NOSE110">
    <vt:lpwstr/>
  </property>
  <property fmtid="{D5CDD505-2E9C-101B-9397-08002B2CF9AE}" pid="32" name="NOSE12">
    <vt:lpwstr/>
  </property>
  <property fmtid="{D5CDD505-2E9C-101B-9397-08002B2CF9AE}" pid="33" name="NOSE13">
    <vt:lpwstr/>
  </property>
  <property fmtid="{D5CDD505-2E9C-101B-9397-08002B2CF9AE}" pid="34" name="NOSE14">
    <vt:lpwstr/>
  </property>
  <property fmtid="{D5CDD505-2E9C-101B-9397-08002B2CF9AE}" pid="35" name="NOSE15">
    <vt:lpwstr/>
  </property>
  <property fmtid="{D5CDD505-2E9C-101B-9397-08002B2CF9AE}" pid="36" name="NOSE16">
    <vt:lpwstr/>
  </property>
  <property fmtid="{D5CDD505-2E9C-101B-9397-08002B2CF9AE}" pid="37" name="NOSE17">
    <vt:lpwstr/>
  </property>
  <property fmtid="{D5CDD505-2E9C-101B-9397-08002B2CF9AE}" pid="38" name="NOSE18">
    <vt:lpwstr/>
  </property>
  <property fmtid="{D5CDD505-2E9C-101B-9397-08002B2CF9AE}" pid="39" name="NOSE19">
    <vt:lpwstr/>
  </property>
  <property fmtid="{D5CDD505-2E9C-101B-9397-08002B2CF9AE}" pid="40" name="NOSE1ID">
    <vt:lpwstr>77</vt:lpwstr>
  </property>
  <property fmtid="{D5CDD505-2E9C-101B-9397-08002B2CF9AE}" pid="41" name="NOSE21">
    <vt:lpwstr>ענישה</vt:lpwstr>
  </property>
  <property fmtid="{D5CDD505-2E9C-101B-9397-08002B2CF9AE}" pid="42" name="NOSE210">
    <vt:lpwstr/>
  </property>
  <property fmtid="{D5CDD505-2E9C-101B-9397-08002B2CF9AE}" pid="43" name="NOSE22">
    <vt:lpwstr/>
  </property>
  <property fmtid="{D5CDD505-2E9C-101B-9397-08002B2CF9AE}" pid="44" name="NOSE23">
    <vt:lpwstr/>
  </property>
  <property fmtid="{D5CDD505-2E9C-101B-9397-08002B2CF9AE}" pid="45" name="NOSE24">
    <vt:lpwstr/>
  </property>
  <property fmtid="{D5CDD505-2E9C-101B-9397-08002B2CF9AE}" pid="46" name="NOSE25">
    <vt:lpwstr/>
  </property>
  <property fmtid="{D5CDD505-2E9C-101B-9397-08002B2CF9AE}" pid="47" name="NOSE26">
    <vt:lpwstr/>
  </property>
  <property fmtid="{D5CDD505-2E9C-101B-9397-08002B2CF9AE}" pid="48" name="NOSE27">
    <vt:lpwstr/>
  </property>
  <property fmtid="{D5CDD505-2E9C-101B-9397-08002B2CF9AE}" pid="49" name="NOSE28">
    <vt:lpwstr/>
  </property>
  <property fmtid="{D5CDD505-2E9C-101B-9397-08002B2CF9AE}" pid="50" name="NOSE29">
    <vt:lpwstr/>
  </property>
  <property fmtid="{D5CDD505-2E9C-101B-9397-08002B2CF9AE}" pid="51" name="NOSE2ID">
    <vt:lpwstr>1446</vt:lpwstr>
  </property>
  <property fmtid="{D5CDD505-2E9C-101B-9397-08002B2CF9AE}" pid="52" name="NOSE31">
    <vt:lpwstr>מדיניות ענישה: אי-הרשעה</vt:lpwstr>
  </property>
  <property fmtid="{D5CDD505-2E9C-101B-9397-08002B2CF9AE}" pid="53" name="NOSE310">
    <vt:lpwstr/>
  </property>
  <property fmtid="{D5CDD505-2E9C-101B-9397-08002B2CF9AE}" pid="54" name="NOSE32">
    <vt:lpwstr/>
  </property>
  <property fmtid="{D5CDD505-2E9C-101B-9397-08002B2CF9AE}" pid="55" name="NOSE33">
    <vt:lpwstr/>
  </property>
  <property fmtid="{D5CDD505-2E9C-101B-9397-08002B2CF9AE}" pid="56" name="NOSE34">
    <vt:lpwstr/>
  </property>
  <property fmtid="{D5CDD505-2E9C-101B-9397-08002B2CF9AE}" pid="57" name="NOSE35">
    <vt:lpwstr/>
  </property>
  <property fmtid="{D5CDD505-2E9C-101B-9397-08002B2CF9AE}" pid="58" name="NOSE36">
    <vt:lpwstr/>
  </property>
  <property fmtid="{D5CDD505-2E9C-101B-9397-08002B2CF9AE}" pid="59" name="NOSE37">
    <vt:lpwstr/>
  </property>
  <property fmtid="{D5CDD505-2E9C-101B-9397-08002B2CF9AE}" pid="60" name="NOSE38">
    <vt:lpwstr/>
  </property>
  <property fmtid="{D5CDD505-2E9C-101B-9397-08002B2CF9AE}" pid="61" name="NOSE39">
    <vt:lpwstr/>
  </property>
  <property fmtid="{D5CDD505-2E9C-101B-9397-08002B2CF9AE}" pid="62" name="NOSE3ID">
    <vt:lpwstr>11690</vt:lpwstr>
  </property>
  <property fmtid="{D5CDD505-2E9C-101B-9397-08002B2CF9AE}" pid="63" name="PADIDATE">
    <vt:lpwstr>20170209</vt:lpwstr>
  </property>
  <property fmtid="{D5CDD505-2E9C-101B-9397-08002B2CF9AE}" pid="64" name="PADIMAIL">
    <vt:lpwstr>YES</vt:lpwstr>
  </property>
  <property fmtid="{D5CDD505-2E9C-101B-9397-08002B2CF9AE}" pid="65" name="PAGE">
    <vt:lpwstr/>
  </property>
  <property fmtid="{D5CDD505-2E9C-101B-9397-08002B2CF9AE}" pid="66" name="PART">
    <vt:lpwstr/>
  </property>
  <property fmtid="{D5CDD505-2E9C-101B-9397-08002B2CF9AE}" pid="67" name="PROCESS">
    <vt:lpwstr/>
  </property>
  <property fmtid="{D5CDD505-2E9C-101B-9397-08002B2CF9AE}" pid="68" name="PROCNUM">
    <vt:lpwstr/>
  </property>
  <property fmtid="{D5CDD505-2E9C-101B-9397-08002B2CF9AE}" pid="69" name="PROCYEAR">
    <vt:lpwstr/>
  </property>
  <property fmtid="{D5CDD505-2E9C-101B-9397-08002B2CF9AE}" pid="70" name="PSAKDIN">
    <vt:lpwstr>פסק-דין</vt:lpwstr>
  </property>
  <property fmtid="{D5CDD505-2E9C-101B-9397-08002B2CF9AE}" pid="71" name="TYPE">
    <vt:lpwstr>2</vt:lpwstr>
  </property>
  <property fmtid="{D5CDD505-2E9C-101B-9397-08002B2CF9AE}" pid="72" name="TYPE_ABS_DATE">
    <vt:lpwstr>390120101230</vt:lpwstr>
  </property>
  <property fmtid="{D5CDD505-2E9C-101B-9397-08002B2CF9AE}" pid="73" name="TYPE_N_DATE">
    <vt:lpwstr>39020101230</vt:lpwstr>
  </property>
  <property fmtid="{D5CDD505-2E9C-101B-9397-08002B2CF9AE}" pid="74" name="VOLUME">
    <vt:lpwstr/>
  </property>
  <property fmtid="{D5CDD505-2E9C-101B-9397-08002B2CF9AE}" pid="75" name="WORDNUMPAGES">
    <vt:lpwstr>13</vt:lpwstr>
  </property>
</Properties>
</file>