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sz w:val="28"/>
              </w:rPr>
            </w:pPr>
            <w:bookmarkStart w:id="0" w:name="Text1"/>
            <w:r>
              <w:rPr>
                <w:rtl w:val="true"/>
              </w:rPr>
              <w:t>בבית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העליון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בשבתו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כבית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משפט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לערעורים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פליליים</w:t>
            </w:r>
            <w:bookmarkEnd w:id="0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495"/>
      </w:tblGrid>
      <w:tr>
        <w:trPr>
          <w:trHeight w:val="342" w:hRule="atLeast"/>
        </w:trPr>
        <w:tc>
          <w:tcPr>
            <w:tcW w:w="8495" w:type="dxa"/>
            <w:tcBorders/>
          </w:tcPr>
          <w:p>
            <w:pPr>
              <w:pStyle w:val="FileNumber"/>
              <w:ind w:end="0"/>
              <w:jc w:val="end"/>
              <w:rPr>
                <w:sz w:val="28"/>
                <w:szCs w:val="28"/>
              </w:rPr>
            </w:pPr>
            <w:bookmarkStart w:id="1" w:name="casename_body"/>
            <w:r>
              <w:rPr>
                <w:sz w:val="28"/>
                <w:sz w:val="28"/>
                <w:szCs w:val="28"/>
                <w:rtl w:val="true"/>
              </w:rPr>
              <w:t>ע</w:t>
            </w:r>
            <w:r>
              <w:rPr>
                <w:sz w:val="28"/>
                <w:szCs w:val="28"/>
                <w:rtl w:val="true"/>
              </w:rPr>
              <w:t>"</w:t>
            </w:r>
            <w:r>
              <w:rPr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sz w:val="28"/>
                <w:szCs w:val="28"/>
              </w:rPr>
              <w:t>4435/11</w:t>
            </w:r>
            <w:r>
              <w:rPr>
                <w:sz w:val="28"/>
                <w:szCs w:val="28"/>
                <w:rtl w:val="true"/>
              </w:rPr>
              <w:t xml:space="preserve"> </w:t>
            </w:r>
            <w:bookmarkEnd w:id="1"/>
          </w:p>
        </w:tc>
      </w:tr>
    </w:tbl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p>
      <w:pPr>
        <w:pStyle w:val="Normal"/>
        <w:ind w:end="0"/>
        <w:jc w:val="end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Miriam"/>
                <w:b/>
                <w:bCs/>
              </w:rPr>
            </w:pPr>
            <w:r>
              <w:rPr>
                <w:rtl w:val="true"/>
              </w:rPr>
              <w:t>לפני</w:t>
            </w:r>
            <w:r>
              <w:rPr>
                <w:rtl w:val="true"/>
              </w:rPr>
              <w:t>:</w:t>
              <w:tab/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המשנָה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לנשיא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נאור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  <w:bookmarkStart w:id="2" w:name="LastJudge"/>
            <w:bookmarkStart w:id="3" w:name="LastJudge"/>
            <w:bookmarkEnd w:id="3"/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 </w:t>
            </w:r>
            <w:r>
              <w:rPr>
                <w:rtl w:val="true"/>
              </w:rPr>
              <w:t>י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דנציגר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כבוד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השופט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א</w:t>
            </w:r>
            <w:r>
              <w:rPr>
                <w:rtl w:val="true"/>
              </w:rPr>
              <w:t xml:space="preserve">' </w:t>
            </w:r>
            <w:r>
              <w:rPr>
                <w:rtl w:val="true"/>
              </w:rPr>
              <w:t>שהם</w:t>
            </w:r>
          </w:p>
        </w:tc>
      </w:tr>
    </w:tbl>
    <w:p>
      <w:pPr>
        <w:pStyle w:val="Ruller31"/>
        <w:ind w:end="0"/>
        <w:jc w:val="start"/>
        <w:rPr>
          <w:rFonts w:cs="Miriam"/>
          <w:b/>
          <w:bCs/>
        </w:rPr>
      </w:pPr>
      <w:r>
        <w:rPr>
          <w:rFonts w:cs="Miriam"/>
          <w:b/>
          <w:bCs/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4" w:name="FirstAppellant"/>
            <w:bookmarkEnd w:id="4"/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מחמוד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מרזוק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snapToGrid w:val="false"/>
              <w:ind w:end="0"/>
              <w:jc w:val="start"/>
              <w:rPr/>
            </w:pPr>
            <w:r>
              <w:rPr>
                <w:rtl w:val="true"/>
              </w:rPr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נ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ג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  <w:tab/>
        <w:tab/>
        <w:t xml:space="preserve">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מדינת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52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both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פסק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 </w:t>
            </w:r>
            <w:r>
              <w:rPr>
                <w:sz w:val="24"/>
                <w:sz w:val="24"/>
                <w:szCs w:val="24"/>
                <w:rtl w:val="true"/>
              </w:rPr>
              <w:t>חיפה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מיום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Cs w:val="24"/>
              </w:rPr>
              <w:t>19.05.2011</w:t>
            </w:r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r>
              <w:rPr>
                <w:sz w:val="24"/>
                <w:szCs w:val="24"/>
                <w:rtl w:val="true"/>
              </w:rPr>
              <w:t>-</w:t>
            </w:r>
            <w:hyperlink r:id="rId2"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rFonts w:cs="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color w:val="0000FF"/>
                  <w:sz w:val="24"/>
                  <w:szCs w:val="24"/>
                  <w:u w:val="single"/>
                </w:rPr>
                <w:t>11904-09-10</w:t>
              </w:r>
            </w:hyperlink>
            <w:r>
              <w:rPr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שניתן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על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ידי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כבוד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השופטת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הורוביץ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ab/>
      </w:r>
    </w:p>
    <w:tbl>
      <w:tblPr>
        <w:bidiVisual w:val="true"/>
        <w:tblW w:w="8535" w:type="dxa"/>
        <w:jc w:val="start"/>
        <w:tblInd w:w="-4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5" w:name="xDate"/>
            <w:r>
              <w:rPr>
                <w:sz w:val="24"/>
                <w:sz w:val="24"/>
                <w:szCs w:val="24"/>
                <w:rtl w:val="true"/>
              </w:rPr>
              <w:t>ח</w:t>
            </w:r>
            <w:r>
              <w:rPr>
                <w:sz w:val="24"/>
                <w:szCs w:val="24"/>
                <w:rtl w:val="true"/>
              </w:rPr>
              <w:t xml:space="preserve">' </w:t>
            </w:r>
            <w:r>
              <w:rPr>
                <w:sz w:val="24"/>
                <w:sz w:val="24"/>
                <w:szCs w:val="24"/>
                <w:rtl w:val="true"/>
              </w:rPr>
              <w:t>בתמוז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sz w:val="24"/>
                <w:szCs w:val="24"/>
                <w:rtl w:val="true"/>
              </w:rPr>
              <w:t>"</w:t>
            </w:r>
            <w:r>
              <w:rPr>
                <w:sz w:val="24"/>
                <w:sz w:val="24"/>
                <w:szCs w:val="24"/>
                <w:rtl w:val="true"/>
              </w:rPr>
              <w:t>ב</w:t>
            </w:r>
            <w:bookmarkEnd w:id="5"/>
            <w:r>
              <w:rPr>
                <w:rFonts w:cs="Times New Roman"/>
                <w:rtl w:val="true"/>
              </w:rPr>
              <w:t xml:space="preserve">      </w:t>
            </w:r>
            <w:r>
              <w:rPr>
                <w:rFonts w:cs="Times New Roman"/>
                <w:rtl w:val="true"/>
              </w:rPr>
              <w:t xml:space="preserve"> 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bookmarkStart w:id="6" w:name="xGDate"/>
            <w:r>
              <w:rPr>
                <w:rtl w:val="true"/>
              </w:rPr>
              <w:t>(</w:t>
            </w:r>
            <w:r>
              <w:rPr/>
              <w:t>28.06.12</w:t>
            </w:r>
            <w:r>
              <w:rPr>
                <w:rtl w:val="true"/>
              </w:rPr>
              <w:t>)</w:t>
            </w:r>
            <w:bookmarkEnd w:id="6"/>
            <w:r>
              <w:rPr>
                <w:rtl w:val="true"/>
              </w:rPr>
              <w:t xml:space="preserve"> 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המערער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יוסף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עמארנה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</w:r>
    </w:p>
    <w:tbl>
      <w:tblPr>
        <w:bidiVisual w:val="true"/>
        <w:tblW w:w="84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/>
            </w:pPr>
            <w:bookmarkStart w:id="7" w:name="FirstLawyer"/>
            <w:bookmarkEnd w:id="7"/>
            <w:r>
              <w:rPr>
                <w:rtl w:val="true"/>
              </w:rPr>
              <w:t>בשם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המשיבה</w:t>
            </w:r>
            <w:r>
              <w:rPr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עו</w:t>
            </w:r>
            <w:r>
              <w:rPr>
                <w:rtl w:val="true"/>
              </w:rPr>
              <w:t>"</w:t>
            </w:r>
            <w:r>
              <w:rPr>
                <w:rtl w:val="true"/>
              </w:rPr>
              <w:t>ד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נעימה</w:t>
            </w:r>
            <w:r>
              <w:rPr>
                <w:rFonts w:cs="Times New Roman"/>
                <w:rtl w:val="true"/>
              </w:rPr>
              <w:t xml:space="preserve"> </w:t>
            </w:r>
            <w:r>
              <w:rPr>
                <w:rtl w:val="true"/>
              </w:rPr>
              <w:t>חינאוי</w:t>
            </w:r>
          </w:p>
        </w:tc>
      </w:tr>
    </w:tbl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  <w:bookmarkStart w:id="8" w:name="LawTable"/>
      <w:bookmarkStart w:id="9" w:name="LawTable"/>
      <w:bookmarkEnd w:id="9"/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/>
      </w:pPr>
      <w:r>
        <w:rPr>
          <w:rFonts w:ascii="FrankRuehl" w:hAnsi="FrankRuehl" w:cs="FrankRuehl"/>
          <w:sz w:val="24"/>
          <w:sz w:val="24"/>
          <w:rtl w:val="true"/>
        </w:rPr>
        <w:t>חקיקה שאוזכרה</w:t>
      </w:r>
      <w:r>
        <w:rPr>
          <w:rFonts w:cs="FrankRuehl" w:ascii="FrankRuehl" w:hAnsi="FrankRuehl"/>
          <w:sz w:val="24"/>
          <w:rtl w:val="true"/>
        </w:rPr>
        <w:t xml:space="preserve">: </w:t>
      </w:r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u w:val="single"/>
        </w:rPr>
      </w:pPr>
      <w:hyperlink r:id="rId3"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sz w:val="24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תשל</w:t>
        </w:r>
        <w:r>
          <w:rPr>
            <w:rStyle w:val="Hyperlink"/>
            <w:rFonts w:cs="FrankRuehl" w:ascii="FrankRuehl" w:hAnsi="FrankRuehl"/>
            <w:sz w:val="24"/>
            <w:rtl w:val="true"/>
          </w:rPr>
          <w:t>"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ז</w:t>
        </w:r>
        <w:r>
          <w:rPr>
            <w:rStyle w:val="Hyperlink"/>
            <w:rFonts w:cs="FrankRuehl" w:ascii="FrankRuehl" w:hAnsi="FrankRuehl"/>
            <w:sz w:val="24"/>
            <w:rtl w:val="true"/>
          </w:rPr>
          <w:t>-</w:t>
        </w:r>
        <w:r>
          <w:rPr>
            <w:rStyle w:val="Hyperlink"/>
            <w:rFonts w:cs="FrankRuehl" w:ascii="FrankRuehl" w:hAnsi="FrankRuehl"/>
            <w:sz w:val="24"/>
          </w:rPr>
          <w:t>1977</w:t>
        </w:r>
      </w:hyperlink>
      <w:r>
        <w:rPr>
          <w:rFonts w:cs="FrankRuehl" w:ascii="FrankRuehl" w:hAnsi="FrankRuehl"/>
          <w:color w:val="0000FF"/>
          <w:sz w:val="24"/>
          <w:u w:val="single"/>
          <w:rtl w:val="true"/>
        </w:rPr>
        <w:t xml:space="preserve">: </w:t>
      </w:r>
      <w:r>
        <w:rPr>
          <w:rFonts w:ascii="FrankRuehl" w:hAnsi="FrankRuehl" w:cs="FrankRuehl"/>
          <w:color w:val="0000FF"/>
          <w:sz w:val="24"/>
          <w:sz w:val="24"/>
          <w:u w:val="single"/>
          <w:rtl w:val="true"/>
        </w:rPr>
        <w:t>סע</w:t>
      </w:r>
      <w:r>
        <w:rPr>
          <w:rFonts w:cs="FrankRuehl" w:ascii="FrankRuehl" w:hAnsi="FrankRuehl"/>
          <w:color w:val="0000FF"/>
          <w:sz w:val="24"/>
          <w:u w:val="single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sz w:val="24"/>
          </w:rPr>
          <w:t>144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א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color w:val="0000FF"/>
          <w:sz w:val="24"/>
          <w:u w:val="single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sz w:val="24"/>
          </w:rPr>
          <w:t>144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ascii="FrankRuehl" w:hAnsi="FrankRuehl" w:cs="FrankRuehl"/>
            <w:sz w:val="24"/>
            <w:sz w:val="24"/>
            <w:rtl w:val="true"/>
          </w:rPr>
          <w:t>ב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color w:val="0000FF"/>
          <w:sz w:val="24"/>
          <w:u w:val="single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sz w:val="24"/>
          </w:rPr>
          <w:t>274</w:t>
        </w:r>
        <w:r>
          <w:rPr>
            <w:rStyle w:val="Hyperlink"/>
            <w:rFonts w:cs="FrankRuehl" w:ascii="FrankRuehl" w:hAnsi="FrankRuehl"/>
            <w:sz w:val="24"/>
            <w:rtl w:val="true"/>
          </w:rPr>
          <w:t>(</w:t>
        </w:r>
        <w:r>
          <w:rPr>
            <w:rStyle w:val="Hyperlink"/>
            <w:rFonts w:cs="FrankRuehl" w:ascii="FrankRuehl" w:hAnsi="FrankRuehl"/>
            <w:sz w:val="24"/>
          </w:rPr>
          <w:t>2</w:t>
        </w:r>
        <w:r>
          <w:rPr>
            <w:rStyle w:val="Hyperlink"/>
            <w:rFonts w:cs="FrankRuehl" w:ascii="FrankRuehl" w:hAnsi="FrankRuehl"/>
            <w:sz w:val="24"/>
            <w:rtl w:val="true"/>
          </w:rPr>
          <w:t>)</w:t>
        </w:r>
      </w:hyperlink>
      <w:r>
        <w:rPr>
          <w:rFonts w:cs="FrankRuehl" w:ascii="FrankRuehl" w:hAnsi="FrankRuehl"/>
          <w:color w:val="0000FF"/>
          <w:sz w:val="24"/>
          <w:u w:val="single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sz w:val="24"/>
          </w:rPr>
          <w:t>275</w:t>
        </w:r>
      </w:hyperlink>
    </w:p>
    <w:p>
      <w:pPr>
        <w:pStyle w:val="Normal"/>
        <w:tabs>
          <w:tab w:val="clear" w:pos="720"/>
          <w:tab w:val="left" w:pos="2552" w:leader="none"/>
        </w:tabs>
        <w:spacing w:lineRule="exact" w:line="240" w:before="0" w:after="120"/>
        <w:ind w:hanging="283" w:start="283" w:end="0"/>
        <w:jc w:val="both"/>
        <w:rPr>
          <w:rFonts w:ascii="FrankRuehl" w:hAnsi="FrankRuehl" w:cs="FrankRuehl"/>
          <w:color w:val="0000FF"/>
          <w:sz w:val="24"/>
          <w:u w:val="single"/>
        </w:rPr>
      </w:pPr>
      <w:r>
        <w:rPr>
          <w:rFonts w:cs="FrankRuehl" w:ascii="FrankRuehl" w:hAnsi="FrankRuehl"/>
          <w:color w:val="0000FF"/>
          <w:sz w:val="24"/>
          <w:u w:val="single"/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>
          <w:rFonts w:ascii="FrankRuehl" w:hAnsi="FrankRuehl" w:cs="FrankRuehl"/>
          <w:sz w:val="24"/>
        </w:rPr>
      </w:pPr>
      <w:r>
        <w:rPr>
          <w:rFonts w:cs="FrankRuehl" w:ascii="FrankRuehl" w:hAnsi="FrankRuehl"/>
          <w:sz w:val="24"/>
          <w:rtl w:val="true"/>
        </w:rPr>
      </w:r>
      <w:bookmarkStart w:id="10" w:name="LawTable_End"/>
      <w:bookmarkStart w:id="11" w:name="LawTable_End"/>
      <w:bookmarkEnd w:id="11"/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552" w:leader="none"/>
        </w:tabs>
        <w:ind w:end="0"/>
        <w:jc w:val="start"/>
        <w:rPr/>
      </w:pPr>
      <w:r>
        <w:rPr>
          <w:rtl w:val="true"/>
        </w:rPr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DocumentHead"/>
              <w:ind w:end="0"/>
              <w:jc w:val="center"/>
              <w:rPr/>
            </w:pPr>
            <w:bookmarkStart w:id="12" w:name="PsakDin"/>
            <w:bookmarkStart w:id="13" w:name="secretary"/>
            <w:bookmarkStart w:id="14" w:name="BeginProtocol"/>
            <w:bookmarkEnd w:id="12"/>
            <w:bookmarkEnd w:id="13"/>
            <w:bookmarkEnd w:id="14"/>
            <w:r>
              <w:rPr>
                <w:rtl w:val="true"/>
              </w:rPr>
              <w:t>פסק</w:t>
            </w:r>
            <w:r>
              <w:rPr>
                <w:rtl w:val="true"/>
              </w:rPr>
              <w:t>-</w:t>
            </w:r>
            <w:r>
              <w:rPr>
                <w:rtl w:val="true"/>
              </w:rPr>
              <w:t>דין</w:t>
            </w:r>
          </w:p>
        </w:tc>
      </w:tr>
    </w:tbl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/>
      </w:pPr>
      <w:r>
        <w:rPr>
          <w:rtl w:val="true"/>
        </w:rPr>
      </w:r>
    </w:p>
    <w:p>
      <w:pPr>
        <w:pStyle w:val="BODYVERDICT"/>
        <w:ind w:end="0"/>
        <w:jc w:val="start"/>
        <w:rPr>
          <w:rFonts w:cs="Miriam"/>
          <w:sz w:val="24"/>
          <w:szCs w:val="24"/>
        </w:rPr>
      </w:pPr>
      <w:bookmarkStart w:id="15" w:name="Writer_Name"/>
      <w:bookmarkEnd w:id="15"/>
      <w:r>
        <w:rPr>
          <w:rFonts w:cs="Miriam"/>
          <w:sz w:val="24"/>
          <w:sz w:val="24"/>
          <w:szCs w:val="24"/>
          <w:u w:val="single"/>
          <w:rtl w:val="true"/>
        </w:rPr>
        <w:t>המשנָה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לנשיא</w:t>
      </w:r>
      <w:r>
        <w:rPr>
          <w:rFonts w:cs="Times New Roman"/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מ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נאור</w:t>
      </w:r>
      <w:r>
        <w:rPr>
          <w:rFonts w:cs="Miriam"/>
          <w:sz w:val="24"/>
          <w:szCs w:val="24"/>
          <w:rtl w:val="true"/>
        </w:rPr>
        <w:t>:</w:t>
      </w:r>
    </w:p>
    <w:p>
      <w:pPr>
        <w:pStyle w:val="Ruller41"/>
        <w:ind w:end="0"/>
        <w:jc w:val="both"/>
        <w:rPr>
          <w:rFonts w:cs="Miriam"/>
          <w:sz w:val="24"/>
          <w:szCs w:val="24"/>
        </w:rPr>
      </w:pPr>
      <w:r>
        <w:rPr>
          <w:rFonts w:cs="Miriam"/>
          <w:sz w:val="24"/>
          <w:szCs w:val="24"/>
          <w:rtl w:val="true"/>
        </w:rPr>
      </w:r>
      <w:bookmarkStart w:id="16" w:name="Start_Write"/>
      <w:bookmarkStart w:id="17" w:name="Start_Write"/>
      <w:bookmarkEnd w:id="17"/>
    </w:p>
    <w:p>
      <w:pPr>
        <w:pStyle w:val="Ruller41"/>
        <w:ind w:end="0"/>
        <w:jc w:val="both"/>
        <w:rPr/>
      </w:pPr>
      <w:r>
        <w:rPr/>
        <w:t>1</w:t>
      </w:r>
      <w:r>
        <w:rPr>
          <w:rtl w:val="true"/>
        </w:rPr>
        <w:t>.</w:t>
        <w:tab/>
      </w:r>
      <w:bookmarkStart w:id="18" w:name="ABSTRACT_START"/>
      <w:bookmarkEnd w:id="18"/>
      <w:r>
        <w:rPr>
          <w:rtl w:val="true"/>
        </w:rPr>
        <w:t>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פסק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בחיפה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השופטת</w:t>
      </w:r>
      <w:r>
        <w:rPr>
          <w:rFonts w:eastAsia="Arial TUR;Arial" w:cs="Arial TUR;Arial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ח</w:t>
      </w:r>
      <w:r>
        <w:rPr>
          <w:rFonts w:cs="Miriam" w:ascii="Times New Roman" w:hAnsi="Times New Roman"/>
          <w:spacing w:val="0"/>
          <w:sz w:val="28"/>
          <w:szCs w:val="24"/>
          <w:rtl w:val="true"/>
        </w:rPr>
        <w:t xml:space="preserve">'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הורוביץ</w:t>
      </w:r>
      <w:r>
        <w:rPr>
          <w:rtl w:val="true"/>
        </w:rPr>
        <w:t xml:space="preserve">) </w:t>
      </w:r>
      <w:r>
        <w:rPr>
          <w:rtl w:val="true"/>
        </w:rPr>
        <w:t>ב</w:t>
      </w:r>
      <w:r>
        <w:rPr>
          <w:rtl w:val="true"/>
        </w:rPr>
        <w:t>-</w:t>
      </w:r>
      <w:hyperlink r:id="rId8">
        <w:r>
          <w:rPr>
            <w:rStyle w:val="Hyperlink"/>
            <w:color w:val="0000FF"/>
            <w:u w:val="single"/>
            <w:rtl w:val="true"/>
          </w:rPr>
          <w:t>ת</w:t>
        </w:r>
        <w:r>
          <w:rPr>
            <w:rStyle w:val="Hyperlink"/>
            <w:color w:val="0000FF"/>
            <w:u w:val="single"/>
            <w:rtl w:val="true"/>
          </w:rPr>
          <w:t>"</w:t>
        </w:r>
        <w:r>
          <w:rPr>
            <w:rStyle w:val="Hyperlink"/>
            <w:color w:val="0000FF"/>
            <w:u w:val="single"/>
            <w:rtl w:val="true"/>
          </w:rPr>
          <w:t>פ</w:t>
        </w:r>
        <w:r>
          <w:rPr>
            <w:rStyle w:val="Hyperlink"/>
            <w:rFonts w:eastAsia="Arial TUR;Arial" w:cs="Arial TUR;Arial"/>
            <w:color w:val="0000FF"/>
            <w:u w:val="single"/>
            <w:rtl w:val="true"/>
          </w:rPr>
          <w:t xml:space="preserve"> </w:t>
        </w:r>
        <w:r>
          <w:rPr>
            <w:rStyle w:val="Hyperlink"/>
            <w:color w:val="0000FF"/>
            <w:u w:val="single"/>
          </w:rPr>
          <w:t>11904-09-10</w:t>
        </w:r>
      </w:hyperlink>
      <w:r>
        <w:rPr>
          <w:rtl w:val="true"/>
        </w:rPr>
        <w:t xml:space="preserve"> </w:t>
      </w:r>
      <w:r>
        <w:rPr>
          <w:rtl w:val="true"/>
        </w:rPr>
        <w:t>מיום</w:t>
      </w:r>
      <w:r>
        <w:rPr>
          <w:rFonts w:eastAsia="Arial TUR;Arial" w:cs="Arial TUR;Arial"/>
          <w:rtl w:val="true"/>
        </w:rPr>
        <w:t xml:space="preserve"> </w:t>
      </w:r>
      <w:r>
        <w:rPr/>
        <w:t>19.5.2011</w:t>
      </w:r>
      <w:r>
        <w:rPr>
          <w:rtl w:val="true"/>
        </w:rPr>
        <w:t xml:space="preserve">, </w:t>
      </w:r>
      <w:r>
        <w:rPr>
          <w:rtl w:val="true"/>
        </w:rPr>
        <w:t>במסגרתו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ונשיאת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הפרעה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במילוי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תפקידו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ותקיפת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מחמירות</w:t>
      </w:r>
      <w:r>
        <w:rPr>
          <w:rtl w:val="true"/>
        </w:rPr>
        <w:t xml:space="preserve">; </w:t>
      </w:r>
      <w:r>
        <w:rPr>
          <w:rtl w:val="true"/>
        </w:rPr>
        <w:t>ונגזרו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מהם</w:t>
      </w:r>
      <w:r>
        <w:rPr>
          <w:rFonts w:eastAsia="Arial TUR;Arial" w:cs="Arial TUR;Arial"/>
          <w:rtl w:val="true"/>
        </w:rPr>
        <w:t xml:space="preserve">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והיתר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תנאי</w:t>
      </w:r>
      <w:r>
        <w:rPr>
          <w:rtl w:val="true"/>
        </w:rPr>
        <w:t xml:space="preserve">. </w:t>
      </w:r>
      <w:r>
        <w:rPr>
          <w:rtl w:val="true"/>
        </w:rPr>
        <w:t>מלכתחילה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שהתקיים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מערעורו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ההרשעה</w:t>
      </w:r>
      <w:r>
        <w:rPr>
          <w:rtl w:val="true"/>
        </w:rPr>
        <w:t xml:space="preserve">, </w:t>
      </w:r>
      <w:r>
        <w:rPr>
          <w:rtl w:val="true"/>
        </w:rPr>
        <w:t>והערעור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מופנה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עתה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בלבד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  <w:bookmarkStart w:id="19" w:name="ABSTRACT_END"/>
      <w:bookmarkStart w:id="20" w:name="ABSTRACT_END"/>
      <w:bookmarkEnd w:id="20"/>
    </w:p>
    <w:p>
      <w:pPr>
        <w:pStyle w:val="Ruller41"/>
        <w:ind w:end="0"/>
        <w:jc w:val="both"/>
        <w:rPr/>
      </w:pPr>
      <w:r>
        <w:rPr/>
        <w:t>2</w:t>
      </w:r>
      <w:r>
        <w:rPr>
          <w:rtl w:val="true"/>
        </w:rPr>
        <w:t>.</w:t>
        <w:tab/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ביום</w:t>
      </w:r>
      <w:r>
        <w:rPr>
          <w:rFonts w:eastAsia="Arial TUR;Arial" w:cs="Arial TUR;Arial"/>
          <w:rtl w:val="true"/>
        </w:rPr>
        <w:t xml:space="preserve"> </w:t>
      </w:r>
      <w:r>
        <w:rPr/>
        <w:t>1.9.2010</w:t>
      </w:r>
      <w:r>
        <w:rPr>
          <w:rtl w:val="true"/>
        </w:rPr>
        <w:t xml:space="preserve"> </w:t>
      </w:r>
      <w:r>
        <w:rPr>
          <w:rtl w:val="true"/>
        </w:rPr>
        <w:t>נסע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בכביש</w:t>
      </w:r>
      <w:r>
        <w:rPr>
          <w:rFonts w:eastAsia="Arial TUR;Arial" w:cs="Arial TUR;Arial"/>
          <w:rtl w:val="true"/>
        </w:rPr>
        <w:t xml:space="preserve"> </w:t>
      </w:r>
      <w:r>
        <w:rPr/>
        <w:t>65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במושב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שליד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הנהג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ונשא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</w:t>
      </w:r>
      <w:r>
        <w:rPr>
          <w:rtl w:val="true"/>
        </w:rPr>
        <w:t xml:space="preserve">, </w:t>
      </w:r>
      <w:r>
        <w:rPr>
          <w:rtl w:val="true"/>
        </w:rPr>
        <w:t>וזאת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רישיון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. </w:t>
      </w:r>
      <w:r>
        <w:rPr>
          <w:rtl w:val="true"/>
        </w:rPr>
        <w:t>ניידת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משטרתית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סימנה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לעצור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האיץ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נסיעתו</w:t>
      </w:r>
      <w:r>
        <w:rPr>
          <w:rtl w:val="true"/>
        </w:rPr>
        <w:t xml:space="preserve">. </w:t>
      </w:r>
      <w:r>
        <w:rPr>
          <w:rtl w:val="true"/>
        </w:rPr>
        <w:t>השוטרים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עקפו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והביאו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לעצירתו</w:t>
      </w:r>
      <w:r>
        <w:rPr>
          <w:rtl w:val="true"/>
        </w:rPr>
        <w:t xml:space="preserve">, </w:t>
      </w:r>
      <w:r>
        <w:rPr>
          <w:rtl w:val="true"/>
        </w:rPr>
        <w:t>ורצו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במטרה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לעצור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השניים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בחשד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פשע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פתח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וניסה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להימלט</w:t>
      </w:r>
      <w:r>
        <w:rPr>
          <w:rtl w:val="true"/>
        </w:rPr>
        <w:t xml:space="preserve">, </w:t>
      </w:r>
      <w:r>
        <w:rPr>
          <w:rtl w:val="true"/>
        </w:rPr>
        <w:t>ומשניסה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לבלום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תקף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וחבט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בראשו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מתחת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לחולצה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מנת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לשלוף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אקדח</w:t>
      </w:r>
      <w:r>
        <w:rPr>
          <w:rtl w:val="true"/>
        </w:rPr>
        <w:t xml:space="preserve">, </w:t>
      </w:r>
      <w:r>
        <w:rPr>
          <w:rtl w:val="true"/>
        </w:rPr>
        <w:t>ובינו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לבין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התפתח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עימות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פיזי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שבסופו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והצליח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לחלץ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מידיו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בסיוע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נוספים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השתלט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אזק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ועצר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אותו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  <w:tab/>
      </w:r>
      <w:r>
        <w:rPr>
          <w:rtl w:val="true"/>
        </w:rPr>
        <w:t>בגין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הואשם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hyperlink r:id="rId9">
        <w:r>
          <w:rPr>
            <w:rStyle w:val="Hyperlink"/>
            <w:rtl w:val="true"/>
          </w:rPr>
          <w:t>סעיף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א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</w:t>
      </w:r>
      <w:hyperlink r:id="rId10">
        <w:r>
          <w:rPr>
            <w:rStyle w:val="Hyperlink"/>
            <w:rtl w:val="true"/>
          </w:rPr>
          <w:t>חוק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  <w:rtl w:val="true"/>
          </w:rPr>
          <w:t>העונשין</w:t>
        </w:r>
      </w:hyperlink>
      <w:r>
        <w:rPr>
          <w:rtl w:val="true"/>
        </w:rPr>
        <w:t xml:space="preserve">, </w:t>
      </w:r>
      <w:r>
        <w:rPr>
          <w:rtl w:val="true"/>
        </w:rPr>
        <w:t>התשל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>-</w:t>
      </w:r>
      <w:r>
        <w:rPr/>
        <w:t>1977</w:t>
      </w:r>
      <w:r>
        <w:rPr>
          <w:rtl w:val="true"/>
        </w:rPr>
        <w:t xml:space="preserve"> (</w:t>
      </w:r>
      <w:r>
        <w:rPr>
          <w:rtl w:val="true"/>
        </w:rPr>
        <w:t>להלן</w:t>
      </w:r>
      <w:r>
        <w:rPr>
          <w:rtl w:val="true"/>
        </w:rPr>
        <w:t xml:space="preserve">: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החוק</w:t>
      </w:r>
      <w:r>
        <w:rPr>
          <w:rtl w:val="true"/>
        </w:rPr>
        <w:t xml:space="preserve">); </w:t>
      </w:r>
      <w:r>
        <w:rPr>
          <w:rtl w:val="true"/>
        </w:rPr>
        <w:t>נשיאת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hyperlink r:id="rId11">
        <w:r>
          <w:rPr>
            <w:rStyle w:val="Hyperlink"/>
            <w:rtl w:val="true"/>
          </w:rPr>
          <w:t>סעיף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</w:rPr>
          <w:t>144</w:t>
        </w:r>
        <w:r>
          <w:rPr>
            <w:rStyle w:val="Hyperlink"/>
            <w:rtl w:val="true"/>
          </w:rPr>
          <w:t>(</w:t>
        </w:r>
        <w:r>
          <w:rPr>
            <w:rStyle w:val="Hyperlink"/>
            <w:rtl w:val="true"/>
          </w:rPr>
          <w:t>ב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; </w:t>
      </w:r>
      <w:r>
        <w:rPr>
          <w:rtl w:val="true"/>
        </w:rPr>
        <w:t>הפרעה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במילוי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תפקידו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hyperlink r:id="rId12">
        <w:r>
          <w:rPr>
            <w:rStyle w:val="Hyperlink"/>
            <w:rtl w:val="true"/>
          </w:rPr>
          <w:t>סעיף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</w:rPr>
          <w:t>275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; </w:t>
      </w:r>
      <w:r>
        <w:rPr>
          <w:rtl w:val="true"/>
        </w:rPr>
        <w:t>ותקיפת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מחמירות</w:t>
      </w:r>
      <w:r>
        <w:rPr>
          <w:rtl w:val="true"/>
        </w:rPr>
        <w:t xml:space="preserve">, </w:t>
      </w:r>
      <w:r>
        <w:rPr>
          <w:rtl w:val="true"/>
        </w:rPr>
        <w:t>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לפי</w:t>
      </w:r>
      <w:r>
        <w:rPr>
          <w:rFonts w:eastAsia="Arial TUR;Arial" w:cs="Arial TUR;Arial"/>
          <w:rtl w:val="true"/>
        </w:rPr>
        <w:t xml:space="preserve"> </w:t>
      </w:r>
      <w:hyperlink r:id="rId13">
        <w:r>
          <w:rPr>
            <w:rStyle w:val="Hyperlink"/>
            <w:rtl w:val="true"/>
          </w:rPr>
          <w:t>סעיף</w:t>
        </w:r>
        <w:r>
          <w:rPr>
            <w:rStyle w:val="Hyperlink"/>
            <w:rFonts w:eastAsia="Arial TUR;Arial" w:cs="Arial TUR;Arial"/>
            <w:rtl w:val="true"/>
          </w:rPr>
          <w:t xml:space="preserve"> </w:t>
        </w:r>
        <w:r>
          <w:rPr>
            <w:rStyle w:val="Hyperlink"/>
          </w:rPr>
          <w:t>274</w:t>
        </w:r>
        <w:r>
          <w:rPr>
            <w:rStyle w:val="Hyperlink"/>
            <w:rtl w:val="true"/>
          </w:rPr>
          <w:t>(</w:t>
        </w:r>
        <w:r>
          <w:rPr>
            <w:rStyle w:val="Hyperlink"/>
          </w:rPr>
          <w:t>2</w:t>
        </w:r>
        <w:r>
          <w:rPr>
            <w:rStyle w:val="Hyperlink"/>
            <w:rtl w:val="true"/>
          </w:rPr>
          <w:t>)</w:t>
        </w:r>
      </w:hyperlink>
      <w:r>
        <w:rPr>
          <w:rtl w:val="true"/>
        </w:rPr>
        <w:t xml:space="preserve"> </w:t>
      </w:r>
      <w:r>
        <w:rPr>
          <w:rtl w:val="true"/>
        </w:rPr>
        <w:t>לחוק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ההליכים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בבית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המשפט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המחוזי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3</w:t>
      </w:r>
      <w:r>
        <w:rPr>
          <w:rtl w:val="true"/>
        </w:rPr>
        <w:t>.</w:t>
        <w:tab/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הודה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בתחילה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בעובדות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המפורטות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מהודאתו</w:t>
      </w:r>
      <w:r>
        <w:rPr>
          <w:rtl w:val="true"/>
        </w:rPr>
        <w:t xml:space="preserve">, </w:t>
      </w:r>
      <w:r>
        <w:rPr>
          <w:rtl w:val="true"/>
        </w:rPr>
        <w:t>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נוהל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הליך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הוכחות</w:t>
      </w:r>
      <w:r>
        <w:rPr>
          <w:rtl w:val="true"/>
        </w:rPr>
        <w:t xml:space="preserve">. </w:t>
      </w:r>
      <w:r>
        <w:rPr>
          <w:rtl w:val="true"/>
        </w:rPr>
        <w:t>במהלך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נשמעו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עדויותיהם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המעורבים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באירוע</w:t>
      </w:r>
      <w:r>
        <w:rPr>
          <w:rtl w:val="true"/>
        </w:rPr>
        <w:t xml:space="preserve">, </w:t>
      </w:r>
      <w:r>
        <w:rPr>
          <w:rtl w:val="true"/>
        </w:rPr>
        <w:t>והוצג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מעבדת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בנוגע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שנשא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. </w:t>
      </w:r>
      <w:r>
        <w:rPr>
          <w:rtl w:val="true"/>
        </w:rPr>
        <w:t>מטעם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ההגנה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עמו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נהג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הרכב</w:t>
      </w:r>
      <w:r>
        <w:rPr>
          <w:rtl w:val="true"/>
        </w:rPr>
        <w:t xml:space="preserve">), </w:t>
      </w:r>
      <w:r>
        <w:rPr>
          <w:rtl w:val="true"/>
        </w:rPr>
        <w:t>והמערער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עצמו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בעדויות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השוטרים</w:t>
      </w:r>
      <w:r>
        <w:rPr>
          <w:rtl w:val="true"/>
        </w:rPr>
        <w:t xml:space="preserve">, </w:t>
      </w:r>
      <w:r>
        <w:rPr>
          <w:rtl w:val="true"/>
        </w:rPr>
        <w:t>וקבע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עדויותיהם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נהג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אמינות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ואינן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מערערות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גרסתם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השוטרים</w:t>
      </w:r>
      <w:r>
        <w:rPr>
          <w:rtl w:val="true"/>
        </w:rPr>
        <w:t xml:space="preserve">. </w:t>
      </w:r>
      <w:r>
        <w:rPr>
          <w:rtl w:val="true"/>
        </w:rPr>
        <w:t>בפסק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נדחו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טענות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בדבר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"</w:t>
      </w:r>
      <w:r>
        <w:rPr>
          <w:rtl w:val="true"/>
        </w:rPr>
        <w:t>שתילת</w:t>
      </w:r>
      <w:r>
        <w:rPr>
          <w:rtl w:val="true"/>
        </w:rPr>
        <w:t xml:space="preserve">" </w:t>
      </w:r>
      <w:r>
        <w:rPr>
          <w:rtl w:val="true"/>
        </w:rPr>
        <w:t>הנשק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ברכב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מודיע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ובדבר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מחדלי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חקירה</w:t>
      </w:r>
      <w:r>
        <w:rPr>
          <w:rtl w:val="true"/>
        </w:rPr>
        <w:t xml:space="preserve">.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בסופו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הורשע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שיוחסו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לו</w:t>
      </w:r>
      <w:r>
        <w:rPr>
          <w:rtl w:val="true"/>
        </w:rPr>
        <w:t xml:space="preserve">, </w:t>
      </w:r>
      <w:r>
        <w:rPr>
          <w:rtl w:val="true"/>
        </w:rPr>
        <w:t>כמפורט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בכתב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האישום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4</w:t>
      </w:r>
      <w:r>
        <w:rPr>
          <w:rtl w:val="true"/>
        </w:rPr>
        <w:t>.</w:t>
        <w:tab/>
      </w:r>
      <w:r>
        <w:rPr>
          <w:rtl w:val="true"/>
        </w:rPr>
        <w:t>בשלב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הטיעונים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נשמעו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טיעוני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המאשימה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גרסה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מדובר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חמורה</w:t>
      </w:r>
      <w:r>
        <w:rPr>
          <w:rtl w:val="true"/>
        </w:rPr>
        <w:t xml:space="preserve">, </w:t>
      </w:r>
      <w:r>
        <w:rPr>
          <w:rtl w:val="true"/>
        </w:rPr>
        <w:t>וכי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עומדת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לזכות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מקלה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שהיא</w:t>
      </w:r>
      <w:r>
        <w:rPr>
          <w:rtl w:val="true"/>
        </w:rPr>
        <w:t xml:space="preserve">. </w:t>
      </w:r>
      <w:r>
        <w:rPr>
          <w:rtl w:val="true"/>
        </w:rPr>
        <w:t>בא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ומצבו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הבריאותי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המחייבים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לדעתו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התחשבות</w:t>
      </w:r>
      <w:r>
        <w:rPr>
          <w:rtl w:val="true"/>
        </w:rPr>
        <w:t xml:space="preserve">, </w:t>
      </w:r>
      <w:r>
        <w:rPr>
          <w:rtl w:val="true"/>
        </w:rPr>
        <w:t>וציין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אף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נפגע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באופן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באירוע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בנשק</w:t>
      </w:r>
      <w:r>
        <w:rPr>
          <w:rtl w:val="true"/>
        </w:rPr>
        <w:t xml:space="preserve">, </w:t>
      </w:r>
      <w:r>
        <w:rPr>
          <w:rtl w:val="true"/>
        </w:rPr>
        <w:t>ובפרט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גורמים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מורשים</w:t>
      </w:r>
      <w:r>
        <w:rPr>
          <w:rtl w:val="true"/>
        </w:rPr>
        <w:t xml:space="preserve">, </w:t>
      </w:r>
      <w:r>
        <w:rPr>
          <w:rtl w:val="true"/>
        </w:rPr>
        <w:t>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חמורות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צורך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להגן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הממלאים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תפקידם</w:t>
      </w:r>
      <w:r>
        <w:rPr>
          <w:rtl w:val="true"/>
        </w:rPr>
        <w:t xml:space="preserve">, </w:t>
      </w:r>
      <w:r>
        <w:rPr>
          <w:rtl w:val="true"/>
        </w:rPr>
        <w:t>ולשלוח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מרתיע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פגיעה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בהם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התנהגות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ממחישה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הסיכון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הממשי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ובתקיפת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מילוי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תפקידו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פרט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הפלילי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הכולל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איום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בנזק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גופני</w:t>
      </w:r>
      <w:r>
        <w:rPr>
          <w:rtl w:val="true"/>
        </w:rPr>
        <w:t xml:space="preserve">, </w:t>
      </w:r>
      <w:r>
        <w:rPr>
          <w:rtl w:val="true"/>
        </w:rPr>
        <w:t>גרימת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נזק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לרכוש</w:t>
      </w:r>
      <w:r>
        <w:rPr>
          <w:rtl w:val="true"/>
        </w:rPr>
        <w:t xml:space="preserve">,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סמים</w:t>
      </w:r>
      <w:r>
        <w:rPr>
          <w:rtl w:val="true"/>
        </w:rPr>
        <w:t xml:space="preserve">, </w:t>
      </w:r>
      <w:r>
        <w:rPr>
          <w:rtl w:val="true"/>
        </w:rPr>
        <w:t>תקיפת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מילוי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תפקידו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והעלבת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עובד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ציבור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ציין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ריצה</w:t>
      </w:r>
      <w:r>
        <w:rPr>
          <w:rFonts w:eastAsia="Arial TUR;Arial" w:cs="Arial TUR;Arial"/>
          <w:rtl w:val="true"/>
        </w:rPr>
        <w:t xml:space="preserve">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מאסרים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tl w:val="true"/>
        </w:rPr>
        <w:t xml:space="preserve">, </w:t>
      </w:r>
      <w:r>
        <w:rPr>
          <w:rtl w:val="true"/>
        </w:rPr>
        <w:t>אך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לסורו</w:t>
      </w:r>
      <w:r>
        <w:rPr>
          <w:rtl w:val="true"/>
        </w:rPr>
        <w:t xml:space="preserve">. </w:t>
      </w:r>
      <w:r>
        <w:rPr>
          <w:rtl w:val="true"/>
        </w:rPr>
        <w:t>עוד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צוין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אשר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הביע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חרטה</w:t>
      </w:r>
      <w:r>
        <w:rPr>
          <w:rtl w:val="true"/>
        </w:rPr>
        <w:t xml:space="preserve">, </w:t>
      </w:r>
      <w:r>
        <w:rPr>
          <w:rtl w:val="true"/>
        </w:rPr>
        <w:t>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לקח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אחריות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הבהיר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המניעים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למעשיו</w:t>
      </w:r>
      <w:r>
        <w:rPr>
          <w:rtl w:val="true"/>
        </w:rPr>
        <w:t xml:space="preserve">.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מצדיקות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עימו</w:t>
      </w:r>
      <w:r>
        <w:rPr>
          <w:rtl w:val="true"/>
        </w:rPr>
        <w:t xml:space="preserve">, </w:t>
      </w:r>
      <w:r>
        <w:rPr>
          <w:rtl w:val="true"/>
        </w:rPr>
        <w:t>זולת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הרפואי</w:t>
      </w:r>
      <w:r>
        <w:rPr>
          <w:rtl w:val="true"/>
        </w:rPr>
        <w:t xml:space="preserve">. </w:t>
      </w:r>
      <w:r>
        <w:rPr>
          <w:rtl w:val="true"/>
        </w:rPr>
        <w:t>ואולם</w:t>
      </w:r>
      <w:r>
        <w:rPr>
          <w:rtl w:val="true"/>
        </w:rPr>
        <w:t xml:space="preserve">, </w:t>
      </w:r>
      <w:r>
        <w:rPr>
          <w:rtl w:val="true"/>
        </w:rPr>
        <w:t>נקבע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במצבו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הרפואי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כדי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לסכן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חייו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במאסר</w:t>
      </w:r>
      <w:r>
        <w:rPr>
          <w:rtl w:val="true"/>
        </w:rPr>
        <w:t xml:space="preserve">. </w:t>
      </w:r>
      <w:r>
        <w:rPr>
          <w:rtl w:val="true"/>
        </w:rPr>
        <w:t>לאחר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ששקל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מצבו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הכלכלי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הקשה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החליט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להימנע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מהטלת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קנס</w:t>
      </w:r>
      <w:r>
        <w:rPr>
          <w:rtl w:val="true"/>
        </w:rPr>
        <w:t xml:space="preserve">, </w:t>
      </w:r>
      <w:r>
        <w:rPr>
          <w:rtl w:val="true"/>
        </w:rPr>
        <w:t>וגזר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/>
        <w:t>60</w:t>
      </w:r>
      <w:r>
        <w:rPr>
          <w:rtl w:val="true"/>
        </w:rPr>
        <w:t xml:space="preserve"> </w:t>
      </w:r>
      <w:r>
        <w:rPr>
          <w:rtl w:val="true"/>
        </w:rPr>
        <w:t>חודשי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tl w:val="true"/>
        </w:rPr>
        <w:t xml:space="preserve">, </w:t>
      </w:r>
      <w:r>
        <w:rPr>
          <w:rtl w:val="true"/>
        </w:rPr>
        <w:t>מהם</w:t>
      </w:r>
      <w:r>
        <w:rPr>
          <w:rFonts w:eastAsia="Arial TUR;Arial" w:cs="Arial TUR;Arial"/>
          <w:rtl w:val="true"/>
        </w:rPr>
        <w:t xml:space="preserve"> </w:t>
      </w:r>
      <w:r>
        <w:rPr/>
        <w:t>48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בפועל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והיתר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תנאי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יעבור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בתוך</w:t>
      </w:r>
      <w:r>
        <w:rPr>
          <w:rFonts w:eastAsia="Arial TUR;Arial" w:cs="Arial TUR;Arial"/>
          <w:rtl w:val="true"/>
        </w:rPr>
        <w:t xml:space="preserve">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אלימות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פשע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הערעור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/>
      </w:pPr>
      <w:r>
        <w:rPr/>
        <w:t>5</w:t>
      </w:r>
      <w:r>
        <w:rPr>
          <w:rtl w:val="true"/>
        </w:rPr>
        <w:t>.</w:t>
        <w:tab/>
      </w:r>
      <w:r>
        <w:rPr>
          <w:rtl w:val="true"/>
        </w:rPr>
        <w:t>ערעורו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tl w:val="true"/>
        </w:rPr>
        <w:t xml:space="preserve">, </w:t>
      </w:r>
      <w:r>
        <w:rPr>
          <w:rtl w:val="true"/>
        </w:rPr>
        <w:t>כאמור</w:t>
      </w:r>
      <w:r>
        <w:rPr>
          <w:rtl w:val="true"/>
        </w:rPr>
        <w:t xml:space="preserve">, </w:t>
      </w:r>
      <w:r>
        <w:rPr>
          <w:rtl w:val="true"/>
        </w:rPr>
        <w:t>הופנה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בתחילה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נגד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חומרת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tl w:val="true"/>
        </w:rPr>
        <w:t xml:space="preserve">, </w:t>
      </w:r>
      <w:r>
        <w:rPr>
          <w:rtl w:val="true"/>
        </w:rPr>
        <w:t>אולם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במהלך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הדיון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מערעורו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ההרשעה</w:t>
      </w:r>
      <w:r>
        <w:rPr>
          <w:rtl w:val="true"/>
        </w:rPr>
        <w:t xml:space="preserve">.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טוען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העונש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שהוטל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חמור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יתר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המידה</w:t>
      </w:r>
      <w:r>
        <w:rPr>
          <w:rtl w:val="true"/>
        </w:rPr>
        <w:t xml:space="preserve">, </w:t>
      </w:r>
      <w:r>
        <w:rPr>
          <w:rtl w:val="true"/>
        </w:rPr>
        <w:t>ואיננו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הולם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ביצוע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העבירה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נסיבותיו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האישיות</w:t>
      </w:r>
      <w:r>
        <w:rPr>
          <w:rtl w:val="true"/>
        </w:rPr>
        <w:t xml:space="preserve">. </w:t>
      </w:r>
      <w:r>
        <w:rPr>
          <w:rtl w:val="true"/>
        </w:rPr>
        <w:t>לטענתו</w:t>
      </w:r>
      <w:r>
        <w:rPr>
          <w:rtl w:val="true"/>
        </w:rPr>
        <w:t xml:space="preserve">, </w:t>
      </w:r>
      <w:r>
        <w:rPr>
          <w:rtl w:val="true"/>
        </w:rPr>
        <w:t>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להתחשב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בכך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למשפחה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מרובת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ילדים</w:t>
      </w:r>
      <w:r>
        <w:rPr>
          <w:rtl w:val="true"/>
        </w:rPr>
        <w:t xml:space="preserve">; </w:t>
      </w:r>
      <w:r>
        <w:rPr>
          <w:rtl w:val="true"/>
        </w:rPr>
        <w:t>אדם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מבוגר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הסובל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ממחלות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רפואיות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שונות</w:t>
      </w:r>
      <w:r>
        <w:rPr>
          <w:rtl w:val="true"/>
        </w:rPr>
        <w:t xml:space="preserve">, </w:t>
      </w:r>
      <w:r>
        <w:rPr>
          <w:rtl w:val="true"/>
        </w:rPr>
        <w:t>בהן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הוא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יכול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לטפל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עקב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מעצרו</w:t>
      </w:r>
      <w:r>
        <w:rPr>
          <w:rtl w:val="true"/>
        </w:rPr>
        <w:t xml:space="preserve">; </w:t>
      </w:r>
      <w:r>
        <w:rPr>
          <w:rtl w:val="true"/>
        </w:rPr>
        <w:t>הרשעותיו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ישנות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ואינן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כוללות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אלימות</w:t>
      </w:r>
      <w:r>
        <w:rPr>
          <w:rtl w:val="true"/>
        </w:rPr>
        <w:t xml:space="preserve">; </w:t>
      </w:r>
      <w:r>
        <w:rPr>
          <w:rtl w:val="true"/>
        </w:rPr>
        <w:t>האקדח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שנתפס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ברשותו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ישן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וללא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תחמושת</w:t>
      </w:r>
      <w:r>
        <w:rPr>
          <w:rtl w:val="true"/>
        </w:rPr>
        <w:t xml:space="preserve">; </w:t>
      </w:r>
      <w:r>
        <w:rPr>
          <w:rtl w:val="true"/>
        </w:rPr>
        <w:t>ויש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סכנה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לחייו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עקב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מאסרו</w:t>
      </w:r>
      <w:r>
        <w:rPr>
          <w:rtl w:val="true"/>
        </w:rPr>
        <w:t xml:space="preserve">. </w:t>
      </w:r>
      <w:r>
        <w:rPr>
          <w:rtl w:val="true"/>
        </w:rPr>
        <w:t>בא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כוח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המערער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ניסה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לפרק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האירוע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לעבירות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השונות</w:t>
      </w:r>
      <w:r>
        <w:rPr>
          <w:rtl w:val="true"/>
        </w:rPr>
        <w:t xml:space="preserve">, </w:t>
      </w:r>
      <w:r>
        <w:rPr>
          <w:rtl w:val="true"/>
        </w:rPr>
        <w:t>והציג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פסקי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בהן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ההרשעה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בנפרד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בעבירת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החזקת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נשק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או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בתקיפת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שוטר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/>
        <w:t>6</w:t>
      </w:r>
      <w:r>
        <w:rPr>
          <w:rtl w:val="true"/>
        </w:rPr>
        <w:t>.</w:t>
        <w:tab/>
      </w:r>
      <w:r>
        <w:rPr>
          <w:rtl w:val="true"/>
        </w:rPr>
        <w:t>המדינה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תומכת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בגזר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דינו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של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בית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המשפט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המחוזי</w:t>
      </w:r>
      <w:r>
        <w:rPr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>
          <w:rFonts w:cs="Miriam"/>
        </w:rPr>
      </w:pP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דיון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  <w:r>
        <w:rPr>
          <w:rFonts w:ascii="Times New Roman" w:hAnsi="Times New Roman" w:cs="Miriam"/>
          <w:spacing w:val="0"/>
          <w:sz w:val="28"/>
          <w:sz w:val="28"/>
          <w:szCs w:val="24"/>
          <w:rtl w:val="true"/>
        </w:rPr>
        <w:t>והכרעה</w:t>
      </w:r>
      <w:r>
        <w:rPr>
          <w:rFonts w:ascii="Times New Roman" w:hAnsi="Times New Roman" w:cs="Times New Roman"/>
          <w:spacing w:val="0"/>
          <w:sz w:val="28"/>
          <w:sz w:val="28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>
          <w:rFonts w:ascii="Times New Roman" w:hAnsi="Times New Roman" w:cs="Miriam"/>
          <w:spacing w:val="0"/>
          <w:sz w:val="28"/>
          <w:szCs w:val="24"/>
        </w:rPr>
      </w:pPr>
      <w:r>
        <w:rPr>
          <w:rFonts w:cs="Miriam" w:ascii="Times New Roman" w:hAnsi="Times New Roman"/>
          <w:spacing w:val="0"/>
          <w:sz w:val="28"/>
          <w:szCs w:val="24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לא ראינו מקום להיעתר לערעור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לא ניתן לפרק את מרכיבי האירוע לעבירות נפרדות שאין ביניהן כביכול קשר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בית המשפט המחוזי ציין בגזר הדין ובצדק כי התנהגות המערער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שתקף את השוטר וגם שלף את הנשק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ממחישה עד כמה היה סיכון ממשי בהחזקת הנשק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בית המשפט הביא עם זאת בחשבון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שבפועל לא נגרם נזק פיזי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ועוד הביא בחשבון את מצבו הבריאותי של המערער ואת מצבו הכלכלי</w:t>
      </w:r>
      <w:r>
        <w:rPr>
          <w:rFonts w:cs="Times New Roman" w:ascii="Times New Roman" w:hAnsi="Times New Roman"/>
          <w:rtl w:val="true"/>
        </w:rPr>
        <w:t xml:space="preserve">. </w:t>
      </w:r>
      <w:r>
        <w:rPr>
          <w:rFonts w:ascii="Times New Roman" w:hAnsi="Times New Roman" w:cs="Times New Roman"/>
          <w:rtl w:val="true"/>
        </w:rPr>
        <w:t>העונש אמנם אינו קל</w:t>
      </w:r>
      <w:r>
        <w:rPr>
          <w:rFonts w:cs="Times New Roman" w:ascii="Times New Roman" w:hAnsi="Times New Roman"/>
          <w:rtl w:val="true"/>
        </w:rPr>
        <w:t xml:space="preserve">, </w:t>
      </w:r>
      <w:r>
        <w:rPr>
          <w:rFonts w:ascii="Times New Roman" w:hAnsi="Times New Roman" w:cs="Times New Roman"/>
          <w:rtl w:val="true"/>
        </w:rPr>
        <w:t>אך הוא גם אינו חמור במידה המצדיקה התערבות בו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</w:t>
      </w:r>
      <w:r>
        <w:rPr>
          <w:rFonts w:cs="Times New Roman" w:ascii="Times New Roman" w:hAnsi="Times New Roman"/>
          <w:rtl w:val="true"/>
        </w:rPr>
        <w:t>.</w:t>
        <w:tab/>
      </w:r>
      <w:r>
        <w:rPr>
          <w:rFonts w:ascii="Times New Roman" w:hAnsi="Times New Roman" w:cs="Times New Roman"/>
          <w:rtl w:val="true"/>
        </w:rPr>
        <w:t>הערעור נדחה</w:t>
      </w:r>
      <w:r>
        <w:rPr>
          <w:rFonts w:cs="Times New Roman" w:ascii="Times New Roman" w:hAnsi="Times New Roman"/>
          <w:rtl w:val="true"/>
        </w:rPr>
        <w:t xml:space="preserve">. </w:t>
      </w:r>
    </w:p>
    <w:p>
      <w:pPr>
        <w:pStyle w:val="Ruller41"/>
        <w:ind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rtl w:val="true"/>
        </w:rPr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ניתן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היום</w:t>
      </w:r>
      <w:r>
        <w:rPr>
          <w:rtl w:val="true"/>
        </w:rPr>
        <w:t xml:space="preserve">,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תמוז</w:t>
      </w:r>
      <w:r>
        <w:rPr>
          <w:rtl w:val="true"/>
        </w:rPr>
        <w:t xml:space="preserve">, </w:t>
      </w:r>
      <w:r>
        <w:rPr>
          <w:rtl w:val="true"/>
        </w:rPr>
        <w:t>תשע</w:t>
      </w:r>
      <w:r>
        <w:rPr>
          <w:rtl w:val="true"/>
        </w:rPr>
        <w:t>"</w:t>
      </w:r>
      <w:r>
        <w:rPr>
          <w:rtl w:val="true"/>
        </w:rPr>
        <w:t>ב</w:t>
      </w:r>
      <w:r>
        <w:rPr>
          <w:rFonts w:eastAsia="Arial TUR;Arial" w:cs="Arial TUR;Arial"/>
          <w:rtl w:val="true"/>
        </w:rPr>
        <w:t xml:space="preserve"> </w:t>
      </w:r>
      <w:r>
        <w:rPr>
          <w:rtl w:val="true"/>
        </w:rPr>
        <w:t>(</w:t>
      </w:r>
      <w:r>
        <w:rPr/>
        <w:t>1.7.2012</w:t>
      </w:r>
      <w:r>
        <w:rPr>
          <w:rtl w:val="true"/>
        </w:rPr>
        <w:t xml:space="preserve">). 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  <w:rtl w:val="true"/>
        </w:rPr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color w:val="FFFFFF"/>
          <w:sz w:val="2"/>
          <w:szCs w:val="2"/>
        </w:rPr>
        <w:t>5129371</w:t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 w:val="2"/>
          <w:szCs w:val="22"/>
        </w:rPr>
      </w:pPr>
      <w:r>
        <w:rPr>
          <w:rFonts w:cs="David" w:ascii="David" w:hAnsi="David"/>
          <w:color w:val="000000"/>
          <w:sz w:val="2"/>
          <w:szCs w:val="22"/>
          <w:rtl w:val="true"/>
        </w:rPr>
      </w:r>
    </w:p>
    <w:p>
      <w:pPr>
        <w:pStyle w:val="Ruller41"/>
        <w:keepNext w:val="true"/>
        <w:ind w:end="0"/>
        <w:jc w:val="start"/>
        <w:rPr>
          <w:rFonts w:ascii="David" w:hAnsi="David" w:cs="David"/>
          <w:color w:val="000000"/>
          <w:szCs w:val="22"/>
        </w:rPr>
      </w:pPr>
      <w:r>
        <w:rPr>
          <w:rFonts w:ascii="David" w:hAnsi="David" w:cs="David"/>
          <w:color w:val="000000"/>
          <w:szCs w:val="22"/>
          <w:rtl w:val="true"/>
        </w:rPr>
        <w:t>י</w:t>
      </w:r>
      <w:r>
        <w:rPr>
          <w:rFonts w:cs="David" w:ascii="David" w:hAnsi="David"/>
          <w:color w:val="000000"/>
          <w:szCs w:val="22"/>
          <w:rtl w:val="true"/>
        </w:rPr>
        <w:t xml:space="preserve">' </w:t>
      </w:r>
      <w:r>
        <w:rPr>
          <w:rFonts w:ascii="David" w:hAnsi="David" w:cs="David"/>
          <w:color w:val="000000"/>
          <w:szCs w:val="22"/>
          <w:rtl w:val="true"/>
        </w:rPr>
        <w:t xml:space="preserve">דנציגר </w:t>
      </w:r>
      <w:r>
        <w:rPr>
          <w:rFonts w:cs="David" w:ascii="David" w:hAnsi="David"/>
          <w:color w:val="000000"/>
          <w:szCs w:val="22"/>
        </w:rPr>
        <w:t>54678313-4435/11</w:t>
      </w:r>
    </w:p>
    <w:p>
      <w:pPr>
        <w:pStyle w:val="Ruller41"/>
        <w:ind w:end="0"/>
        <w:jc w:val="both"/>
        <w:rPr/>
      </w:pPr>
      <w:r>
        <w:rPr>
          <w:color w:val="FFFFFF"/>
          <w:sz w:val="2"/>
          <w:szCs w:val="2"/>
        </w:rPr>
        <w:t>54678313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0"/>
        <w:gridCol w:w="2841"/>
        <w:gridCol w:w="2841"/>
      </w:tblGrid>
      <w:tr>
        <w:trPr/>
        <w:tc>
          <w:tcPr>
            <w:tcW w:w="2840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tl w:val="true"/>
              </w:rPr>
              <w:t>המשנָה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לנשיא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center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  <w:tc>
          <w:tcPr>
            <w:tcW w:w="2841" w:type="dxa"/>
            <w:tcBorders/>
          </w:tcPr>
          <w:p>
            <w:pPr>
              <w:pStyle w:val="Ruller41"/>
              <w:ind w:end="0"/>
              <w:jc w:val="end"/>
              <w:rPr/>
            </w:pPr>
            <w:r>
              <w:rPr>
                <w:rtl w:val="true"/>
              </w:rPr>
              <w:t>ש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ו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פ</w:t>
            </w:r>
            <w:r>
              <w:rPr>
                <w:rFonts w:eastAsia="Arial TUR;Arial" w:cs="Arial TUR;Arial"/>
                <w:rtl w:val="true"/>
              </w:rPr>
              <w:t xml:space="preserve"> </w:t>
            </w:r>
            <w:r>
              <w:rPr>
                <w:rtl w:val="true"/>
              </w:rPr>
              <w:t>ט</w:t>
            </w:r>
          </w:p>
        </w:tc>
      </w:tr>
    </w:tbl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Ruller41"/>
        <w:ind w:end="0"/>
        <w:jc w:val="both"/>
        <w:rPr/>
      </w:pPr>
      <w:r>
        <w:rPr>
          <w:rtl w:val="true"/>
        </w:rPr>
      </w:r>
    </w:p>
    <w:p>
      <w:pPr>
        <w:pStyle w:val="Normal"/>
        <w:ind w:end="0"/>
        <w:jc w:val="start"/>
        <w:rPr>
          <w:szCs w:val="16"/>
        </w:rPr>
      </w:pPr>
      <w:r>
        <w:rPr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tl w:val="true"/>
        </w:rPr>
        <w:t>העותק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כפוף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לשינויי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עריכה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וניסוח</w:t>
      </w:r>
      <w:r>
        <w:rPr>
          <w:rtl w:val="true"/>
        </w:rPr>
        <w:t>.</w:t>
      </w:r>
      <w:r>
        <w:rPr>
          <w:sz w:val="16"/>
          <w:rtl w:val="true"/>
        </w:rPr>
        <w:t xml:space="preserve"> </w:t>
      </w:r>
      <w:r>
        <w:rPr>
          <w:sz w:val="16"/>
          <w:rtl w:val="true"/>
        </w:rPr>
        <w:t xml:space="preserve">  </w:t>
      </w:r>
      <w:bookmarkStart w:id="21" w:name="FileName"/>
      <w:r>
        <w:rPr>
          <w:sz w:val="16"/>
        </w:rPr>
        <w:t>11044350</w:t>
      </w:r>
      <w:r>
        <w:rPr>
          <w:sz w:val="16"/>
          <w:rtl w:val="true"/>
        </w:rPr>
        <w:t>_</w:t>
      </w:r>
      <w:r>
        <w:rPr>
          <w:sz w:val="16"/>
        </w:rPr>
        <w:t>C02.doc</w:t>
      </w:r>
      <w:r>
        <w:rPr>
          <w:sz w:val="16"/>
          <w:rtl w:val="true"/>
        </w:rPr>
        <w:t xml:space="preserve">   </w:t>
      </w:r>
      <w:bookmarkEnd w:id="21"/>
      <w:r>
        <w:rPr>
          <w:sz w:val="16"/>
          <w:sz w:val="16"/>
          <w:rtl w:val="true"/>
        </w:rPr>
        <w:t>עע</w:t>
      </w:r>
    </w:p>
    <w:p>
      <w:pPr>
        <w:pStyle w:val="Ruller381"/>
        <w:ind w:end="0"/>
        <w:jc w:val="start"/>
        <w:rPr/>
      </w:pPr>
      <w:r>
        <w:rPr>
          <w:rtl w:val="true"/>
        </w:rPr>
        <w:t>מרכז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מידע</w:t>
      </w:r>
      <w:r>
        <w:rPr>
          <w:rtl w:val="true"/>
        </w:rPr>
        <w:t xml:space="preserve">, </w:t>
      </w:r>
      <w:r>
        <w:rPr>
          <w:rtl w:val="true"/>
        </w:rPr>
        <w:t>טל</w:t>
      </w:r>
      <w:r>
        <w:rPr>
          <w:rtl w:val="true"/>
        </w:rPr>
        <w:t xml:space="preserve">' </w:t>
      </w:r>
      <w:r>
        <w:rPr/>
        <w:t>077-2703333</w:t>
      </w:r>
      <w:r>
        <w:rPr>
          <w:rtl w:val="true"/>
        </w:rPr>
        <w:t xml:space="preserve"> ; </w:t>
      </w:r>
      <w:r>
        <w:rPr>
          <w:rtl w:val="true"/>
        </w:rPr>
        <w:t>אתר</w:t>
      </w:r>
      <w:r>
        <w:rPr>
          <w:rFonts w:cs="Times New Roman"/>
          <w:rtl w:val="true"/>
        </w:rPr>
        <w:t xml:space="preserve"> </w:t>
      </w:r>
      <w:r>
        <w:rPr>
          <w:rtl w:val="true"/>
        </w:rPr>
        <w:t>אינטרנט</w:t>
      </w:r>
      <w:r>
        <w:rPr>
          <w:rtl w:val="true"/>
        </w:rPr>
        <w:t xml:space="preserve">,  </w:t>
      </w:r>
      <w:hyperlink r:id="rId14">
        <w:r>
          <w:rPr>
            <w:rStyle w:val="Hyperlink"/>
            <w:sz w:val="16"/>
          </w:rPr>
          <w:t>www.court.gov.il</w:t>
        </w:r>
      </w:hyperlink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מסמך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זה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כפוף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לשינויי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ניסוח</w:t>
      </w:r>
      <w:r>
        <w:rPr>
          <w:rFonts w:cs="Times New Roman"/>
          <w:color w:val="000000"/>
          <w:rtl w:val="true"/>
        </w:rPr>
        <w:t xml:space="preserve"> </w:t>
      </w:r>
      <w:r>
        <w:rPr>
          <w:color w:val="000000"/>
          <w:rtl w:val="true"/>
        </w:rPr>
        <w:t>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hyperlink r:id="rId15">
        <w:r>
          <w:rPr>
            <w:rStyle w:val="Hyperlink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rFonts w:cs="Times New Roman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color w:val="0000FF"/>
          <w:szCs w:val="24"/>
          <w:u w:val="single"/>
        </w:rPr>
      </w:pPr>
      <w:r>
        <w:rPr>
          <w:color w:val="0000FF"/>
          <w:szCs w:val="24"/>
          <w:u w:val="single"/>
          <w:rtl w:val="true"/>
        </w:rPr>
      </w:r>
    </w:p>
    <w:sectPr>
      <w:headerReference w:type="default" r:id="rId16"/>
      <w:footerReference w:type="default" r:id="rId17"/>
      <w:type w:val="nextPage"/>
      <w:pgSz w:w="11906" w:h="16838"/>
      <w:pgMar w:left="1800" w:right="1800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FrankRuehl">
    <w:charset w:val="b1" w:characterSet="windows-1255"/>
    <w:family w:val="swiss"/>
    <w:pitch w:val="variable"/>
  </w:font>
  <w:font w:name="David"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</w:rPr>
    </w:pPr>
    <w:r>
      <w:rPr>
        <w:rFonts w:cs="FrankRuehl" w:ascii="FrankRuehl" w:hAnsi="FrankRuehl"/>
        <w:sz w:val="24"/>
        <w:rtl w:val="true"/>
      </w:rPr>
      <w:fldChar w:fldCharType="begin"/>
    </w:r>
    <w:r>
      <w:rPr>
        <w:rtl w:val="true"/>
        <w:sz w:val="24"/>
        <w:rFonts w:cs="FrankRuehl" w:ascii="FrankRuehl" w:hAnsi="FrankRuehl"/>
      </w:rPr>
      <w:instrText xml:space="preserve"> PAGE </w:instrText>
    </w:r>
    <w:r>
      <w:rPr>
        <w:rtl w:val="true"/>
        <w:sz w:val="24"/>
        <w:rFonts w:cs="FrankRuehl" w:ascii="FrankRuehl" w:hAnsi="FrankRuehl"/>
      </w:rPr>
      <w:fldChar w:fldCharType="separate"/>
    </w:r>
    <w:r>
      <w:rPr>
        <w:rtl w:val="true"/>
        <w:sz w:val="24"/>
        <w:rFonts w:cs="FrankRuehl" w:ascii="FrankRuehl" w:hAnsi="FrankRuehl"/>
      </w:rPr>
      <w:t>5</w:t>
    </w:r>
    <w:r>
      <w:rPr>
        <w:rtl w:val="true"/>
        <w:sz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</w:rPr>
    </w:pPr>
    <w:r>
      <w:rPr>
        <w:rFonts w:cs="FrankRuehl" w:ascii="FrankRuehl" w:hAnsi="FrankRuehl"/>
        <w:color w:val="000000"/>
        <w:sz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4153"/>
        <w:tab w:val="clear" w:pos="8306"/>
        <w:tab w:val="right" w:pos="8311" w:leader="none"/>
      </w:tabs>
      <w:spacing w:lineRule="exact" w:line="220"/>
      <w:ind w:end="0"/>
      <w:jc w:val="start"/>
      <w:rPr>
        <w:rFonts w:ascii="David" w:hAnsi="David" w:cs="David"/>
        <w:color w:val="000000"/>
        <w:sz w:val="22"/>
        <w:szCs w:val="22"/>
      </w:rPr>
    </w:pPr>
    <w:r>
      <w:rPr>
        <w:rFonts w:ascii="David" w:hAnsi="David"/>
        <w:color w:val="000000"/>
        <w:sz w:val="22"/>
        <w:sz w:val="22"/>
        <w:szCs w:val="22"/>
        <w:rtl w:val="true"/>
      </w:rPr>
      <w:t xml:space="preserve">עפ </w:t>
    </w:r>
    <w:r>
      <w:rPr>
        <w:rFonts w:cs="David" w:ascii="David" w:hAnsi="David"/>
        <w:color w:val="000000"/>
        <w:sz w:val="22"/>
        <w:szCs w:val="22"/>
      </w:rPr>
      <w:t>4435/11</w:t>
    </w:r>
    <w:r>
      <w:rPr>
        <w:rFonts w:cs="David" w:ascii="David" w:hAnsi="David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" w:hAnsi="David"/>
        <w:color w:val="000000"/>
        <w:sz w:val="22"/>
        <w:sz w:val="22"/>
        <w:szCs w:val="22"/>
        <w:rtl w:val="true"/>
      </w:rPr>
      <w:t>מחמוד מרזוק נ</w:t>
    </w:r>
    <w:r>
      <w:rPr>
        <w:rFonts w:cs="David" w:ascii="David" w:hAnsi="David"/>
        <w:color w:val="000000"/>
        <w:sz w:val="22"/>
        <w:szCs w:val="22"/>
        <w:rtl w:val="true"/>
      </w:rPr>
      <w:t xml:space="preserve">' </w:t>
    </w:r>
    <w:r>
      <w:rPr>
        <w:rFonts w:ascii="David" w:hAnsi="David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doNotExpandShiftReturn/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David"/>
      <w:color w:val="auto"/>
      <w:sz w:val="20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Ruller4">
    <w:name w:val="Ruller4 תו"/>
    <w:qFormat/>
    <w:rPr>
      <w:rFonts w:ascii="Arial TUR;Arial" w:hAnsi="Arial TUR;Arial" w:cs="FrankRuehl"/>
      <w:spacing w:val="10"/>
      <w:sz w:val="22"/>
      <w:szCs w:val="28"/>
      <w:lang w:val="en-US" w:bidi="he-IL"/>
    </w:rPr>
  </w:style>
  <w:style w:type="character" w:styleId="Delete">
    <w:name w:val="Delete"/>
    <w:qFormat/>
    <w:rPr>
      <w:strike/>
    </w:rPr>
  </w:style>
  <w:style w:type="character" w:styleId="Hand">
    <w:name w:val="Hand"/>
    <w:qFormat/>
    <w:rPr>
      <w:rFonts w:cs="Guttman Yad"/>
    </w:rPr>
  </w:style>
  <w:style w:type="character" w:styleId="Ruller3">
    <w:name w:val="Ruller 3 תו"/>
    <w:qFormat/>
    <w:rPr>
      <w:rFonts w:cs="FrankRuehl"/>
      <w:sz w:val="22"/>
      <w:szCs w:val="28"/>
      <w:lang w:val="en-US" w:bidi="he-IL"/>
    </w:rPr>
  </w:style>
  <w:style w:type="character" w:styleId="BodyRuller">
    <w:name w:val="Body Ruller תו"/>
    <w:qFormat/>
    <w:rPr>
      <w:rFonts w:cs="David"/>
      <w:sz w:val="22"/>
      <w:szCs w:val="28"/>
      <w:lang w:val="en-US" w:bidi="he-IL"/>
    </w:rPr>
  </w:style>
  <w:style w:type="character" w:styleId="Ruller38">
    <w:name w:val="סגנון Ruller 3 + (מורכב) ‏8 נק תו"/>
    <w:qFormat/>
    <w:rPr>
      <w:rFonts w:cs="David"/>
      <w:sz w:val="22"/>
      <w:szCs w:val="16"/>
      <w:lang w:val="en-US" w:bidi="he-IL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Ruller31">
    <w:name w:val="Ruller 3"/>
    <w:basedOn w:val="Normal"/>
    <w:qFormat/>
    <w:pPr>
      <w:tabs>
        <w:tab w:val="clear" w:pos="720"/>
        <w:tab w:val="left" w:pos="3210" w:leader="none"/>
        <w:tab w:val="left" w:pos="6753" w:leader="none"/>
      </w:tabs>
      <w:spacing w:lineRule="auto" w:line="360"/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>
      <w:bCs/>
    </w:rPr>
  </w:style>
  <w:style w:type="paragraph" w:styleId="FirstpagestylePsakdin">
    <w:name w:val="First page style Psak din"/>
    <w:basedOn w:val="Ruller31"/>
    <w:qFormat/>
    <w:pPr>
      <w:tabs>
        <w:tab w:val="clear" w:pos="3210"/>
        <w:tab w:val="left" w:pos="3209" w:leader="none"/>
        <w:tab w:val="left" w:pos="6753" w:leader="none"/>
      </w:tabs>
      <w:ind w:hanging="0" w:start="0" w:end="0"/>
      <w:jc w:val="start"/>
    </w:pPr>
    <w:rPr>
      <w:bCs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bCs/>
      <w:spacing w:val="30"/>
      <w:szCs w:val="28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tabs>
        <w:tab w:val="clear" w:pos="720"/>
        <w:tab w:val="left" w:pos="800" w:leader="none"/>
      </w:tabs>
      <w:spacing w:lineRule="auto" w:line="360"/>
      <w:ind w:hanging="0" w:start="0" w:end="0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FrankRuehl"/>
      <w:spacing w:val="10"/>
      <w:sz w:val="22"/>
      <w:szCs w:val="28"/>
    </w:rPr>
  </w:style>
  <w:style w:type="paragraph" w:styleId="Ruller6">
    <w:name w:val="Ruller6"/>
    <w:basedOn w:val="Normal"/>
    <w:qFormat/>
    <w:pPr>
      <w:tabs>
        <w:tab w:val="clear" w:pos="720"/>
        <w:tab w:val="left" w:pos="794" w:leader="none"/>
        <w:tab w:val="left" w:pos="2268" w:leader="none"/>
        <w:tab w:val="left" w:pos="5783" w:leader="none"/>
        <w:tab w:val="left" w:pos="7371" w:leader="none"/>
      </w:tabs>
      <w:ind w:hanging="0" w:start="0" w:end="0"/>
      <w:jc w:val="start"/>
    </w:pPr>
    <w:rPr>
      <w:rFonts w:ascii="Arial TUR;Arial" w:hAnsi="Arial TUR;Arial" w:cs="DavidFix"/>
      <w:spacing w:val="10"/>
      <w:sz w:val="22"/>
      <w:szCs w:val="20"/>
    </w:rPr>
  </w:style>
  <w:style w:type="paragraph" w:styleId="WriterName">
    <w:name w:val="Writer Name"/>
    <w:basedOn w:val="Ruller41"/>
    <w:next w:val="Ruller41"/>
    <w:qFormat/>
    <w:pPr>
      <w:ind w:hanging="0" w:start="0" w:end="0"/>
      <w:jc w:val="both"/>
    </w:pPr>
    <w:rPr>
      <w:rFonts w:cs="David"/>
      <w:b/>
      <w:bCs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>
      <w:rFonts w:cs="Times New Roman"/>
    </w:rPr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rFonts w:cs="Times New Roman"/>
      <w:b/>
      <w:bCs/>
      <w:u w:val="single"/>
    </w:rPr>
  </w:style>
  <w:style w:type="paragraph" w:styleId="precasestyle">
    <w:name w:val="pre_case style"/>
    <w:basedOn w:val="Normal"/>
    <w:qFormat/>
    <w:pPr>
      <w:tabs>
        <w:tab w:val="clear" w:pos="720"/>
        <w:tab w:val="left" w:pos="2552" w:leader="none"/>
      </w:tabs>
      <w:overflowPunct w:val="true"/>
      <w:ind w:hanging="0" w:start="0" w:end="2549"/>
      <w:jc w:val="start"/>
    </w:pPr>
    <w:rPr>
      <w:rFonts w:cs="Times New Roman"/>
    </w:rPr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8"/>
    </w:rPr>
  </w:style>
  <w:style w:type="paragraph" w:styleId="Ruller381">
    <w:name w:val="סגנון Ruller 3 + (מורכב) ‏8 נק"/>
    <w:basedOn w:val="BodyRuller1"/>
    <w:qFormat/>
    <w:pPr>
      <w:ind w:hanging="0" w:start="0" w:end="0"/>
      <w:jc w:val="start"/>
    </w:pPr>
    <w:rPr>
      <w:szCs w:val="16"/>
    </w:rPr>
  </w:style>
  <w:style w:type="paragraph" w:styleId="FileNumber1">
    <w:name w:val="סגנון File Number + ימין"/>
    <w:basedOn w:val="FileNumber"/>
    <w:qFormat/>
    <w:pPr>
      <w:ind w:hanging="0" w:start="0" w:end="0"/>
      <w:jc w:val="start"/>
    </w:pPr>
    <w:rPr>
      <w:szCs w:val="28"/>
    </w:rPr>
  </w:style>
  <w:style w:type="paragraph" w:styleId="BODYVERDICT">
    <w:name w:val="BODY VERDICT"/>
    <w:basedOn w:val="Normal"/>
    <w:qFormat/>
    <w:pPr>
      <w:ind w:hanging="0" w:start="0" w:end="0"/>
      <w:jc w:val="start"/>
    </w:pPr>
    <w:rPr>
      <w:rFonts w:cs="FrankRuehl"/>
      <w:spacing w:val="10"/>
      <w:sz w:val="22"/>
      <w:szCs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5810378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144.a" TargetMode="External"/><Relationship Id="rId5" Type="http://schemas.openxmlformats.org/officeDocument/2006/relationships/hyperlink" Target="http://www.nevo.co.il/law/70301/144.b" TargetMode="External"/><Relationship Id="rId6" Type="http://schemas.openxmlformats.org/officeDocument/2006/relationships/hyperlink" Target="http://www.nevo.co.il/law/70301/274.2" TargetMode="External"/><Relationship Id="rId7" Type="http://schemas.openxmlformats.org/officeDocument/2006/relationships/hyperlink" Target="http://www.nevo.co.il/law/70301/275" TargetMode="External"/><Relationship Id="rId8" Type="http://schemas.openxmlformats.org/officeDocument/2006/relationships/hyperlink" Target="http://www.nevo.co.il/case/5810378" TargetMode="External"/><Relationship Id="rId9" Type="http://schemas.openxmlformats.org/officeDocument/2006/relationships/hyperlink" Target="http://www.nevo.co.il/law/70301/144.a" TargetMode="External"/><Relationship Id="rId10" Type="http://schemas.openxmlformats.org/officeDocument/2006/relationships/hyperlink" Target="http://www.nevo.co.il/law/70301" TargetMode="External"/><Relationship Id="rId11" Type="http://schemas.openxmlformats.org/officeDocument/2006/relationships/hyperlink" Target="http://www.nevo.co.il/law/70301/144.b" TargetMode="External"/><Relationship Id="rId12" Type="http://schemas.openxmlformats.org/officeDocument/2006/relationships/hyperlink" Target="http://www.nevo.co.il/law/70301/275" TargetMode="External"/><Relationship Id="rId13" Type="http://schemas.openxmlformats.org/officeDocument/2006/relationships/hyperlink" Target="http://www.nevo.co.il/law/70301/274.2" TargetMode="External"/><Relationship Id="rId14" Type="http://schemas.openxmlformats.org/officeDocument/2006/relationships/hyperlink" Target="http://www.court.gov.il/" TargetMode="External"/><Relationship Id="rId15" Type="http://schemas.openxmlformats.org/officeDocument/2006/relationships/hyperlink" Target="http://www.nevo.co.il/advertisements/nevo-100.doc" TargetMode="External"/><Relationship Id="rId16" Type="http://schemas.openxmlformats.org/officeDocument/2006/relationships/header" Target="header1.xml"/><Relationship Id="rId17" Type="http://schemas.openxmlformats.org/officeDocument/2006/relationships/footer" Target="footer1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11044350.C02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2015-08-17T13:47:00Z</dcterms:created>
  <dc:creator> </dc:creator>
  <dc:description/>
  <cp:keywords/>
  <dc:language>en-IL</dc:language>
  <cp:lastModifiedBy>hofit</cp:lastModifiedBy>
  <cp:lastPrinted>2012-07-01T10:48:00Z</cp:lastPrinted>
  <dcterms:modified xsi:type="dcterms:W3CDTF">2015-08-17T13:47:00Z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מחמוד מרזוק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5810378:2</vt:lpwstr>
  </property>
  <property fmtid="{D5CDD505-2E9C-101B-9397-08002B2CF9AE}" pid="9" name="CITY">
    <vt:lpwstr/>
  </property>
  <property fmtid="{D5CDD505-2E9C-101B-9397-08002B2CF9AE}" pid="10" name="DATE">
    <vt:lpwstr>20120701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י' דנציגר;א' שהם;מ' נאור</vt:lpwstr>
  </property>
  <property fmtid="{D5CDD505-2E9C-101B-9397-08002B2CF9AE}" pid="14" name="LAWLISTTMP1">
    <vt:lpwstr>70301/144.a;144.b;275;274.2</vt:lpwstr>
  </property>
  <property fmtid="{D5CDD505-2E9C-101B-9397-08002B2CF9AE}" pid="15" name="LAWYER">
    <vt:lpwstr>נעימה חינאוי;יוסף עמארנה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NEWPARTA">
    <vt:lpwstr/>
  </property>
  <property fmtid="{D5CDD505-2E9C-101B-9397-08002B2CF9AE}" pid="22" name="NEWPARTB">
    <vt:lpwstr/>
  </property>
  <property fmtid="{D5CDD505-2E9C-101B-9397-08002B2CF9AE}" pid="23" name="NEWPARTC">
    <vt:lpwstr/>
  </property>
  <property fmtid="{D5CDD505-2E9C-101B-9397-08002B2CF9AE}" pid="24" name="NEWPROC">
    <vt:lpwstr/>
  </property>
  <property fmtid="{D5CDD505-2E9C-101B-9397-08002B2CF9AE}" pid="25" name="PADIMAIL">
    <vt:lpwstr/>
  </property>
  <property fmtid="{D5CDD505-2E9C-101B-9397-08002B2CF9AE}" pid="26" name="PAGE">
    <vt:lpwstr/>
  </property>
  <property fmtid="{D5CDD505-2E9C-101B-9397-08002B2CF9AE}" pid="27" name="PART">
    <vt:lpwstr/>
  </property>
  <property fmtid="{D5CDD505-2E9C-101B-9397-08002B2CF9AE}" pid="28" name="PROCESS">
    <vt:lpwstr>עפ</vt:lpwstr>
  </property>
  <property fmtid="{D5CDD505-2E9C-101B-9397-08002B2CF9AE}" pid="29" name="PROCNUM">
    <vt:lpwstr>4435</vt:lpwstr>
  </property>
  <property fmtid="{D5CDD505-2E9C-101B-9397-08002B2CF9AE}" pid="30" name="PROCYEAR">
    <vt:lpwstr>11</vt:lpwstr>
  </property>
  <property fmtid="{D5CDD505-2E9C-101B-9397-08002B2CF9AE}" pid="31" name="PSAKDIN">
    <vt:lpwstr>פסק-דין</vt:lpwstr>
  </property>
  <property fmtid="{D5CDD505-2E9C-101B-9397-08002B2CF9AE}" pid="32" name="TYPE">
    <vt:lpwstr>1</vt:lpwstr>
  </property>
  <property fmtid="{D5CDD505-2E9C-101B-9397-08002B2CF9AE}" pid="33" name="TYPE_ABS_DATE">
    <vt:lpwstr>410020120701</vt:lpwstr>
  </property>
  <property fmtid="{D5CDD505-2E9C-101B-9397-08002B2CF9AE}" pid="34" name="TYPE_N_DATE">
    <vt:lpwstr>41020120701</vt:lpwstr>
  </property>
  <property fmtid="{D5CDD505-2E9C-101B-9397-08002B2CF9AE}" pid="35" name="VOLUME">
    <vt:lpwstr/>
  </property>
  <property fmtid="{D5CDD505-2E9C-101B-9397-08002B2CF9AE}" pid="36" name="WORDNUMPAGES">
    <vt:lpwstr>4</vt:lpwstr>
  </property>
</Properties>
</file>