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4460/11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נאור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חיות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הנדל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המערערת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אחמד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פאיד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בנצרת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Cs w:val="24"/>
                <w:rtl w:val="true"/>
              </w:rPr>
              <w:t>-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41997-06-10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4.5.2011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סגן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הנשיא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כתילי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בכסלו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bookmarkEnd w:id="5"/>
            <w:r>
              <w:rPr>
                <w:rFonts w:cs="Times New Roman"/>
                <w:rtl w:val="true"/>
              </w:rPr>
              <w:t xml:space="preserve"> 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6" w:name="xGDate"/>
            <w:r>
              <w:rPr>
                <w:rtl w:val="true"/>
              </w:rPr>
              <w:t>(</w:t>
            </w:r>
            <w:r>
              <w:rPr/>
              <w:t>28.11.2011</w:t>
            </w:r>
            <w:r>
              <w:rPr>
                <w:rtl w:val="true"/>
              </w:rPr>
              <w:t>)</w:t>
            </w:r>
            <w:bookmarkEnd w:id="6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המערערת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אפרת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גולדשטיין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FirstLawyer"/>
            <w:bookmarkEnd w:id="7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ראפי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מסאלחה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מבחן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למבוגרים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Fonts w:cs="Times New Roman"/>
          <w:sz w:val="24"/>
          <w:sz w:val="24"/>
          <w:rtl w:val="true"/>
        </w:rPr>
        <w:t>ערעור גזר דין</w:t>
      </w:r>
      <w:r>
        <w:rPr>
          <w:rFonts w:cs="Times New Roman"/>
          <w:sz w:val="24"/>
          <w:rtl w:val="true"/>
        </w:rPr>
        <w:t>,</w:t>
      </w:r>
      <w:hyperlink r:id="rId3"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>חוק העונשין</w:t>
        </w:r>
      </w:hyperlink>
      <w:r>
        <w:rPr>
          <w:rFonts w:cs="Times New Roman"/>
          <w:sz w:val="24"/>
          <w:sz w:val="24"/>
          <w:rtl w:val="true"/>
        </w:rPr>
        <w:t xml:space="preserve"> </w:t>
      </w:r>
      <w:r>
        <w:rPr>
          <w:rFonts w:cs="Times New Roman"/>
          <w:sz w:val="24"/>
        </w:rPr>
        <w:t>144</w:t>
      </w:r>
      <w:r>
        <w:rPr>
          <w:rFonts w:cs="Times New Roman"/>
          <w:sz w:val="24"/>
          <w:rtl w:val="true"/>
        </w:rPr>
        <w:t xml:space="preserve"> </w:t>
      </w:r>
      <w:r>
        <w:rPr>
          <w:rFonts w:cs="Times New Roman"/>
          <w:sz w:val="24"/>
          <w:sz w:val="24"/>
          <w:rtl w:val="true"/>
        </w:rPr>
        <w:t xml:space="preserve">עבירות בנשק </w:t>
      </w:r>
      <w:r>
        <w:rPr>
          <w:rFonts w:cs="Times New Roman"/>
          <w:sz w:val="24"/>
          <w:rtl w:val="true"/>
        </w:rPr>
        <w:t>(</w:t>
      </w:r>
      <w:r>
        <w:rPr>
          <w:rFonts w:cs="Times New Roman"/>
          <w:sz w:val="24"/>
          <w:sz w:val="24"/>
          <w:rtl w:val="true"/>
        </w:rPr>
        <w:t>א</w:t>
      </w:r>
      <w:r>
        <w:rPr>
          <w:rFonts w:cs="Times New Roman"/>
          <w:sz w:val="24"/>
          <w:rtl w:val="true"/>
        </w:rPr>
        <w:t>), (</w:t>
      </w:r>
      <w:r>
        <w:rPr>
          <w:rFonts w:cs="Times New Roman"/>
          <w:sz w:val="24"/>
          <w:sz w:val="24"/>
          <w:rtl w:val="true"/>
        </w:rPr>
        <w:t>ב</w:t>
      </w:r>
      <w:r>
        <w:rPr>
          <w:rFonts w:cs="Times New Roman"/>
          <w:sz w:val="24"/>
          <w:rtl w:val="true"/>
        </w:rPr>
        <w:t xml:space="preserve">), </w:t>
      </w:r>
      <w:r>
        <w:rPr>
          <w:rFonts w:cs="Times New Roman"/>
          <w:sz w:val="24"/>
        </w:rPr>
        <w:t>340</w:t>
      </w:r>
      <w:r>
        <w:rPr>
          <w:rFonts w:cs="Times New Roman"/>
          <w:sz w:val="24"/>
          <w:sz w:val="24"/>
          <w:rtl w:val="true"/>
        </w:rPr>
        <w:t>א יריות באזור מגורים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8" w:name="Links_Start"/>
      <w:bookmarkStart w:id="9" w:name="Links_Start"/>
      <w:bookmarkEnd w:id="9"/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30-12-2010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4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41997-06-10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אחמד פאיד </w:t>
        </w:r>
        <w:r>
          <w:rPr>
            <w:rStyle w:val="Hyperlink"/>
            <w:rFonts w:cs="FrankRuehl" w:ascii="FrankRuehl" w:hAnsi="FrankRuehl"/>
            <w:sz w:val="24"/>
            <w:rtl w:val="true"/>
          </w:rPr>
          <w:t>(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עציר</w:t>
        </w:r>
        <w:r>
          <w:rPr>
            <w:rStyle w:val="Hyperlink"/>
            <w:rFonts w:cs="FrankRuehl" w:ascii="FrankRuehl" w:hAnsi="FrankRuehl"/>
            <w:sz w:val="24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 </w:t>
      </w:r>
      <w:r>
        <w:rPr>
          <w:rFonts w:ascii="FrankRuehl" w:hAnsi="FrankRuehl" w:cs="FrankRuehl"/>
          <w:sz w:val="24"/>
          <w:sz w:val="24"/>
          <w:rtl w:val="true"/>
        </w:rPr>
        <w:t>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כבוד</w:t>
      </w:r>
      <w:r>
        <w:rPr>
          <w:rFonts w:cs="FrankRuehl" w:ascii="FrankRuehl" w:hAnsi="FrankRuehl"/>
          <w:sz w:val="24"/>
          <w:rtl w:val="true"/>
        </w:rPr>
        <w:t xml:space="preserve">, – </w:t>
      </w:r>
      <w:r>
        <w:rPr>
          <w:rFonts w:ascii="FrankRuehl" w:hAnsi="FrankRuehl" w:cs="FrankRuehl"/>
          <w:sz w:val="24"/>
          <w:sz w:val="24"/>
          <w:rtl w:val="true"/>
        </w:rPr>
        <w:t>תאופיק כתילי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עידית עמיר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רפי מסאלחה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25-01-2011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5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41997-06-10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אחמד פאיד </w:t>
        </w:r>
        <w:r>
          <w:rPr>
            <w:rStyle w:val="Hyperlink"/>
            <w:rFonts w:cs="FrankRuehl" w:ascii="FrankRuehl" w:hAnsi="FrankRuehl"/>
            <w:sz w:val="24"/>
            <w:rtl w:val="true"/>
          </w:rPr>
          <w:t>(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עציר</w:t>
        </w:r>
        <w:r>
          <w:rPr>
            <w:rStyle w:val="Hyperlink"/>
            <w:rFonts w:cs="FrankRuehl" w:ascii="FrankRuehl" w:hAnsi="FrankRuehl"/>
            <w:sz w:val="24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 </w:t>
      </w:r>
      <w:r>
        <w:rPr>
          <w:rFonts w:ascii="FrankRuehl" w:hAnsi="FrankRuehl" w:cs="FrankRuehl"/>
          <w:sz w:val="24"/>
          <w:sz w:val="24"/>
          <w:rtl w:val="true"/>
        </w:rPr>
        <w:t>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תאופיק כתילי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מסאלחה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עידית רייכרט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15-03-2011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6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41997-06-10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אחמד פאיד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תאופיק כתילי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עידית עמיר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רפי מסאלחה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15-03-2011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7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41997-06-10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אחמד פאיד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תאופיק כתילי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עידית עמיר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רפי מסאלחה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15-03-2011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8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41997-06-10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אחמד פאיד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תאופיק כתילי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עידית עמיר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רפי מסאלחה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>לגזר</w:t>
      </w:r>
      <w:r>
        <w:rPr>
          <w:rFonts w:cs="FrankRuehl" w:ascii="FrankRuehl" w:hAnsi="FrankRuehl"/>
          <w:sz w:val="24"/>
          <w:rtl w:val="true"/>
        </w:rPr>
        <w:t>-</w:t>
      </w:r>
      <w:r>
        <w:rPr>
          <w:rFonts w:ascii="FrankRuehl" w:hAnsi="FrankRuehl" w:cs="FrankRuehl"/>
          <w:sz w:val="24"/>
          <w:sz w:val="24"/>
          <w:rtl w:val="true"/>
        </w:rPr>
        <w:t xml:space="preserve">דין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04-05-2011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9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41997-06-10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אחמד פאיד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תאופיק כתילי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יעל כוכבי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ראפי מסאלחה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בעליון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24-11-2011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10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עפ </w:t>
        </w:r>
        <w:r>
          <w:rPr>
            <w:rStyle w:val="Hyperlink"/>
            <w:rFonts w:cs="FrankRuehl" w:ascii="FrankRuehl" w:hAnsi="FrankRuehl"/>
            <w:sz w:val="24"/>
          </w:rPr>
          <w:t>4460/11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אחמד פאיד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</w:t>
      </w:r>
      <w:r>
        <w:rPr>
          <w:rFonts w:cs="FrankRuehl" w:ascii="FrankRuehl" w:hAnsi="FrankRuehl"/>
          <w:sz w:val="24"/>
          <w:rtl w:val="true"/>
        </w:rPr>
        <w:t xml:space="preserve">' </w:t>
      </w:r>
      <w:r>
        <w:rPr>
          <w:rFonts w:ascii="FrankRuehl" w:hAnsi="FrankRuehl" w:cs="FrankRuehl"/>
          <w:sz w:val="24"/>
          <w:sz w:val="24"/>
          <w:rtl w:val="true"/>
        </w:rPr>
        <w:t>ג</w:t>
      </w:r>
      <w:r>
        <w:rPr>
          <w:rFonts w:cs="FrankRuehl" w:ascii="FrankRuehl" w:hAnsi="FrankRuehl"/>
          <w:sz w:val="24"/>
          <w:rtl w:val="true"/>
        </w:rPr>
        <w:t>'</w:t>
      </w:r>
      <w:r>
        <w:rPr>
          <w:rFonts w:ascii="FrankRuehl" w:hAnsi="FrankRuehl" w:cs="FrankRuehl"/>
          <w:sz w:val="24"/>
          <w:sz w:val="24"/>
          <w:rtl w:val="true"/>
        </w:rPr>
        <w:t>ובראן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ח</w:t>
      </w:r>
      <w:r>
        <w:rPr>
          <w:rFonts w:cs="FrankRuehl" w:ascii="FrankRuehl" w:hAnsi="FrankRuehl"/>
          <w:sz w:val="24"/>
          <w:rtl w:val="true"/>
        </w:rPr>
        <w:t xml:space="preserve">' </w:t>
      </w:r>
      <w:r>
        <w:rPr>
          <w:rFonts w:ascii="FrankRuehl" w:hAnsi="FrankRuehl" w:cs="FrankRuehl"/>
          <w:sz w:val="24"/>
          <w:sz w:val="24"/>
          <w:rtl w:val="true"/>
        </w:rPr>
        <w:t>מלצר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י</w:t>
      </w:r>
      <w:r>
        <w:rPr>
          <w:rFonts w:cs="FrankRuehl" w:ascii="FrankRuehl" w:hAnsi="FrankRuehl"/>
          <w:sz w:val="24"/>
          <w:rtl w:val="true"/>
        </w:rPr>
        <w:t xml:space="preserve">' </w:t>
      </w:r>
      <w:r>
        <w:rPr>
          <w:rFonts w:ascii="FrankRuehl" w:hAnsi="FrankRuehl" w:cs="FrankRuehl"/>
          <w:sz w:val="24"/>
          <w:sz w:val="24"/>
          <w:rtl w:val="true"/>
        </w:rPr>
        <w:t>עמית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ראפי מסאלחה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בקשה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מיום </w:t>
      </w:r>
      <w:r>
        <w:rPr>
          <w:rFonts w:cs="FrankRuehl" w:ascii="FrankRuehl" w:hAnsi="FrankRuehl"/>
          <w:sz w:val="24"/>
        </w:rPr>
        <w:t>2</w:t>
      </w:r>
      <w:r>
        <w:rPr>
          <w:rFonts w:cs="FrankRuehl" w:ascii="FrankRuehl" w:hAnsi="FrankRuehl"/>
          <w:sz w:val="24"/>
          <w:rtl w:val="true"/>
        </w:rPr>
        <w:t xml:space="preserve"> 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10" w:name="Links_End"/>
      <w:bookmarkStart w:id="11" w:name="Links_End"/>
      <w:bookmarkEnd w:id="11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12" w:name="LawTable"/>
      <w:bookmarkStart w:id="13" w:name="LawTable"/>
      <w:bookmarkEnd w:id="13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11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12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340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14" w:name="LawTable_End"/>
      <w:bookmarkStart w:id="15" w:name="LawTable_End"/>
      <w:bookmarkEnd w:id="15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16" w:name="Links_Start"/>
      <w:bookmarkStart w:id="17" w:name="Links_Start"/>
      <w:bookmarkEnd w:id="17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8" w:name="PsakDin"/>
            <w:bookmarkStart w:id="19" w:name="secretary"/>
            <w:bookmarkStart w:id="20" w:name="BeginProtocol"/>
            <w:bookmarkEnd w:id="18"/>
            <w:bookmarkEnd w:id="19"/>
            <w:bookmarkEnd w:id="20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</w:rPr>
      </w:pPr>
      <w:bookmarkStart w:id="21" w:name="Writer_Name"/>
      <w:bookmarkEnd w:id="21"/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מ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נאור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  <w:bookmarkStart w:id="22" w:name="Start_Write"/>
      <w:bookmarkStart w:id="23" w:name="Start_Write"/>
      <w:bookmarkEnd w:id="23"/>
    </w:p>
    <w:p>
      <w:pPr>
        <w:pStyle w:val="Ruller41"/>
        <w:ind w:end="0"/>
        <w:jc w:val="both"/>
        <w:rPr/>
      </w:pPr>
      <w:r>
        <w:rPr>
          <w:rtl w:val="true"/>
        </w:rPr>
        <w:tab/>
      </w:r>
      <w:bookmarkStart w:id="24" w:name="ABSTRACT_START"/>
      <w:bookmarkEnd w:id="24"/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שהטיל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בנצרת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כתילי</w:t>
      </w:r>
      <w:r>
        <w:rPr>
          <w:rtl w:val="true"/>
        </w:rPr>
        <w:t xml:space="preserve">)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מתוכם</w:t>
      </w:r>
      <w:r>
        <w:rPr>
          <w:rFonts w:eastAsia="Arial TUR" w:cs="Arial TUR"/>
          <w:rtl w:val="true"/>
        </w:rPr>
        <w:t xml:space="preserve"> 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המעצר</w:t>
      </w:r>
      <w:r>
        <w:rPr>
          <w:rtl w:val="true"/>
        </w:rPr>
        <w:t xml:space="preserve">, </w:t>
      </w:r>
      <w:r>
        <w:rPr>
          <w:rtl w:val="true"/>
        </w:rPr>
        <w:t>שלוש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וקנס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" w:cs="Arial TUR"/>
          <w:rtl w:val="true"/>
        </w:rPr>
        <w:t xml:space="preserve"> </w:t>
      </w:r>
      <w:r>
        <w:rPr/>
        <w:t>7,500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/>
        <w:t>75</w:t>
      </w:r>
      <w:r>
        <w:rPr>
          <w:rtl w:val="true"/>
        </w:rPr>
        <w:t xml:space="preserve"> </w:t>
      </w:r>
      <w:r>
        <w:rPr>
          <w:rtl w:val="true"/>
        </w:rPr>
        <w:t>ימי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  <w:bookmarkStart w:id="25" w:name="ABSTRACT_END"/>
      <w:bookmarkStart w:id="26" w:name="ABSTRACT_END"/>
      <w:bookmarkEnd w:id="26"/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רקע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עובדתי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ודיוני</w:t>
      </w:r>
    </w:p>
    <w:p>
      <w:pPr>
        <w:pStyle w:val="Ruller41"/>
        <w:numPr>
          <w:ilvl w:val="0"/>
          <w:numId w:val="1"/>
        </w:numPr>
        <w:tabs>
          <w:tab w:val="left" w:pos="-58" w:leader="none"/>
          <w:tab w:val="left" w:pos="800" w:leader="none"/>
        </w:tabs>
        <w:ind w:hanging="0" w:start="-58"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כתב האישום המתוקן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אשר בעובדותיו הודה המשיב במסגרת הסדר טיעון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ייחס למשיב מספר עבירות של נשיאת נשק ותחמושת שלא כדין לפי </w:t>
      </w:r>
      <w:hyperlink r:id="rId15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144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</w:t>
      </w:r>
      <w:hyperlink r:id="rId16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חוק העונשין</w:t>
        </w:r>
      </w:hyperlink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התשל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ז</w:t>
      </w:r>
      <w:r>
        <w:rPr>
          <w:rFonts w:cs="Times New Roman" w:ascii="Times New Roman" w:hAnsi="Times New Roman"/>
          <w:rtl w:val="true"/>
        </w:rPr>
        <w:t>-</w:t>
      </w:r>
      <w:r>
        <w:rPr>
          <w:rFonts w:cs="Times New Roman" w:ascii="Times New Roman" w:hAnsi="Times New Roman"/>
        </w:rPr>
        <w:t>1977</w:t>
      </w:r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ascii="Times New Roman" w:hAnsi="Times New Roman" w:cs="Times New Roman"/>
          <w:rtl w:val="true"/>
        </w:rPr>
        <w:t>להלן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חוק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העונשין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 xml:space="preserve">מספר עבירות של החזקת נשק ותחמושת שלא כדין לפי </w:t>
      </w:r>
      <w:hyperlink r:id="rId17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144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ב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רישא </w:t>
      </w:r>
      <w:r>
        <w:rPr>
          <w:rFonts w:cs="Times New Roman" w:ascii="Times New Roman" w:hAnsi="Times New Roman"/>
          <w:rtl w:val="true"/>
        </w:rPr>
        <w:t xml:space="preserve">+ </w:t>
      </w:r>
      <w:r>
        <w:rPr>
          <w:rFonts w:ascii="Times New Roman" w:hAnsi="Times New Roman" w:cs="Times New Roman"/>
          <w:rtl w:val="true"/>
        </w:rPr>
        <w:t xml:space="preserve">סיפא לחוק העונשין ועבירת יריות באזור מגורים לפי </w:t>
      </w:r>
      <w:hyperlink r:id="rId18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340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</w:hyperlink>
      <w:r>
        <w:rPr>
          <w:rFonts w:ascii="Times New Roman" w:hAnsi="Times New Roman" w:cs="Times New Roman"/>
          <w:rtl w:val="true"/>
        </w:rPr>
        <w:t xml:space="preserve"> לחוק העונשין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start="-58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numPr>
          <w:ilvl w:val="0"/>
          <w:numId w:val="1"/>
        </w:numPr>
        <w:tabs>
          <w:tab w:val="left" w:pos="-58" w:leader="none"/>
          <w:tab w:val="left" w:pos="800" w:leader="none"/>
        </w:tabs>
        <w:ind w:hanging="0" w:start="-58"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לפי המתואר בכתב האישום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המשיב התגורר ביחידת דיור עצמאית בבית מגודר הכולל חצר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רחבת חניה לכלי רחב ומחסן תחתי מתחת לחניה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שש שנים לפני האירוע רכש המשיב אקדח מסוג </w:t>
      </w:r>
      <w:r>
        <w:rPr>
          <w:rFonts w:cs="Times New Roman" w:ascii="Times New Roman" w:hAnsi="Times New Roman"/>
        </w:rPr>
        <w:t>F.N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ושלוש מחסניות התואמות לאקדח ובהן כדורים תואמים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תמורת הרכישה שילם המשיב סכום של </w:t>
      </w:r>
      <w:r>
        <w:rPr>
          <w:rFonts w:cs="Times New Roman" w:ascii="Times New Roman" w:hAnsi="Times New Roman"/>
        </w:rPr>
        <w:t>16,800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ח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המשיב נשא עימו והטמין בחדרו את האקדח והתחמושת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עוד פורט כי במועד שאינו ידוע הצטייד המשיב בכלי נשק נוספים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ובהם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Times New Roman"/>
          <w:rtl w:val="true"/>
        </w:rPr>
        <w:t xml:space="preserve">רובה אוטומטי מאולתר מסוג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קרל גוסטב</w:t>
      </w:r>
      <w:r>
        <w:rPr>
          <w:rFonts w:cs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cs="Times New Roman"/>
          <w:rtl w:val="true"/>
        </w:rPr>
        <w:t>ומחסנית תקינה תואמת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אקדח דמוי עט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9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קופסאות של כדורים מסוג </w:t>
      </w:r>
      <w:r>
        <w:rPr>
          <w:rFonts w:cs="Times New Roman" w:ascii="Times New Roman" w:hAnsi="Times New Roman"/>
        </w:rPr>
        <w:t>9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מ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מ ו</w:t>
      </w:r>
      <w:r>
        <w:rPr>
          <w:rFonts w:cs="Times New Roman" w:ascii="Times New Roman" w:hAnsi="Times New Roman"/>
          <w:rtl w:val="true"/>
        </w:rPr>
        <w:t>-</w:t>
      </w: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קופסאות כדורים מסוג </w:t>
      </w:r>
      <w:r>
        <w:rPr>
          <w:rFonts w:cs="Times New Roman" w:ascii="Times New Roman" w:hAnsi="Times New Roman"/>
        </w:rPr>
        <w:t>5.56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מ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מ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מטען חבלה מאולתר ומחסנית ריקה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המשיב הטמין את כלי הנשק במקומות שונים בחדרו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Times New Roman"/>
          <w:rtl w:val="true"/>
        </w:rPr>
        <w:t>במזוודה ליד מיטתו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מתחת למושב הכורסא בחדרו ובתוך ארון בחדרו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ביום </w:t>
      </w:r>
      <w:r>
        <w:rPr>
          <w:rFonts w:cs="Times New Roman" w:ascii="Times New Roman" w:hAnsi="Times New Roman"/>
        </w:rPr>
        <w:t>12.6.2010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התקיימה חתונה בסמוך לביתו של המשיב שבה השתתף המשיב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המשיב נשא עימו את האקדח והמחסנית וכן את הרובה ובמהלך החתונה ירה באמצעותם כ</w:t>
      </w:r>
      <w:r>
        <w:rPr>
          <w:rFonts w:cs="Times New Roman" w:ascii="Times New Roman" w:hAnsi="Times New Roman"/>
          <w:rtl w:val="true"/>
        </w:rPr>
        <w:t>-</w:t>
      </w:r>
      <w:r>
        <w:rPr>
          <w:rFonts w:cs="Times New Roman" w:ascii="Times New Roman" w:hAnsi="Times New Roman"/>
        </w:rPr>
        <w:t>50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כדורים בליבה של שכונת מגורים ביחד עם אחרים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הצדדים הגיעו להסדר טיעון לפיו המשיב יודה בעובדות כתב האישום המתוקן והצדדים יטענו לעונש באופן חופשי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וזאת לאחר הגשת תסקיר מטעם שירות המבחן לבקשתו של המשיב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בית המשפט קיבל את ההסדר והרשיע את המערער על סמך הודאתו בעבירות המיוחסות לו בכתב האישום המתוקן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גזר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דינו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המשפט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המחוזי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לאחר שהוגש תסקיר מבחן בעניינו של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והושמעו טיעונים לעונש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גזר בית המשפט את דינו של המערער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תסקיר שירות המבחן ציין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בין היתר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כי התנהלותו של המשיב מצביעה על קושי בשליטה עצמית ותפקוד בתוך גבולות ומסגרת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כן צוין כי המשיב טשטש את המידע באשר למקור קבלתם של חלק מכלי הנשק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שירות המבחן סבר כי חומרת העבירות והסיכון הנשקף להישנותן מחייבים ענישה מוחשית שתסמן גבולות התנהגות ברורים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יחד עם זאת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בתסקיר צוין כי תקופת מאסר ממושכת מדי עלולה לחשוף את המשיב להשפעות שליליות ועלולה לגרום להתדרדרות לדפוסי עבריינות קשים מכך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בגזר דינו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שקל בית המשפט לחומרה את אופי העבירה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נשיאה והחזקת נשק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וציין כי זה זמן רב שהתפתח במגזר הערבי הנוהג של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יריות שמחה</w:t>
      </w:r>
      <w:r>
        <w:rPr>
          <w:rFonts w:cs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cs="Times New Roman"/>
          <w:rtl w:val="true"/>
        </w:rPr>
        <w:t>במהלך חתונות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בית המשפט ציין כי התופעה השכיחה של שימוש בנשק חם מסכן את שלומם ובטחונם של הציבור ושל עוברי אורח תמימים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בית המשפט הוסיף כי חובה על בתי המשפט להילחם בתופעת הירי באמצעות ענישה מכאיבה והולמת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בית המשפט ציין לקולא את נתוני המשיב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ובכללם גילו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הודאתו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החרטה אותה הביע והיותו ללא עבר פלילי כלשהו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כאמור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גזר בית המשפט על המשיב </w:t>
      </w:r>
      <w:r>
        <w:rPr>
          <w:rFonts w:cs="Times New Roman" w:ascii="Times New Roman" w:hAnsi="Times New Roman"/>
        </w:rPr>
        <w:t>36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מתוכם </w:t>
      </w:r>
      <w:r>
        <w:rPr>
          <w:rFonts w:cs="Times New Roman" w:ascii="Times New Roman" w:hAnsi="Times New Roman"/>
        </w:rPr>
        <w:t>16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 לריצוי בפועל בניכוי ימי מעצר והיתרה על תנאי למשך שלוש שנים מיום סיום המאסר שלא יעבור על כל אחת מהעבירות בהן הורשע בתיק זה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עוד הוטל על המשיב תשלום קנס בסך </w:t>
      </w:r>
      <w:r>
        <w:rPr>
          <w:rFonts w:cs="Times New Roman" w:ascii="Times New Roman" w:hAnsi="Times New Roman"/>
        </w:rPr>
        <w:t>7,500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ח או </w:t>
      </w:r>
      <w:r>
        <w:rPr>
          <w:rFonts w:cs="Times New Roman" w:ascii="Times New Roman" w:hAnsi="Times New Roman"/>
        </w:rPr>
        <w:t>75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ימי מאסר תמורתם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על קולת עונש המאסר שהוטל על המשיב הוגש ערעורה של המדינה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הטענות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בערעור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</w:t>
      </w:r>
      <w:r>
        <w:rPr>
          <w:rFonts w:cs="Times New Roman" w:ascii="Times New Roman" w:hAnsi="Times New Roman"/>
          <w:rtl w:val="true"/>
        </w:rPr>
        <w:t xml:space="preserve">. </w:t>
        <w:tab/>
      </w:r>
      <w:r>
        <w:rPr>
          <w:rFonts w:ascii="Times New Roman" w:hAnsi="Times New Roman" w:cs="Times New Roman"/>
          <w:rtl w:val="true"/>
        </w:rPr>
        <w:t>המערערת טוענת כי העונש אינו הולם את חומרת העבירות בהן הורשע המערער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העונש אינו משקף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במידה ראויה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את חומרת מעשיו של המשיב ואינו מבטא כראוי את האינטרס הציבורי שבענישה מחמירה ומרתיעה בעבירות מסוג זה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המערערת הוסיפה וטענה כי יש לייחס חומרה מיוחדת לכך שמדובר במשיב שנשא והחזיק היקף גדול ומגוון של כלי נשק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עוד הוסיפה המערערת כי העובדה שמדובר בעבירות נשק שבוצעו לאורך תקופה ארוכה מהווה ראיה לכך שלא מדובר במעידה ובכשל נקודתי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אלא בבחירה מצד המשיב להחזיק נשק שלא כדין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המערערת טענה בנוסף כי למשיב יש נגישות רבה לאמצעי לחימה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ולנוכח הפוטנציאל הקטלני שיש בנשק מתחייבת ענישה מרתיעה באופן ממשי לצורך מיגור התופעה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לדעת המערערת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גזר הדין מחטיא את שיקולי הרתעת הכלל ואינו מעביר את המסר הציבורי הראוי לפיו יש לנהוג בחומרה יתירה במי שמחזיק ונושא נשק שלא ברישיון ואף עושה בו שימוש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על כן ביקשה המערערת כי יגזר על המשיב עונש חמור יותר לצורך העברת מסר לרבים למען ישמעו וייראו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/>
      </w:pPr>
      <w:r>
        <w:rPr/>
        <w:t>8</w:t>
      </w:r>
      <w:r>
        <w:rPr>
          <w:rtl w:val="true"/>
        </w:rPr>
        <w:t>.</w:t>
        <w:tab/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להסתפק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חורג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מטווח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המקובל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בכגון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דא</w:t>
      </w:r>
      <w:r>
        <w:rPr>
          <w:rtl w:val="true"/>
        </w:rPr>
        <w:t xml:space="preserve">.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ארוכה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צריכה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לרועץ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ארוכת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החתונה</w:t>
      </w:r>
      <w:r>
        <w:rPr>
          <w:rtl w:val="true"/>
        </w:rPr>
        <w:t xml:space="preserve">. </w:t>
      </w:r>
      <w:r>
        <w:rPr>
          <w:rtl w:val="true"/>
        </w:rPr>
        <w:t>הירי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המשיב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</w:t>
      </w:r>
      <w:r>
        <w:rPr>
          <w:rtl w:val="true"/>
        </w:rPr>
        <w:t xml:space="preserve">,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במשטרה</w:t>
      </w:r>
      <w:r>
        <w:rPr>
          <w:rtl w:val="true"/>
        </w:rPr>
        <w:t xml:space="preserve">.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שמצוין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כיוון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בהתנסות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יחידה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בפלילים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למאסר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ממושך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אפקט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די</w:t>
      </w:r>
      <w:r>
        <w:rPr>
          <w:rtl w:val="true"/>
        </w:rPr>
        <w:t xml:space="preserve">,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במאסר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להרתיע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דיון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והכרעה</w:t>
      </w:r>
    </w:p>
    <w:p>
      <w:pPr>
        <w:pStyle w:val="Ruller41"/>
        <w:ind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אכן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ושימוש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.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המוחזק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למצוא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עוינות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למטרות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פליליות</w:t>
      </w:r>
      <w:r>
        <w:rPr>
          <w:rtl w:val="true"/>
        </w:rPr>
        <w:t xml:space="preserve">. </w:t>
      </w:r>
      <w:r>
        <w:rPr>
          <w:rtl w:val="true"/>
        </w:rPr>
        <w:t>יריות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באירועים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חפים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מפשע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בשים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שערכאת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ממצה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בהתחשב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באסמכתאות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הנוהגת</w:t>
      </w:r>
      <w:r>
        <w:rPr>
          <w:rtl w:val="true"/>
        </w:rPr>
        <w:t xml:space="preserve">, </w:t>
      </w:r>
      <w:r>
        <w:rPr>
          <w:rtl w:val="true"/>
        </w:rPr>
        <w:t>ובשים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הסניגור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עמדנו</w:t>
      </w:r>
      <w:r>
        <w:rPr>
          <w:rtl w:val="true"/>
        </w:rPr>
        <w:t xml:space="preserve">, </w:t>
      </w:r>
      <w:r>
        <w:rPr>
          <w:rtl w:val="true"/>
        </w:rPr>
        <w:t>נחמיר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בצורה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מתונה</w:t>
      </w:r>
      <w:r>
        <w:rPr>
          <w:rtl w:val="true"/>
        </w:rPr>
        <w:t xml:space="preserve">, </w:t>
      </w:r>
      <w:r>
        <w:rPr>
          <w:rtl w:val="true"/>
        </w:rPr>
        <w:t>ויהיו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אזהרה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לבאות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10</w:t>
      </w:r>
      <w:r>
        <w:rPr>
          <w:rtl w:val="true"/>
        </w:rPr>
        <w:t>.</w:t>
        <w:tab/>
      </w:r>
      <w:r>
        <w:rPr>
          <w:rtl w:val="true"/>
        </w:rPr>
        <w:t>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מקבלים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במובן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קובעים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  <w:r>
        <w:rPr>
          <w:rtl w:val="true"/>
        </w:rPr>
        <w:t>שאר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יעמדו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בעינם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‏‏</w:t>
      </w:r>
      <w:r>
        <w:rPr>
          <w:rtl w:val="true"/>
        </w:rPr>
        <w:t>ב</w:t>
      </w:r>
      <w:r>
        <w:rPr>
          <w:rtl w:val="true"/>
        </w:rPr>
        <w:t xml:space="preserve">' </w:t>
      </w:r>
      <w:r>
        <w:rPr>
          <w:rtl w:val="true"/>
        </w:rPr>
        <w:t>כסלו</w:t>
      </w:r>
      <w:r>
        <w:rPr>
          <w:rtl w:val="true"/>
        </w:rPr>
        <w:t xml:space="preserve">, </w:t>
      </w:r>
      <w:r>
        <w:rPr>
          <w:rtl w:val="true"/>
        </w:rPr>
        <w:t>תשע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28.11.2011</w:t>
      </w:r>
      <w:r>
        <w:rPr>
          <w:rtl w:val="true"/>
        </w:rPr>
        <w:t xml:space="preserve">).  </w:t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מ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נאור </w:t>
      </w:r>
      <w:r>
        <w:rPr>
          <w:rFonts w:cs="David" w:ascii="David" w:hAnsi="David"/>
          <w:color w:val="000000"/>
          <w:szCs w:val="22"/>
        </w:rPr>
        <w:t>54678313-4460/11</w:t>
      </w:r>
    </w:p>
    <w:p>
      <w:pPr>
        <w:pStyle w:val="Ruller41"/>
        <w:ind w:end="0"/>
        <w:jc w:val="both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end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1"/>
        <w:ind w:end="0"/>
        <w:jc w:val="both"/>
        <w:rPr/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27" w:name="FileName"/>
      <w:r>
        <w:rPr>
          <w:sz w:val="16"/>
        </w:rPr>
        <w:t>11044600</w:t>
      </w:r>
      <w:r>
        <w:rPr>
          <w:sz w:val="16"/>
          <w:rtl w:val="true"/>
        </w:rPr>
        <w:t>_</w:t>
      </w:r>
      <w:r>
        <w:rPr>
          <w:sz w:val="16"/>
        </w:rPr>
        <w:t>C02.doc</w:t>
      </w:r>
      <w:r>
        <w:rPr>
          <w:sz w:val="16"/>
          <w:rtl w:val="true"/>
        </w:rPr>
        <w:t xml:space="preserve">   </w:t>
      </w:r>
      <w:bookmarkEnd w:id="27"/>
      <w:r>
        <w:rPr>
          <w:sz w:val="16"/>
          <w:sz w:val="16"/>
          <w:rtl w:val="true"/>
        </w:rPr>
        <w:t>עע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19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Normal"/>
        <w:overflowPunct w:val="true"/>
        <w:autoSpaceDE w:val="true"/>
        <w:ind w:end="0"/>
        <w:jc w:val="start"/>
        <w:rPr>
          <w:rFonts w:cs="Times New Roman"/>
          <w:color w:val="000000"/>
          <w:sz w:val="24"/>
        </w:rPr>
      </w:pPr>
      <w:r>
        <w:rPr>
          <w:rFonts w:cs="Times New Roman"/>
          <w:color w:val="000000"/>
          <w:sz w:val="24"/>
          <w:rtl w:val="true"/>
        </w:rPr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color w:val="000000"/>
          <w:sz w:val="24"/>
          <w:sz w:val="24"/>
          <w:rtl w:val="true"/>
        </w:rPr>
        <w:t>נוסח מסמך זה כפוף לשינויי ניסוח ועריכה</w:t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hyperlink r:id="rId20"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פסיקה</w:t>
        </w:r>
        <w:r>
          <w:rPr>
            <w:rStyle w:val="Hyperlink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כאן</w:t>
        </w:r>
      </w:hyperlink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r>
        <w:rPr>
          <w:color w:val="0000FF"/>
          <w:sz w:val="24"/>
          <w:u w:val="single"/>
        </w:rPr>
      </w:r>
    </w:p>
    <w:sectPr>
      <w:headerReference w:type="default" r:id="rId21"/>
      <w:footerReference w:type="default" r:id="rId22"/>
      <w:type w:val="nextPage"/>
      <w:pgSz w:w="11906" w:h="16838"/>
      <w:pgMar w:left="1800" w:right="1800" w:gutter="0" w:header="720" w:top="1701" w:footer="720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5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4460/11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אחמד פאיד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1155"/>
        </w:tabs>
        <w:ind w:start="1155" w:hanging="795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Ruller4">
    <w:name w:val="Ruller4 תו"/>
    <w:qFormat/>
    <w:rPr>
      <w:rFonts w:ascii="Arial TUR" w:hAnsi="Arial TUR" w:cs="FrankRuehl"/>
      <w:spacing w:val="10"/>
      <w:sz w:val="22"/>
      <w:szCs w:val="28"/>
      <w:lang w:val="en-US" w:bidi="he-IL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inks/psika/?NEWPROC=&#1514;&#1508;&amp;NEWPARTA=41997&amp;NEWPARTB=06&amp;NEWPARTC=10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Psika_word/mechozi/ME-10-06-41997-838.doc" TargetMode="External"/><Relationship Id="rId5" Type="http://schemas.openxmlformats.org/officeDocument/2006/relationships/hyperlink" Target="http://www.nevo.co.il/Psika_word/mechozi/ME-10-06-41997-18.doc" TargetMode="External"/><Relationship Id="rId6" Type="http://schemas.openxmlformats.org/officeDocument/2006/relationships/hyperlink" Target="http://www.nevo.co.il/Psika_word/mechozi/ME-10-06-41997-525.doc" TargetMode="External"/><Relationship Id="rId7" Type="http://schemas.openxmlformats.org/officeDocument/2006/relationships/hyperlink" Target="http://www.nevo.co.il/Psika_word/mechozi/ME-10-06-41997-747.doc" TargetMode="External"/><Relationship Id="rId8" Type="http://schemas.openxmlformats.org/officeDocument/2006/relationships/hyperlink" Target="http://www.nevo.co.il/Psika_word/mechozi/ME-10-06-41997-769.doc" TargetMode="External"/><Relationship Id="rId9" Type="http://schemas.openxmlformats.org/officeDocument/2006/relationships/hyperlink" Target="http://www.nevo.co.il/Psika_word/mechozi/ME-10-06-41997-278.doc" TargetMode="External"/><Relationship Id="rId10" Type="http://schemas.openxmlformats.org/officeDocument/2006/relationships/hyperlink" Target="http://www.nevo.co.il/Psika_word/elyon/11044600-h01.doc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aw/70301/144.a" TargetMode="External"/><Relationship Id="rId13" Type="http://schemas.openxmlformats.org/officeDocument/2006/relationships/hyperlink" Target="http://www.nevo.co.il/law/70301/144.b" TargetMode="External"/><Relationship Id="rId14" Type="http://schemas.openxmlformats.org/officeDocument/2006/relationships/hyperlink" Target="http://www.nevo.co.il/law/70301/340a" TargetMode="External"/><Relationship Id="rId15" Type="http://schemas.openxmlformats.org/officeDocument/2006/relationships/hyperlink" Target="http://www.nevo.co.il/law/70301/144.a" TargetMode="External"/><Relationship Id="rId16" Type="http://schemas.openxmlformats.org/officeDocument/2006/relationships/hyperlink" Target="http://www.nevo.co.il/law/70301" TargetMode="External"/><Relationship Id="rId17" Type="http://schemas.openxmlformats.org/officeDocument/2006/relationships/hyperlink" Target="http://www.nevo.co.il/law/70301/144.b" TargetMode="External"/><Relationship Id="rId18" Type="http://schemas.openxmlformats.org/officeDocument/2006/relationships/hyperlink" Target="http://www.nevo.co.il/law/70301/340a" TargetMode="External"/><Relationship Id="rId19" Type="http://schemas.openxmlformats.org/officeDocument/2006/relationships/hyperlink" Target="http://www.court.gov.il/" TargetMode="External"/><Relationship Id="rId20" Type="http://schemas.openxmlformats.org/officeDocument/2006/relationships/hyperlink" Target="http://www.nevo.co.il/advertisements/nevo-100.doc" TargetMode="External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11044600.C02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2015-08-26T07:13:00Z</dcterms:created>
  <dc:creator> </dc:creator>
  <dc:description/>
  <cp:keywords/>
  <dc:language>en-IL</dc:language>
  <cp:lastModifiedBy>hofit</cp:lastModifiedBy>
  <cp:lastPrinted>2011-11-28T15:11:00Z</cp:lastPrinted>
  <dcterms:modified xsi:type="dcterms:W3CDTF">2015-08-26T07:13:00Z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EE">
    <vt:lpwstr>אחמד פאיד</vt:lpwstr>
  </property>
  <property fmtid="{D5CDD505-2E9C-101B-9397-08002B2CF9AE}" pid="4" name="DATE">
    <vt:lpwstr>20111128</vt:lpwstr>
  </property>
  <property fmtid="{D5CDD505-2E9C-101B-9397-08002B2CF9AE}" pid="5" name="ISABSTRACT">
    <vt:lpwstr>Y</vt:lpwstr>
  </property>
  <property fmtid="{D5CDD505-2E9C-101B-9397-08002B2CF9AE}" pid="6" name="JUDGE">
    <vt:lpwstr>מ' נאור;א' חיות;נ' הנדל</vt:lpwstr>
  </property>
  <property fmtid="{D5CDD505-2E9C-101B-9397-08002B2CF9AE}" pid="7" name="LAWLISTTMP1">
    <vt:lpwstr>70301/144.a;144.b;340a</vt:lpwstr>
  </property>
  <property fmtid="{D5CDD505-2E9C-101B-9397-08002B2CF9AE}" pid="8" name="LAWYER">
    <vt:lpwstr>ראפי מסאלחה;אפרת גולדשטיין;שירות מבחן למבוגרים גב' ברכה וייס</vt:lpwstr>
  </property>
  <property fmtid="{D5CDD505-2E9C-101B-9397-08002B2CF9AE}" pid="9" name="LINKK1">
    <vt:lpwstr>http://www.nevo.co.il/Psika_word/mechozi/ME-10-06-41997-838.doc;להחלטה במחוזי (30-12-2010)#תפ 41997-06-10 מדינת ישראל נ' אחמד פאיד (עציר)#שופטים: כבוד, – תאופיק כתילי#עו''ד: עידית עמיר, רפי מסאלחה</vt:lpwstr>
  </property>
  <property fmtid="{D5CDD505-2E9C-101B-9397-08002B2CF9AE}" pid="10" name="LINKK10">
    <vt:lpwstr>http://www.nevo.co.il/Psika_word/mechozi/ME-10-06-41997-525.doc;להחלטה במחוזי (15-03-2011)#תפ 41997-06-10 מדינת ישראל נ' אחמד פאיד#שופטים: תאופיק כתילי#עו''ד: עידית עמיר, רפי מסאלחה</vt:lpwstr>
  </property>
  <property fmtid="{D5CDD505-2E9C-101B-9397-08002B2CF9AE}" pid="11" name="LINKK11">
    <vt:lpwstr>http://www.nevo.co.il/Psika_word/mechozi/ME-10-06-41997-747.doc;להחלטה במחוזי (15-03-2011)#תפ 41997-06-10 מדינת ישראל נ' אחמד פאיד#שופטים: תאופיק כתילי#עו''ד: עידית עמיר, רפי מסאלחה</vt:lpwstr>
  </property>
  <property fmtid="{D5CDD505-2E9C-101B-9397-08002B2CF9AE}" pid="12" name="LINKK12">
    <vt:lpwstr>http://www.nevo.co.il/Psika_word/mechozi/ME-10-06-41997-769.doc;להחלטה במחוזי (15-03-2011)#תפ 41997-06-10 מדינת ישראל נ' אחמד פאיד#שופטים: תאופיק כתילי#עו''ד: עידית עמיר, רפי מסאלחה</vt:lpwstr>
  </property>
  <property fmtid="{D5CDD505-2E9C-101B-9397-08002B2CF9AE}" pid="13" name="LINKK2">
    <vt:lpwstr>http://www.nevo.co.il/Psika_word/mechozi/ME-10-06-41997-18.doc;להחלטה במחוזי (25-01-2011)#תפ 41997-06-10 מדינת ישראל נ' אחמד פאיד (עציר)#שופטים: תאופיק כתילי#עו''ד: מסאלחה, עידית רייכרט</vt:lpwstr>
  </property>
  <property fmtid="{D5CDD505-2E9C-101B-9397-08002B2CF9AE}" pid="14" name="LINKK3">
    <vt:lpwstr>http://www.nevo.co.il/Psika_word/mechozi/ME-10-06-41997-525.doc;להחלטה במחוזי (15-03-2011)#תפ 41997-06-10 מדינת ישראל נ' אחמד פאיד#שופטים: תאופיק כתילי#עו''ד: עידית עמיר, רפי מסאלחה</vt:lpwstr>
  </property>
  <property fmtid="{D5CDD505-2E9C-101B-9397-08002B2CF9AE}" pid="15" name="LINKK4">
    <vt:lpwstr>http://www.nevo.co.il/Psika_word/mechozi/ME-10-06-41997-747.doc;להחלטה במחוזי (15-03-2011)#תפ 41997-06-10 מדינת ישראל נ' אחמד פאיד#שופטים: תאופיק כתילי#עו''ד: עידית עמיר, רפי מסאלחה</vt:lpwstr>
  </property>
  <property fmtid="{D5CDD505-2E9C-101B-9397-08002B2CF9AE}" pid="16" name="LINKK5">
    <vt:lpwstr>http://www.nevo.co.il/Psika_word/mechozi/ME-10-06-41997-769.doc;להחלטה במחוזי (15-03-2011)#תפ 41997-06-10 מדינת ישראל נ' אחמד פאיד#שופטים: תאופיק כתילי#עו''ד: עידית עמיר, רפי מסאלחה</vt:lpwstr>
  </property>
  <property fmtid="{D5CDD505-2E9C-101B-9397-08002B2CF9AE}" pid="17" name="LINKK6">
    <vt:lpwstr>http://www.nevo.co.il/Psika_word/mechozi/ME-10-06-41997-278.doc;לגזר-דין במחוזי (04-05-2011)#תפ 41997-06-10 מדינת ישראל נ' אחמד פאיד#שופטים: תאופיק כתילי#עו''ד: יעל כוכבי, ראפי מסאלחה</vt:lpwstr>
  </property>
  <property fmtid="{D5CDD505-2E9C-101B-9397-08002B2CF9AE}" pid="18" name="LINKK7">
    <vt:lpwstr>http://www.nevo.co.il/Psika_word/elyon/11044600-h01.doc;להחלטה בעליון (24-11-2011)#עפ 4460/11 מדינת ישראל נ' אחמד פאיד#שופטים: ס' ג'ובראן, ח' מלצר, י' עמית#עו''ד: ראפי מסאלחה, בקשה, מיום 2</vt:lpwstr>
  </property>
  <property fmtid="{D5CDD505-2E9C-101B-9397-08002B2CF9AE}" pid="19" name="LINKK8">
    <vt:lpwstr>http://www.nevo.co.il/Psika_word/mechozi/ME-10-06-41997-838.doc;להחלטה במחוזי (30-12-2010)#תפ 41997-06-10 מדינת ישראל נ' אחמד פאיד (עציר)#שופטים: כבוד, – תאופיק כתילי#עו''ד: עידית עמיר, רפי מסאלחה</vt:lpwstr>
  </property>
  <property fmtid="{D5CDD505-2E9C-101B-9397-08002B2CF9AE}" pid="20" name="LINKK9">
    <vt:lpwstr>http://www.nevo.co.il/Psika_word/mechozi/ME-10-06-41997-18.doc;להחלטה במחוזי (25-01-2011)#תפ 41997-06-10 מדינת ישראל נ' אחמד פאיד (עציר)#שופטים: תאופיק כתילי#עו''ד: מסאלחה, עידית רייכרט</vt:lpwstr>
  </property>
  <property fmtid="{D5CDD505-2E9C-101B-9397-08002B2CF9AE}" pid="21" name="PROCESS">
    <vt:lpwstr>עפ</vt:lpwstr>
  </property>
  <property fmtid="{D5CDD505-2E9C-101B-9397-08002B2CF9AE}" pid="22" name="PROCNUM">
    <vt:lpwstr>4460</vt:lpwstr>
  </property>
  <property fmtid="{D5CDD505-2E9C-101B-9397-08002B2CF9AE}" pid="23" name="PROCYEAR">
    <vt:lpwstr>11</vt:lpwstr>
  </property>
  <property fmtid="{D5CDD505-2E9C-101B-9397-08002B2CF9AE}" pid="24" name="PSAKDIN">
    <vt:lpwstr>פסק-דין</vt:lpwstr>
  </property>
  <property fmtid="{D5CDD505-2E9C-101B-9397-08002B2CF9AE}" pid="25" name="TYPE">
    <vt:lpwstr>1</vt:lpwstr>
  </property>
  <property fmtid="{D5CDD505-2E9C-101B-9397-08002B2CF9AE}" pid="26" name="TYPE_ABS_DATE">
    <vt:lpwstr>410020111128</vt:lpwstr>
  </property>
  <property fmtid="{D5CDD505-2E9C-101B-9397-08002B2CF9AE}" pid="27" name="TYPE_N_DATE">
    <vt:lpwstr>41020111128</vt:lpwstr>
  </property>
  <property fmtid="{D5CDD505-2E9C-101B-9397-08002B2CF9AE}" pid="28" name="WORDNUMPAGES">
    <vt:lpwstr>5</vt:lpwstr>
  </property>
</Properties>
</file>