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bidi/>
        <w:spacing w:after="100"/>
      </w:pPr>
      <w:r>
        <w:rPr>
          <w:rFonts w:ascii="Times New Roman" w:hAnsi="Times New Roman" w:cs="Times New Roman"/>
          <w:sz w:val="24"/>
          <w:sz-cs w:val="24"/>
        </w:rPr>
        <w:t xml:space="preserve"/>
      </w:r>
    </w:p>
    <w:p>
      <w:pPr>
        <w:jc w:val="both"/>
        <w:bidi/>
        <w:ind w:left="283" w:right="283" w:first-line="-283"/>
        <w:spacing w:after="120"/>
      </w:pPr>
      <w:r>
        <w:rPr>
          <w:rFonts w:ascii="Times New Roman" w:hAnsi="Times New Roman" w:cs="Times New Roman"/>
          <w:sz w:val="24"/>
          <w:sz-cs w:val="24"/>
        </w:rPr>
        <w:t xml:space="preserve"/>
      </w:r>
    </w:p>
    <w:p>
      <w:pPr>
        <w:jc w:val="both"/>
        <w:bidi/>
        <w:ind w:left="283" w:right="283" w:first-line="-283"/>
        <w:spacing w:after="120"/>
      </w:pPr>
      <w:r>
        <w:rPr>
          <w:rFonts w:ascii="Times New Roman" w:hAnsi="Times New Roman" w:cs="Times New Roman"/>
          <w:sz w:val="24"/>
          <w:sz-cs w:val="24"/>
        </w:rPr>
        <w:t xml:space="preserve"/>
      </w:r>
    </w:p>
    <w:p>
      <w:pPr>
        <w:jc w:val="both"/>
        <w:bidi/>
        <w:ind w:left="283" w:right="283" w:first-line="-283"/>
        <w:spacing w:after="120"/>
      </w:pPr>
      <w:r>
        <w:rPr>
          <w:rFonts w:ascii="Times New Roman" w:hAnsi="Times New Roman" w:cs="Times New Roman"/>
          <w:sz w:val="24"/>
          <w:sz-cs w:val="24"/>
        </w:rPr>
        <w:t xml:space="preserve">ערעור פלילי  04 / 4517</w:t>
      </w:r>
    </w:p>
    <w:p>
      <w:pPr>
        <w:bidi/>
        <w:spacing w:after="120"/>
      </w:pPr>
      <w:r>
        <w:rPr>
          <w:rFonts w:ascii="Times New Roman" w:hAnsi="Times New Roman" w:cs="Times New Roman"/>
          <w:sz w:val="24"/>
          <w:sz-cs w:val="24"/>
        </w:rPr>
        <w:t xml:space="preserve">ערעור פלילי  04 / 4571</w:t>
      </w:r>
    </w:p>
    <w:p>
      <w:pPr>
        <w:jc w:val="both"/>
        <w:bidi/>
        <w:spacing w:after="100"/>
      </w:pPr>
      <w:r>
        <w:rPr>
          <w:rFonts w:ascii="Times New Roman" w:hAnsi="Times New Roman" w:cs="Times New Roman"/>
          <w:sz w:val="22"/>
          <w:sz-cs w:val="22"/>
        </w:rPr>
        <w:t xml:space="preserve">אחמד מסראווה</w:t>
      </w:r>
    </w:p>
    <w:p>
      <w:pPr>
        <w:jc w:val="both"/>
        <w:bidi/>
        <w:spacing w:after="100"/>
      </w:pPr>
      <w:r>
        <w:rPr>
          <w:rFonts w:ascii="Times New Roman" w:hAnsi="Times New Roman" w:cs="Times New Roman"/>
          <w:sz w:val="22"/>
          <w:sz-cs w:val="22"/>
        </w:rPr>
        <w:t xml:space="preserve">נגד</w:t>
      </w:r>
    </w:p>
    <w:p>
      <w:pPr>
        <w:jc w:val="both"/>
        <w:bidi/>
        <w:spacing w:after="100"/>
      </w:pPr>
      <w:r>
        <w:rPr>
          <w:rFonts w:ascii="Times New Roman" w:hAnsi="Times New Roman" w:cs="Times New Roman"/>
          <w:sz w:val="22"/>
          <w:sz-cs w:val="22"/>
        </w:rPr>
        <w:t xml:space="preserve">מדינת ישראל</w:t>
        <w:tab/>
        <w:t xml:space="preserve"/>
        <w:tab/>
        <w:t xml:space="preserve"/>
        <w:tab/>
        <w:t xml:space="preserve"/>
        <w:tab/>
        <w:t xml:space="preserve"/>
        <w:tab/>
        <w:t xml:space="preserve"/>
      </w:r>
      <w:r>
        <w:rPr>
          <w:rFonts w:ascii="Times New Roman" w:hAnsi="Times New Roman" w:cs="Times New Roman"/>
          <w:sz w:val="22"/>
          <w:sz-cs w:val="22"/>
          <w:u w:val="single"/>
          <w:color w:val="0000FF"/>
        </w:rPr>
        <w:t xml:space="preserve"> HYPERLINK "http://www.nevo.co.il/case/5962012" ע"פ 4517/04</w:t>
      </w:r>
    </w:p>
    <w:p>
      <w:pPr>
        <w:jc w:val="both"/>
        <w:bidi/>
        <w:spacing w:after="100"/>
      </w:pPr>
      <w:r>
        <w:rPr>
          <w:rFonts w:ascii="Times New Roman" w:hAnsi="Times New Roman" w:cs="Times New Roman"/>
          <w:sz w:val="22"/>
          <w:sz-cs w:val="22"/>
        </w:rPr>
        <w:t xml:space="preserve">מדינת ישראל</w:t>
      </w:r>
    </w:p>
    <w:p>
      <w:pPr>
        <w:jc w:val="both"/>
        <w:bidi/>
        <w:spacing w:after="100"/>
      </w:pPr>
      <w:r>
        <w:rPr>
          <w:rFonts w:ascii="Times New Roman" w:hAnsi="Times New Roman" w:cs="Times New Roman"/>
          <w:sz w:val="22"/>
          <w:sz-cs w:val="22"/>
        </w:rPr>
        <w:t xml:space="preserve">נגד</w:t>
        <w:tab/>
        <w:t xml:space="preserve"/>
      </w:r>
    </w:p>
    <w:p>
      <w:pPr>
        <w:jc w:val="center"/>
        <w:bidi/>
        <w:spacing w:before="360"/>
      </w:pPr>
      <w:r>
        <w:rPr>
          <w:rFonts w:ascii="Times New Roman" w:hAnsi="Times New Roman" w:cs="Times New Roman"/>
          <w:sz w:val="24"/>
          <w:sz-cs w:val="24"/>
        </w:rPr>
        <w:t xml:space="preserve">אחמד מסראווה</w:t>
        <w:tab/>
        <w:t xml:space="preserve"/>
        <w:tab/>
        <w:t xml:space="preserve"/>
        <w:tab/>
        <w:t xml:space="preserve"/>
        <w:tab/>
        <w:t xml:space="preserve"/>
        <w:tab/>
        <w:t xml:space="preserve"/>
      </w:r>
      <w:r>
        <w:rPr>
          <w:rFonts w:ascii="Times New Roman" w:hAnsi="Times New Roman" w:cs="Times New Roman"/>
          <w:sz w:val="24"/>
          <w:sz-cs w:val="24"/>
          <w:u w:val="single"/>
          <w:color w:val="0000FF"/>
        </w:rPr>
        <w:t xml:space="preserve"> HYPERLINK "http://www.nevo.co.il/case/5962013" </w:t>
      </w:r>
      <w:r>
        <w:rPr>
          <w:rFonts w:ascii="Times New Roman" w:hAnsi="Times New Roman" w:cs="Times New Roman"/>
          <w:sz w:val="22"/>
          <w:sz-cs w:val="22"/>
          <w:u w:val="single"/>
          <w:color w:val="0000FF"/>
        </w:rPr>
        <w:t xml:space="preserve">ע"פ 4571/04</w:t>
      </w:r>
    </w:p>
    <w:p>
      <w:pPr>
        <w:jc w:val="center"/>
        <w:bidi/>
        <w:spacing w:before="360"/>
      </w:pPr>
      <w:r>
        <w:rPr>
          <w:rFonts w:ascii="Times New Roman" w:hAnsi="Times New Roman" w:cs="Times New Roman"/>
          <w:sz w:val="24"/>
          <w:sz-cs w:val="24"/>
        </w:rPr>
        <w:t xml:space="preserve">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העליון בשבתו כבית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לערעורים פליליים</w:t>
      </w:r>
    </w:p>
    <w:p>
      <w:pPr>
        <w:jc w:val="center"/>
        <w:bidi/>
        <w:spacing w:after="120"/>
      </w:pPr>
      <w:r>
        <w:rPr>
          <w:rFonts w:ascii="Times New Roman" w:hAnsi="Times New Roman" w:cs="Times New Roman"/>
          <w:sz w:val="24"/>
          <w:sz-cs w:val="24"/>
        </w:rPr>
        <w:t xml:space="preserve">[10.3.2005]</w:t>
      </w:r>
    </w:p>
    <w:p>
      <w:pPr>
        <w:jc w:val="center"/>
        <w:bidi/>
        <w:spacing w:after="360"/>
      </w:pPr>
      <w:r>
        <w:rPr>
          <w:rFonts w:ascii="Times New Roman" w:hAnsi="Times New Roman" w:cs="Times New Roman"/>
          <w:sz w:val="24"/>
          <w:sz-cs w:val="24"/>
        </w:rPr>
        <w:t xml:space="preserve">לפני השופטים</w:t>
      </w:r>
      <w:r>
        <w:rPr>
          <w:rFonts w:ascii="Times New Roman" w:hAnsi="Times New Roman" w:cs="Times New Roman"/>
          <w:sz w:val="24"/>
          <w:sz-cs w:val="24"/>
          <w:spacing w:val="20"/>
        </w:rPr>
        <w:t xml:space="preserve"> א' א' לוי, א' גרוניס, י' עדיאל</w:t>
      </w:r>
      <w:r>
        <w:rPr>
          <w:rFonts w:ascii="Times New Roman" w:hAnsi="Times New Roman" w:cs="Times New Roman"/>
          <w:sz w:val="24"/>
          <w:sz-cs w:val="24"/>
        </w:rPr>
        <w:t xml:space="preserve"/>
      </w:r>
    </w:p>
    <w:p>
      <w:pPr>
        <w:jc w:val="both"/>
        <w:bidi/>
      </w:pPr>
      <w:r>
        <w:rPr>
          <w:rFonts w:ascii="Times New Roman" w:hAnsi="Times New Roman" w:cs="Times New Roman"/>
          <w:sz w:val="18"/>
          <w:sz-cs w:val="18"/>
        </w:rPr>
        <w:t xml:space="preserve">המערער ב</w:t>
      </w:r>
      <w:r>
        <w:rPr>
          <w:rFonts w:ascii="Times New Roman" w:hAnsi="Times New Roman" w:cs="Times New Roman"/>
          <w:sz w:val="18"/>
          <w:sz-cs w:val="18"/>
          <w:u w:val="single"/>
          <w:color w:val="0000FF"/>
        </w:rPr>
        <w:t xml:space="preserve">HYPERLINK "http://www.nevo.co.il/case/5962012"</w:t>
      </w:r>
      <w:r>
        <w:rPr>
          <w:rFonts w:ascii="Times New Roman" w:hAnsi="Times New Roman" w:cs="Times New Roman"/>
          <w:sz w:val="24"/>
          <w:sz-cs w:val="24"/>
          <w:u w:val="single"/>
          <w:color w:val="0000FF"/>
        </w:rPr>
        <w:t xml:space="preserve">ע"פ 4517/04</w:t>
      </w:r>
      <w:r>
        <w:rPr>
          <w:rFonts w:ascii="Times New Roman" w:hAnsi="Times New Roman" w:cs="Times New Roman"/>
          <w:sz w:val="18"/>
          <w:sz-cs w:val="18"/>
        </w:rPr>
        <w:t xml:space="preserve"> (להלן – המערער) הורשע בבית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המחוזי בעבירות של נשיאת נשק בלא רשות, לפי סעיף 144(ב) ל</w:t>
      </w:r>
      <w:r>
        <w:rPr>
          <w:rFonts w:ascii="Times New Roman" w:hAnsi="Times New Roman" w:cs="Times New Roman"/>
          <w:sz w:val="18"/>
          <w:sz-cs w:val="18"/>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18"/>
          <w:sz-cs w:val="18"/>
        </w:rPr>
        <w:t xml:space="preserve">, תשל"ז-1977 (להלן – החוק), ובניסיון לפצוע בנסיבות מחמירות, לפי סעיף 334 בשילוב עם סעיף 335 וסעיף 25 לחוק. המדינה עתרה להפעלת שני עונשי מאסר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 שהוטלו על המערער בהליך קודם: מאסר של 18 חודשים, שהפעלתו הותנתה בביצוע עבירה לפי סימן ד' לפרק י' לחוק, ומאסר של 12 חודשים, שהפעלתו הותנתה בביצוע עבירה לפי סעיף 144 לחוק. כן ביקשה המשיבה כי המאסרים המותנים יצטברו זה לזה ויתווספו, במצטבר, לעונש שיושת בעקבות ההרשעה. 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קבע כי לא ניתן להפעיל את עונש המאסר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 בן 18 החודשים היות שהמערער הורשע בעבירה של ניסיון לבצע את אחת מעבירות התנאי ולא בעבירה המוגמרת. עונש המאסר המותנה האחר הופעל במצטבר לעונש שנגזר על המערער בגין הרשעתו. </w:t>
      </w:r>
    </w:p>
    <w:p>
      <w:pPr>
        <w:jc w:val="both"/>
        <w:bidi/>
        <w:ind w:first-line="340"/>
      </w:pPr>
      <w:r>
        <w:rPr>
          <w:rFonts w:ascii="Times New Roman" w:hAnsi="Times New Roman" w:cs="Times New Roman"/>
          <w:sz w:val="18"/>
          <w:sz-cs w:val="18"/>
        </w:rPr>
        <w:t xml:space="preserve">המערער ערער על חומרת העונש. המשיבה טענה בערעורה כי התנאי שבגינו יש להפעיל מאסר מותנה מתקיים גם כאשר נאשם מבצע ניסיון לעבור את עבירת התנאי. המערער טען כי גם אם יימצא כי יש מקום להפעלתן של שתי תקופות המאסר המותנות, אין להפעילן במצטבר לאור הכלל הקבוע בסעיף 186 ל</w:t>
      </w:r>
      <w:r>
        <w:rPr>
          <w:rFonts w:ascii="Times New Roman" w:hAnsi="Times New Roman" w:cs="Times New Roman"/>
          <w:sz w:val="18"/>
          <w:sz-cs w:val="18"/>
          <w:u w:val="single"/>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Times New Roman" w:hAnsi="Times New Roman" w:cs="Times New Roman"/>
          <w:sz w:val="18"/>
          <w:sz-cs w:val="18"/>
        </w:rPr>
        <w:t xml:space="preserve"> [נוסח משולב], תשמ"ב-1982, שלפיו אין להעניש פעמיים בגין אותו מעשה.</w:t>
      </w:r>
    </w:p>
    <w:p>
      <w:pPr>
        <w:jc w:val="both"/>
        <w:bidi/>
        <w:ind w:right="680"/>
        <w:spacing w:before="240"/>
      </w:pPr>
      <w:r>
        <w:rPr>
          <w:rFonts w:ascii="Times New Roman" w:hAnsi="Times New Roman" w:cs="Times New Roman"/>
          <w:sz w:val="18"/>
          <w:sz-cs w:val="18"/>
        </w:rPr>
        <w:t xml:space="preserve">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העליון פסק:</w:t>
      </w:r>
    </w:p>
    <w:p>
      <w:pPr>
        <w:jc w:val="both"/>
        <w:bidi/>
        <w:ind w:right="680"/>
      </w:pPr>
      <w:r>
        <w:rPr>
          <w:rFonts w:ascii="Times New Roman" w:hAnsi="Times New Roman" w:cs="Times New Roman"/>
          <w:sz w:val="18"/>
          <w:sz-cs w:val="18"/>
        </w:rPr>
        <w:t xml:space="preserve">א.</w:t>
        <w:tab/>
        <w:t xml:space="preserve">(1)</w:t>
        <w:tab/>
        <w:t xml:space="preserve">לצורך הפעלת העונש המותנה דינה של עבירת ניסיון לעבור את עבירת התנאי המושלמת כדין ביצוע עבירת התנאי המושלמת עצמה, ודי בניסיון כדי להפעיל את </w:t>
      </w:r>
    </w:p>
    <w:p>
      <w:pPr>
        <w:jc w:val="both"/>
        <w:bidi/>
        <w:ind w:right="680"/>
      </w:pPr>
      <w:r>
        <w:rPr>
          <w:rFonts w:ascii="Times New Roman" w:hAnsi="Times New Roman" w:cs="Times New Roman"/>
          <w:sz w:val="18"/>
          <w:sz-cs w:val="18"/>
        </w:rPr>
        <w:t xml:space="preserve"/>
        <w:br w:type="page"/>
        <w:t xml:space="preserve">התנאי. זאת, בין היתר, לנוכח הוראת סעיף 34ד לחוק, שלפיה כל דין החל על הביצוע העיקרי של העבירה המושלמת חל גם על ניסיון (139ג – ד, 140א – ב).</w:t>
      </w:r>
    </w:p>
    <w:p>
      <w:pPr>
        <w:jc w:val="both"/>
        <w:bidi/>
        <w:ind w:right="680"/>
      </w:pPr>
      <w:r>
        <w:rPr>
          <w:rFonts w:ascii="Times New Roman" w:hAnsi="Times New Roman" w:cs="Times New Roman"/>
          <w:sz w:val="18"/>
          <w:sz-cs w:val="18"/>
        </w:rPr>
        <w:t xml:space="preserve"/>
        <w:tab/>
        <w:t xml:space="preserve">(2)</w:t>
        <w:tab/>
        <w:t xml:space="preserve">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כן הרשעתו של המערער בניסיון לעבור עבירה לפי סעיפים 334 ו</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335 לחוק, הכלולים בסימן ד' לפרק י' לחוק, מביאה להפעלתו של המאסר המותנה </w:t>
        <w:br/>
        <w:t xml:space="preserve">(128ג – ד, 140ב, 144א). </w:t>
      </w:r>
    </w:p>
    <w:p>
      <w:pPr>
        <w:jc w:val="both"/>
        <w:bidi/>
        <w:ind w:left="340" w:right="340" w:first-line="-340"/>
      </w:pPr>
      <w:r>
        <w:rPr>
          <w:rFonts w:ascii="Times New Roman" w:hAnsi="Times New Roman" w:cs="Times New Roman"/>
          <w:sz w:val="18"/>
          <w:sz-cs w:val="18"/>
        </w:rPr>
        <w:t xml:space="preserve">ב.</w:t>
        <w:tab/>
        <w:t xml:space="preserve">(</w:t>
      </w:r>
      <w:r>
        <w:rPr>
          <w:rFonts w:ascii="Times New Roman" w:hAnsi="Times New Roman" w:cs="Times New Roman"/>
          <w:sz w:val="22"/>
          <w:sz-cs w:val="22"/>
        </w:rPr>
        <w:t xml:space="preserve">אליבא ד</w:t>
      </w:r>
      <w:r>
        <w:rPr>
          <w:rFonts w:ascii="Times New Roman" w:hAnsi="Times New Roman" w:cs="Times New Roman"/>
          <w:sz w:val="18"/>
          <w:sz-cs w:val="18"/>
        </w:rPr>
        <w:t xml:space="preserve">שופט א' א' לוי): במעשיו של המערער התקיימו גם יסודותיה של העבירה של חבלה בכוונה מחמירה, לפי סעיף 329(א)(2) לחוק, המצויה בסימן ד' לפרק י' לחוק, ולכן היה ניתן להפעיל את המאסר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 שעמד נגדו. העובדה כי המשיבה החליטה לייחס למערער בכתב</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האישום עבירות אחרות, אינה מעלה ואינה מורידה לעניין התנאי שנקבע בהרשעתו הקודמת. השאלה אם יסודותיה של עבירת התנאי התקיימו צריכה להילמד מהעובדות אשר הוכחו בבית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ואין בלבוש משפטי זה או אחר כדי לשנותן </w:t>
        <w:br/>
        <w:t xml:space="preserve">(128ד – 129ב). </w:t>
      </w:r>
    </w:p>
    <w:p>
      <w:pPr>
        <w:jc w:val="both"/>
        <w:bidi/>
        <w:ind w:right="680"/>
      </w:pPr>
      <w:r>
        <w:rPr>
          <w:rFonts w:ascii="Times New Roman" w:hAnsi="Times New Roman" w:cs="Times New Roman"/>
          <w:sz w:val="18"/>
          <w:sz-cs w:val="18"/>
        </w:rPr>
        <w:t xml:space="preserve">ג.</w:t>
        <w:tab/>
        <w:t xml:space="preserve">(1)</w:t>
        <w:tab/>
        <w:t xml:space="preserve">שני המאסרים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 שהוטלו על המערער אינם בבחינת ענישה כפולה בשל "אותו מעשה". במעשיו קיים המערער את יסודותיהן של שתי עבירות נפרדות, וכל אחד ממעשים אלה הוא בבחינת מסכת עובדתית נפרדת ועצמאית (132ז – 133א).</w:t>
      </w:r>
    </w:p>
    <w:p>
      <w:pPr>
        <w:jc w:val="both"/>
        <w:bidi/>
        <w:ind w:right="680"/>
      </w:pPr>
      <w:r>
        <w:rPr>
          <w:rFonts w:ascii="Times New Roman" w:hAnsi="Times New Roman" w:cs="Times New Roman"/>
          <w:sz w:val="18"/>
          <w:sz-cs w:val="18"/>
        </w:rPr>
        <w:t xml:space="preserve"/>
        <w:tab/>
        <w:t xml:space="preserve">(2)</w:t>
        <w:tab/>
        <w:t xml:space="preserve">כמו כן כפי שאין זה מן הנמנע כי התנהגות אחת תצמיח עבירות מספר ועונשים בהתאם למספר העבירות, כך גם ייתכן שהתנהגות אחת תגרום להפעלתם של שני עונשי מאסר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 אם היא מקיימת הלכה למעשה את ה"תנאים" השונים, וכזה הוא המקרה דנן (133ב – ג).</w:t>
      </w:r>
    </w:p>
    <w:p>
      <w:pPr>
        <w:jc w:val="both"/>
        <w:bidi/>
        <w:ind w:right="680"/>
      </w:pPr>
      <w:r>
        <w:rPr>
          <w:rFonts w:ascii="Times New Roman" w:hAnsi="Times New Roman" w:cs="Times New Roman"/>
          <w:sz w:val="18"/>
          <w:sz-cs w:val="18"/>
        </w:rPr>
        <w:t xml:space="preserve"/>
        <w:tab/>
        <w:t xml:space="preserve">(3)</w:t>
        <w:tab/>
        <w:t xml:space="preserve">לפיכך אירוע הירי שבגינו הועמד המערער לדין והורשע הפעיל את שני המאסרים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 שרבצו לפתחו (133ג – ד). </w:t>
      </w:r>
    </w:p>
    <w:p>
      <w:pPr>
        <w:jc w:val="both"/>
        <w:bidi/>
        <w:ind w:right="680"/>
      </w:pPr>
      <w:r>
        <w:rPr>
          <w:rFonts w:ascii="Times New Roman" w:hAnsi="Times New Roman" w:cs="Times New Roman"/>
          <w:sz w:val="18"/>
          <w:sz-cs w:val="18"/>
        </w:rPr>
        <w:t xml:space="preserve"/>
        <w:tab/>
        <w:t xml:space="preserve">(4)</w:t>
        <w:tab/>
        <w:t xml:space="preserve">הכלל שנקבע בסעיף 45 לחוק הוא כי באין קביעה מפורשת אחרת יישא הנאשם בעונשים שהוטלו עליו בחופף. במקרה דנן בגזר</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הדין בהליך הקודם אין קיימת קביעה מפורשת שלפיה העונשים המותנים יופעלו במצטבר זה לזה. כמו כן חפיפתם של המאסרים המותנים היא הפתרון ההולם את נסיבותיו של המקרה. צבירתם של עונשים מספר תתאים בעיקר לסיטואציה שבה אין כל זיקה בין עבירות אחדות, או כאשר חומרתן המופלגת של העבירות מחייבת כי העונשים ירוצו במצטבר. אולם מקום שבו יש לראות, כבמקרה דנן, בכמה עבירות כמשתייכות למסכת עבריינית אחת, כי אז הכלל הוא כי העונשים בגינן יחפפו זה את זה (133ד, 134ז – 135ב). </w:t>
      </w:r>
    </w:p>
    <w:p>
      <w:pPr>
        <w:jc w:val="both"/>
        <w:bidi/>
        <w:ind w:left="340" w:right="340" w:first-line="-340"/>
      </w:pPr>
      <w:r>
        <w:rPr>
          <w:rFonts w:ascii="Times New Roman" w:hAnsi="Times New Roman" w:cs="Times New Roman"/>
          <w:sz w:val="18"/>
          <w:sz-cs w:val="18"/>
        </w:rPr>
        <w:t xml:space="preserve">ד.</w:t>
        <w:tab/>
        <w:t xml:space="preserve">לפיכך יש לדחות את ערעורו של המערער ולקבל את ערעור המשיבה. יש להורות על הפעלתו של המאסר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 בן 18 החודשים שנגזר על המערער בהליך הקודם, נוסף על עונש המאסר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 בן 12 החודשים אשר הופעל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ידי 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המחוזי. במאסרים המותנים יישא המערער בחופף ביניהם, והם יצטברו לעונש שנגזר בהליך הנוכחי (135ו – ז). </w:t>
      </w:r>
    </w:p>
    <w:p>
      <w:pPr>
        <w:jc w:val="both"/>
        <w:bidi/>
        <w:ind w:right="567"/>
        <w:spacing w:after="40"/>
      </w:pPr>
      <w:r>
        <w:rPr>
          <w:rFonts w:ascii="Times New Roman" w:hAnsi="Times New Roman" w:cs="Times New Roman"/>
          <w:sz w:val="24"/>
          <w:sz-cs w:val="24"/>
        </w:rPr>
        <w:t xml:space="preserve"/>
        <w:br w:type="page"/>
        <w:t xml:space="preserve">חקיקה ראשית שאוזכרה:</w:t>
      </w:r>
    </w:p>
    <w:p>
      <w:pPr>
        <w:jc w:val="both"/>
        <w:bidi/>
        <w:ind w:right="567"/>
        <w:spacing w:after="4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תשל"ז-1977, </w:t>
      </w:r>
      <w:r>
        <w:rPr>
          <w:rFonts w:ascii="Times New Roman" w:hAnsi="Times New Roman" w:cs="Times New Roman"/>
          <w:sz w:val="24"/>
          <w:sz-cs w:val="24"/>
          <w:u w:val="single"/>
          <w:color w:val="0000FF"/>
        </w:rPr>
        <w:t xml:space="preserve"> HYPERLINK "http://www.nevo.co.il/law/70301/25" סעיפים 25</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"http://www.nevo.co.il/law/70301/27" 27,</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"http://www.nevo.co.il/law/70301/28" 28,</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"http://www.nevo.co.il/law/70301/32" 32,</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"http://www.nevo.co.il/law/70301/33" 33,</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"http://www.nevo.co.il/law/70301/34c" 34ג,</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"http://www.nevo.co.il/law/70301/34d" 34ד,</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"http://www.nevo.co.il/law/70301/45" 45,</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"http://www.nevo.co.il/law/70301/45.c" 45(ג),</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"http://www.nevo.co.il/law/70301/52.a" 52(א),</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"http://www.nevo.co.il/law/70301/52.b.1" </w:t>
      </w:r>
      <w:r>
        <w:rPr>
          <w:rFonts w:ascii="Times New Roman" w:hAnsi="Times New Roman" w:cs="Times New Roman"/>
          <w:sz w:val="24"/>
          <w:sz-cs w:val="24"/>
          <w:u w:val="single"/>
          <w:color w:val="0000FF"/>
        </w:rPr>
        <w:t xml:space="preserve">52(ב)(1),</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"http://www.nevo.co.il/law/70301/52.d" 52(ד),</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"http://www.nevo.co.il/law/70301/55.a" 55(א),</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"http://www.nevo.co.il/law/70301/56" 56,</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"http://www.nevo.co.il/law/70301/58" 58,</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"http://www.nevo.co.il/law/70301/144" 144,</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"http://www.nevo.co.il/law/70301/144.b" 144(ב),</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"http://www.nevo.co.il/law/70301/327" 327,</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"http://www.nevo.co.il/law/70301/329" 329,</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"http://www.nevo.co.il/law/70301/329.a.1" 329(א)(1),</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"http://www.nevo.co.il/law/70301/329.a.2" 329(א)(2),</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"http://www.nevo.co.il/law/70301/330" 330,</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"http://www.nevo.co.il/law/70301/333" 333,</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"http://www.nevo.co.il/law/70301/334" 334,</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"http://www.nevo.co.il/law/70301/335" 335,</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"http://www.nevo.co.il/law/70301/335.a" 335(א),</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"http://www.nevo.co.il/law/70301/340a" 340א,</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"http://www.nevo.co.il/law/70301/379" 379,</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"http://www.nevo.co.il/law/70301/380" 380,</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"http://www.nevo.co.il/law/70301/383;384;385;386;387;388;389;390;391;392;393;394;395;396;397;398;399;400;401;402;403;404;405;406;407;408;409;410;411;412" 412-383</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"http://www.nevo.co.il/law/70301/cSfC" פרק ו סימן ג</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"http://www.nevo.co.il/law/70301/dSjC" </w:t>
      </w:r>
      <w:r>
        <w:rPr>
          <w:rFonts w:ascii="Times New Roman" w:hAnsi="Times New Roman" w:cs="Times New Roman"/>
          <w:sz w:val="24"/>
          <w:sz-cs w:val="24"/>
          <w:u w:val="single"/>
          <w:color w:val="0000FF"/>
        </w:rPr>
        <w:t xml:space="preserve">פרק י סימן ד</w:t>
      </w:r>
      <w:r>
        <w:rPr>
          <w:rFonts w:ascii="Times New Roman" w:hAnsi="Times New Roman" w:cs="Times New Roman"/>
          <w:sz w:val="24"/>
          <w:sz-cs w:val="24"/>
        </w:rPr>
        <w:t xml:space="preserve"/>
      </w:r>
    </w:p>
    <w:p>
      <w:pPr>
        <w:jc w:val="both"/>
        <w:bidi/>
        <w:ind w:right="567"/>
        <w:spacing w:after="4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"http://www.nevo.co.il/law/131302" </w:t>
      </w:r>
      <w:r>
        <w:rPr>
          <w:rFonts w:ascii="Times New Roman" w:hAnsi="Times New Roman" w:cs="Times New Roman"/>
          <w:sz w:val="24"/>
          <w:sz-cs w:val="24"/>
          <w:u w:val="single"/>
          <w:color w:val="0000FF"/>
        </w:rPr>
        <w:t xml:space="preserve">פקודת החוק הפלילי</w:t>
      </w:r>
      <w:r>
        <w:rPr>
          <w:rFonts w:ascii="Times New Roman" w:hAnsi="Times New Roman" w:cs="Times New Roman"/>
          <w:sz w:val="24"/>
          <w:sz-cs w:val="24"/>
        </w:rPr>
        <w:t xml:space="preserve">, 1936.</w:t>
      </w:r>
    </w:p>
    <w:p>
      <w:pPr>
        <w:jc w:val="both"/>
        <w:bidi/>
        <w:ind w:right="567"/>
        <w:spacing w:after="40"/>
      </w:pPr>
      <w:r>
        <w:rPr>
          <w:rFonts w:ascii="Times New Roman" w:hAnsi="Times New Roman" w:cs="Times New Roman"/>
          <w:sz w:val="24"/>
          <w:sz-cs w:val="24"/>
        </w:rPr>
        <w:t xml:space="preserve">–</w:t>
        <w:tab/>
        <w:t xml:space="preserve"/>
      </w:r>
      <w:r>
        <w:rPr>
          <w:rFonts w:ascii="Times New Roman" w:hAnsi="Times New Roman" w:cs="Times New Roman"/>
          <w:sz w:val="22"/>
          <w:sz-cs w:val="22"/>
          <w:u w:val="single"/>
          <w:color w:val="0000FF"/>
        </w:rPr>
        <w:t xml:space="preserve"> HYPERLINK "http://www.nevo.co.il/law/72065" פקודת הטבק</w:t>
      </w:r>
      <w:r>
        <w:rPr>
          <w:rFonts w:ascii="Times New Roman" w:hAnsi="Times New Roman" w:cs="Times New Roman"/>
          <w:sz w:val="22"/>
          <w:sz-cs w:val="22"/>
        </w:rPr>
        <w:t xml:space="preserve"> [נוסח חדש], </w:t>
      </w:r>
      <w:r>
        <w:rPr>
          <w:rFonts w:ascii="Times New Roman" w:hAnsi="Times New Roman" w:cs="Times New Roman"/>
          <w:sz w:val="22"/>
          <w:sz-cs w:val="22"/>
          <w:u w:val="single"/>
          <w:color w:val="0000FF"/>
        </w:rPr>
        <w:t xml:space="preserve"> HYPERLINK "http://www.nevo.co.il/law/72065/58.b." סעיף 58(ב).</w:t>
      </w:r>
      <w:r>
        <w:rPr>
          <w:rFonts w:ascii="Times New Roman" w:hAnsi="Times New Roman" w:cs="Times New Roman"/>
          <w:sz w:val="22"/>
          <w:sz-cs w:val="22"/>
        </w:rPr>
        <w:t xml:space="preserve"/>
      </w:r>
    </w:p>
    <w:p>
      <w:pPr>
        <w:jc w:val="both"/>
        <w:bidi/>
        <w:ind w:right="567"/>
        <w:spacing w:after="40"/>
      </w:pPr>
      <w:r>
        <w:rPr>
          <w:rFonts w:ascii="Times New Roman" w:hAnsi="Times New Roman" w:cs="Times New Roman"/>
          <w:sz w:val="24"/>
          <w:sz-cs w:val="24"/>
        </w:rPr>
        <w:t xml:space="preserve">–</w:t>
        <w:tab/>
        <w:t xml:space="preserve"/>
      </w:r>
      <w:r>
        <w:rPr>
          <w:rFonts w:ascii="Times New Roman" w:hAnsi="Times New Roman" w:cs="Times New Roman"/>
          <w:sz w:val="22"/>
          <w:sz-cs w:val="22"/>
          <w:u w:val="single"/>
          <w:color w:val="0000FF"/>
        </w:rPr>
        <w:t xml:space="preserve"> HYPERLINK "http://www.nevo.co.il/law/72421" חוק המים</w:t>
      </w:r>
      <w:r>
        <w:rPr>
          <w:rFonts w:ascii="Times New Roman" w:hAnsi="Times New Roman" w:cs="Times New Roman"/>
          <w:sz w:val="22"/>
          <w:sz-cs w:val="22"/>
        </w:rPr>
        <w:t xml:space="preserve">, תשי"ט-1959, </w:t>
      </w:r>
      <w:r>
        <w:rPr>
          <w:rFonts w:ascii="Times New Roman" w:hAnsi="Times New Roman" w:cs="Times New Roman"/>
          <w:sz w:val="22"/>
          <w:sz-cs w:val="22"/>
          <w:u w:val="single"/>
          <w:color w:val="0000FF"/>
        </w:rPr>
        <w:t xml:space="preserve"> HYPERLINK "http://www.nevo.co.il/law/72421/156.b." סעיף 156(ב).</w:t>
      </w:r>
      <w:r>
        <w:rPr>
          <w:rFonts w:ascii="Times New Roman" w:hAnsi="Times New Roman" w:cs="Times New Roman"/>
          <w:sz w:val="22"/>
          <w:sz-cs w:val="22"/>
        </w:rPr>
        <w:t xml:space="preserve"/>
      </w:r>
    </w:p>
    <w:p>
      <w:pPr>
        <w:jc w:val="both"/>
        <w:bidi/>
        <w:ind w:right="567"/>
        <w:spacing w:after="40"/>
      </w:pPr>
      <w:r>
        <w:rPr>
          <w:rFonts w:ascii="Times New Roman" w:hAnsi="Times New Roman" w:cs="Times New Roman"/>
          <w:sz w:val="24"/>
          <w:sz-cs w:val="24"/>
        </w:rPr>
        <w:t xml:space="preserve">–</w:t>
        <w:tab/>
        <w:t xml:space="preserve"/>
      </w:r>
      <w:r>
        <w:rPr>
          <w:rFonts w:ascii="Times New Roman" w:hAnsi="Times New Roman" w:cs="Times New Roman"/>
          <w:sz w:val="22"/>
          <w:sz-cs w:val="22"/>
          <w:u w:val="single"/>
          <w:color w:val="0000FF"/>
        </w:rPr>
        <w:t xml:space="preserve"> HYPERLINK "http://www.nevo.co.il/law/71965" </w:t>
      </w:r>
      <w:r>
        <w:rPr>
          <w:rFonts w:ascii="Times New Roman" w:hAnsi="Times New Roman" w:cs="Times New Roman"/>
          <w:sz w:val="22"/>
          <w:sz-cs w:val="22"/>
          <w:u w:val="single"/>
          <w:color w:val="0000FF"/>
        </w:rPr>
        <w:t xml:space="preserve">חוק לימוד חובה</w:t>
      </w:r>
      <w:r>
        <w:rPr>
          <w:rFonts w:ascii="Times New Roman" w:hAnsi="Times New Roman" w:cs="Times New Roman"/>
          <w:sz w:val="22"/>
          <w:sz-cs w:val="22"/>
        </w:rPr>
        <w:t xml:space="preserve">, תש"ט-1949, </w:t>
      </w:r>
      <w:r>
        <w:rPr>
          <w:rFonts w:ascii="Times New Roman" w:hAnsi="Times New Roman" w:cs="Times New Roman"/>
          <w:sz w:val="22"/>
          <w:sz-cs w:val="22"/>
          <w:u w:val="single"/>
          <w:color w:val="0000FF"/>
        </w:rPr>
        <w:t xml:space="preserve"> HYPERLINK "http://www.nevo.co.il/law/71965/4.c.2." סעיף 4(ג)(2).</w:t>
      </w:r>
      <w:r>
        <w:rPr>
          <w:rFonts w:ascii="Times New Roman" w:hAnsi="Times New Roman" w:cs="Times New Roman"/>
          <w:sz w:val="22"/>
          <w:sz-cs w:val="22"/>
        </w:rPr>
        <w:t xml:space="preserve"/>
      </w:r>
    </w:p>
    <w:p>
      <w:pPr>
        <w:jc w:val="both"/>
        <w:bidi/>
        <w:ind w:right="567"/>
        <w:spacing w:after="40"/>
      </w:pPr>
      <w:r>
        <w:rPr>
          <w:rFonts w:ascii="Times New Roman" w:hAnsi="Times New Roman" w:cs="Times New Roman"/>
          <w:sz w:val="22"/>
          <w:sz-cs w:val="22"/>
        </w:rPr>
        <w:t xml:space="preserve">–</w:t>
        <w:tab/>
        <w:t xml:space="preserve"/>
      </w:r>
      <w:r>
        <w:rPr>
          <w:rFonts w:ascii="Times New Roman" w:hAnsi="Times New Roman" w:cs="Times New Roman"/>
          <w:sz w:val="24"/>
          <w:sz-cs w:val="24"/>
          <w:u w:val="single"/>
          <w:color w:val="0000FF"/>
        </w:rPr>
        <w:t xml:space="preserve"> HYPERLINK "http://www.nevo.co.il/law/4216" פקודת הסמים המסוכנים</w:t>
      </w:r>
      <w:r>
        <w:rPr>
          <w:rFonts w:ascii="Times New Roman" w:hAnsi="Times New Roman" w:cs="Times New Roman"/>
          <w:sz w:val="24"/>
          <w:sz-cs w:val="24"/>
        </w:rPr>
        <w:t xml:space="preserve"> [נוסח חדש], תשל"ג</w:t>
      </w:r>
      <w:r>
        <w:rPr>
          <w:rFonts w:ascii="Times New Roman" w:hAnsi="Times New Roman" w:cs="Times New Roman"/>
          <w:sz w:val="22"/>
          <w:sz-cs w:val="22"/>
        </w:rPr>
        <w:t xml:space="preserve">-</w:t>
      </w:r>
      <w:r>
        <w:rPr>
          <w:rFonts w:ascii="Times New Roman" w:hAnsi="Times New Roman" w:cs="Times New Roman"/>
          <w:sz w:val="24"/>
          <w:sz-cs w:val="24"/>
        </w:rPr>
        <w:t xml:space="preserve">1973, </w:t>
      </w:r>
      <w:r>
        <w:rPr>
          <w:rFonts w:ascii="Times New Roman" w:hAnsi="Times New Roman" w:cs="Times New Roman"/>
          <w:sz w:val="24"/>
          <w:sz-cs w:val="24"/>
          <w:u w:val="single"/>
          <w:color w:val="0000FF"/>
        </w:rPr>
        <w:t xml:space="preserve"> HYPERLINK "http://www.nevo.co.il/law/4216/13" סעיף 13.</w:t>
      </w:r>
      <w:r>
        <w:rPr>
          <w:rFonts w:ascii="Times New Roman" w:hAnsi="Times New Roman" w:cs="Times New Roman"/>
          <w:sz w:val="24"/>
          <w:sz-cs w:val="24"/>
        </w:rPr>
        <w:t xml:space="preserve"/>
      </w:r>
    </w:p>
    <w:p>
      <w:pPr>
        <w:jc w:val="both"/>
        <w:bidi/>
        <w:ind w:right="567"/>
        <w:spacing w:after="40"/>
      </w:pPr>
      <w:r>
        <w:rPr>
          <w:rFonts w:ascii="Times New Roman" w:hAnsi="Times New Roman" w:cs="Times New Roman"/>
          <w:sz w:val="22"/>
          <w:sz-cs w:val="22"/>
        </w:rPr>
        <w:t xml:space="preserve">–</w:t>
        <w:tab/>
        <w:t xml:space="preserve"/>
      </w:r>
      <w:r>
        <w:rPr>
          <w:rFonts w:ascii="Times New Roman" w:hAnsi="Times New Roman" w:cs="Times New Roman"/>
          <w:sz w:val="24"/>
          <w:sz-cs w:val="24"/>
          <w:u w:val="single"/>
          <w:color w:val="0000FF"/>
        </w:rPr>
        <w:t xml:space="preserve"> HYPERLINK "http://www.nevo.co.il/law/74903" חוק סדר הדין הפלילי</w:t>
      </w:r>
      <w:r>
        <w:rPr>
          <w:rFonts w:ascii="Times New Roman" w:hAnsi="Times New Roman" w:cs="Times New Roman"/>
          <w:sz w:val="24"/>
          <w:sz-cs w:val="24"/>
        </w:rPr>
        <w:t xml:space="preserve"> [נוסח משולב], תשמ"ב</w:t>
      </w:r>
      <w:r>
        <w:rPr>
          <w:rFonts w:ascii="Times New Roman" w:hAnsi="Times New Roman" w:cs="Times New Roman"/>
          <w:sz w:val="22"/>
          <w:sz-cs w:val="22"/>
        </w:rPr>
        <w:t xml:space="preserve">-</w:t>
      </w:r>
      <w:r>
        <w:rPr>
          <w:rFonts w:ascii="Times New Roman" w:hAnsi="Times New Roman" w:cs="Times New Roman"/>
          <w:sz w:val="24"/>
          <w:sz-cs w:val="24"/>
        </w:rPr>
        <w:t xml:space="preserve">1982, </w:t>
      </w:r>
      <w:r>
        <w:rPr>
          <w:rFonts w:ascii="Times New Roman" w:hAnsi="Times New Roman" w:cs="Times New Roman"/>
          <w:sz w:val="24"/>
          <w:sz-cs w:val="24"/>
          <w:u w:val="single"/>
          <w:color w:val="0000FF"/>
        </w:rPr>
        <w:t xml:space="preserve"> HYPERLINK "http://www.nevo.co.il/law/74903/184" סעיפים 184</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"http://www.nevo.co.il/law/74903/186" 186</w:t>
      </w:r>
      <w:r>
        <w:rPr>
          <w:rFonts w:ascii="Times New Roman" w:hAnsi="Times New Roman" w:cs="Times New Roman"/>
          <w:sz w:val="24"/>
          <w:sz-cs w:val="24"/>
        </w:rPr>
        <w:t xml:space="preserve">.</w:t>
      </w:r>
    </w:p>
    <w:p>
      <w:pPr>
        <w:jc w:val="both"/>
        <w:bidi/>
        <w:ind w:right="567"/>
        <w:spacing w:after="40"/>
      </w:pPr>
      <w:r>
        <w:rPr>
          <w:rFonts w:ascii="Times New Roman" w:hAnsi="Times New Roman" w:cs="Times New Roman"/>
          <w:sz w:val="22"/>
          <w:sz-cs w:val="22"/>
        </w:rPr>
        <w:t xml:space="preserve">–</w:t>
        <w:tab/>
        <w:t xml:space="preserve"/>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(תיקון מס' 39) (חלק מקדמי וחלק כללי), תשנ"ד</w:t>
      </w:r>
      <w:r>
        <w:rPr>
          <w:rFonts w:ascii="Times New Roman" w:hAnsi="Times New Roman" w:cs="Times New Roman"/>
          <w:sz w:val="22"/>
          <w:sz-cs w:val="22"/>
        </w:rPr>
        <w:t xml:space="preserve">-</w:t>
      </w:r>
      <w:r>
        <w:rPr>
          <w:rFonts w:ascii="Times New Roman" w:hAnsi="Times New Roman" w:cs="Times New Roman"/>
          <w:sz w:val="24"/>
          <w:sz-cs w:val="24"/>
        </w:rPr>
        <w:t xml:space="preserve">1994.</w:t>
      </w:r>
      <w:r>
        <w:rPr>
          <w:rFonts w:ascii="Times New Roman" w:hAnsi="Times New Roman" w:cs="Times New Roman"/>
          <w:sz w:val="22"/>
          <w:sz-cs w:val="22"/>
        </w:rPr>
        <w:t xml:space="preserve"/>
      </w:r>
    </w:p>
    <w:p>
      <w:pPr>
        <w:jc w:val="both"/>
        <w:bidi/>
        <w:ind w:right="567"/>
        <w:spacing w:before="240"/>
      </w:pPr>
      <w:r>
        <w:rPr>
          <w:rFonts w:ascii="Times New Roman" w:hAnsi="Times New Roman" w:cs="Times New Roman"/>
          <w:sz w:val="24"/>
          <w:sz-cs w:val="24"/>
        </w:rPr>
        <w:t xml:space="preserve">הצעות חוק שאוזכרו:</w:t>
      </w:r>
    </w:p>
    <w:p>
      <w:pPr>
        <w:jc w:val="both"/>
        <w:bidi/>
        <w:ind w:right="567"/>
        <w:spacing w:after="40"/>
      </w:pPr>
      <w:r>
        <w:rPr>
          <w:rFonts w:ascii="Times New Roman" w:hAnsi="Times New Roman" w:cs="Times New Roman"/>
          <w:sz w:val="24"/>
          <w:sz-cs w:val="24"/>
        </w:rPr>
        <w:t xml:space="preserve">–</w:t>
        <w:tab/>
        <w:t xml:space="preserve">הצעת חוק לתיקון פקודת החוק הפלילי (מס' 29), תשכ"ו-1965.</w:t>
      </w:r>
    </w:p>
    <w:p>
      <w:pPr>
        <w:jc w:val="both"/>
        <w:bidi/>
        <w:ind w:right="567"/>
        <w:spacing w:after="40"/>
      </w:pPr>
      <w:r>
        <w:rPr>
          <w:rFonts w:ascii="Times New Roman" w:hAnsi="Times New Roman" w:cs="Times New Roman"/>
          <w:sz w:val="24"/>
          <w:sz-cs w:val="24"/>
        </w:rPr>
        <w:t xml:space="preserve">–</w:t>
        <w:tab/>
        <w:t xml:space="preserve">הצעת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(חלק מקדמי וחלק כללי), תשנ"ב</w:t>
      </w:r>
      <w:r>
        <w:rPr>
          <w:rFonts w:ascii="Times New Roman" w:hAnsi="Times New Roman" w:cs="Times New Roman"/>
          <w:sz w:val="22"/>
          <w:sz-cs w:val="22"/>
        </w:rPr>
        <w:t xml:space="preserve">-</w:t>
      </w:r>
      <w:r>
        <w:rPr>
          <w:rFonts w:ascii="Times New Roman" w:hAnsi="Times New Roman" w:cs="Times New Roman"/>
          <w:sz w:val="24"/>
          <w:sz-cs w:val="24"/>
        </w:rPr>
        <w:t xml:space="preserve">1992.</w:t>
      </w:r>
    </w:p>
    <w:p>
      <w:pPr>
        <w:jc w:val="both"/>
        <w:bidi/>
        <w:ind w:right="567"/>
        <w:spacing w:before="240"/>
      </w:pPr>
      <w:r>
        <w:rPr>
          <w:rFonts w:ascii="Times New Roman" w:hAnsi="Times New Roman" w:cs="Times New Roman"/>
          <w:sz w:val="24"/>
          <w:sz-cs w:val="24"/>
        </w:rPr>
        <w:t xml:space="preserve"/>
        <w:br w:type="page"/>
        <w:t xml:space="preserve">פסקי</w:t>
      </w:r>
      <w:r>
        <w:rPr>
          <w:rFonts w:ascii="Times New Roman" w:hAnsi="Times New Roman" w:cs="Times New Roman"/>
          <w:sz w:val="22"/>
          <w:sz-cs w:val="22"/>
          <w:position w:val="4"/>
        </w:rPr>
        <w:t xml:space="preserve">-</w:t>
      </w:r>
      <w:r>
        <w:rPr>
          <w:rFonts w:ascii="Times New Roman" w:hAnsi="Times New Roman" w:cs="Times New Roman"/>
          <w:sz w:val="24"/>
          <w:sz-cs w:val="24"/>
        </w:rPr>
        <w:t xml:space="preserve">דין של בית</w:t>
      </w:r>
      <w:r>
        <w:rPr>
          <w:rFonts w:ascii="Times New Roman" w:hAnsi="Times New Roman" w:cs="Times New Roman"/>
          <w:sz w:val="22"/>
          <w:sz-cs w:val="22"/>
          <w:position w:val="4"/>
        </w:rPr>
        <w:t xml:space="preserve">-</w:t>
      </w:r>
      <w:r>
        <w:rPr>
          <w:rFonts w:ascii="Times New Roman" w:hAnsi="Times New Roman" w:cs="Times New Roman"/>
          <w:sz w:val="24"/>
          <w:sz-cs w:val="24"/>
        </w:rPr>
        <w:t xml:space="preserve">המשפט העליון שאוזכרו:</w:t>
      </w:r>
    </w:p>
    <w:p>
      <w:pPr>
        <w:jc w:val="both"/>
        <w:bidi/>
        <w:ind w:right="567"/>
        <w:spacing w:after="40"/>
      </w:pPr>
      <w:r>
        <w:rPr>
          <w:rFonts w:ascii="Times New Roman" w:hAnsi="Times New Roman" w:cs="Times New Roman"/>
          <w:sz w:val="24"/>
          <w:sz-cs w:val="24"/>
        </w:rPr>
        <w:t xml:space="preserve">[1]</w:t>
        <w:tab/>
        <w:t xml:space="preserve"/>
      </w:r>
      <w:r>
        <w:rPr>
          <w:rFonts w:ascii="Times New Roman" w:hAnsi="Times New Roman" w:cs="Times New Roman"/>
          <w:sz w:val="24"/>
          <w:sz-cs w:val="24"/>
          <w:u w:val="single"/>
          <w:color w:val="0000FF"/>
        </w:rPr>
        <w:t xml:space="preserve">HYPERLINK "http://www.nevo.co.il/case/17931933"</w:t>
      </w:r>
      <w:r>
        <w:rPr>
          <w:rFonts w:ascii="Times New Roman" w:hAnsi="Times New Roman" w:cs="Times New Roman"/>
          <w:sz w:val="24"/>
          <w:sz-cs w:val="24"/>
          <w:u w:val="single"/>
          <w:color w:val="0000FF"/>
        </w:rPr>
        <w:t xml:space="preserve">ע"פ 823/84 מדינת ישראל נ' הררי, פ"ד לט</w:t>
      </w:r>
      <w:r>
        <w:rPr>
          <w:rFonts w:ascii="Times New Roman" w:hAnsi="Times New Roman" w:cs="Times New Roman"/>
          <w:sz w:val="24"/>
          <w:sz-cs w:val="24"/>
        </w:rPr>
        <w:t xml:space="preserve">(2) 393.</w:t>
      </w:r>
    </w:p>
    <w:p>
      <w:pPr>
        <w:jc w:val="both"/>
        <w:bidi/>
        <w:ind w:right="567"/>
        <w:spacing w:after="40"/>
      </w:pPr>
      <w:r>
        <w:rPr>
          <w:rFonts w:ascii="Times New Roman" w:hAnsi="Times New Roman" w:cs="Times New Roman"/>
          <w:sz w:val="24"/>
          <w:sz-cs w:val="24"/>
        </w:rPr>
        <w:t xml:space="preserve">[2]</w:t>
        <w:tab/>
        <w:t xml:space="preserve"/>
      </w:r>
      <w:r>
        <w:rPr>
          <w:rFonts w:ascii="Times New Roman" w:hAnsi="Times New Roman" w:cs="Times New Roman"/>
          <w:sz w:val="24"/>
          <w:sz-cs w:val="24"/>
          <w:u w:val="single"/>
          <w:color w:val="0000FF"/>
        </w:rPr>
        <w:t xml:space="preserve">HYPERLINK "http://www.nevo.co.il/case/17943349"</w:t>
      </w:r>
      <w:r>
        <w:rPr>
          <w:rFonts w:ascii="Times New Roman" w:hAnsi="Times New Roman" w:cs="Times New Roman"/>
          <w:sz w:val="24"/>
          <w:sz-cs w:val="24"/>
          <w:u w:val="single"/>
          <w:color w:val="0000FF"/>
        </w:rPr>
        <w:t xml:space="preserve">ד"נ 16/85 הררי נ' מדינת ישראל, פ"ד מ</w:t>
      </w:r>
      <w:r>
        <w:rPr>
          <w:rFonts w:ascii="Times New Roman" w:hAnsi="Times New Roman" w:cs="Times New Roman"/>
          <w:sz w:val="24"/>
          <w:sz-cs w:val="24"/>
        </w:rPr>
        <w:t xml:space="preserve">(3) 449.</w:t>
      </w:r>
    </w:p>
    <w:p>
      <w:pPr>
        <w:jc w:val="both"/>
        <w:bidi/>
        <w:ind w:right="567"/>
        <w:spacing w:after="40"/>
      </w:pPr>
      <w:r>
        <w:rPr>
          <w:rFonts w:ascii="Times New Roman" w:hAnsi="Times New Roman" w:cs="Times New Roman"/>
          <w:sz w:val="24"/>
          <w:sz-cs w:val="24"/>
        </w:rPr>
        <w:t xml:space="preserve">[3]</w:t>
        <w:tab/>
        <w:t xml:space="preserve"/>
      </w:r>
      <w:r>
        <w:rPr>
          <w:rFonts w:ascii="Times New Roman" w:hAnsi="Times New Roman" w:cs="Times New Roman"/>
          <w:sz w:val="24"/>
          <w:sz-cs w:val="24"/>
          <w:u w:val="single"/>
          <w:color w:val="0000FF"/>
        </w:rPr>
        <w:t xml:space="preserve">HYPERLINK "http://www.nevo.co.il/case/17942576"</w:t>
      </w:r>
      <w:r>
        <w:rPr>
          <w:rFonts w:ascii="Times New Roman" w:hAnsi="Times New Roman" w:cs="Times New Roman"/>
          <w:sz w:val="24"/>
          <w:sz-cs w:val="24"/>
          <w:u w:val="single"/>
          <w:color w:val="0000FF"/>
        </w:rPr>
        <w:t xml:space="preserve">ע"פ 49/80 מסילתי נ' מדינת ישראל, פ"ד לד</w:t>
      </w:r>
      <w:r>
        <w:rPr>
          <w:rFonts w:ascii="Times New Roman" w:hAnsi="Times New Roman" w:cs="Times New Roman"/>
          <w:sz w:val="24"/>
          <w:sz-cs w:val="24"/>
        </w:rPr>
        <w:t xml:space="preserve">(3) 808.</w:t>
      </w:r>
    </w:p>
    <w:p>
      <w:pPr>
        <w:jc w:val="both"/>
        <w:bidi/>
        <w:ind w:right="567"/>
        <w:spacing w:after="40"/>
      </w:pPr>
      <w:r>
        <w:rPr>
          <w:rFonts w:ascii="Times New Roman" w:hAnsi="Times New Roman" w:cs="Times New Roman"/>
          <w:sz w:val="24"/>
          <w:sz-cs w:val="24"/>
        </w:rPr>
        <w:t xml:space="preserve">[4]</w:t>
        <w:tab/>
        <w:t xml:space="preserve"/>
      </w:r>
      <w:r>
        <w:rPr>
          <w:rFonts w:ascii="Times New Roman" w:hAnsi="Times New Roman" w:cs="Times New Roman"/>
          <w:sz w:val="24"/>
          <w:sz-cs w:val="24"/>
          <w:u w:val="single"/>
          <w:color w:val="0000FF"/>
        </w:rPr>
        <w:t xml:space="preserve">HYPERLINK "http://www.nevo.co.il/case/5796872"</w:t>
      </w:r>
      <w:r>
        <w:rPr>
          <w:rFonts w:ascii="Times New Roman" w:hAnsi="Times New Roman" w:cs="Times New Roman"/>
          <w:sz w:val="24"/>
          <w:sz-cs w:val="24"/>
          <w:u w:val="single"/>
          <w:color w:val="0000FF"/>
        </w:rPr>
        <w:t xml:space="preserve">ע"פ 1867/00 מדינת ישראל נ' גוטמן, פ"ד נד</w:t>
      </w:r>
      <w:r>
        <w:rPr>
          <w:rFonts w:ascii="Times New Roman" w:hAnsi="Times New Roman" w:cs="Times New Roman"/>
          <w:sz w:val="24"/>
          <w:sz-cs w:val="24"/>
        </w:rPr>
        <w:t xml:space="preserve">(3) 145.</w:t>
      </w:r>
    </w:p>
    <w:p>
      <w:pPr>
        <w:jc w:val="both"/>
        <w:bidi/>
        <w:ind w:right="567"/>
        <w:spacing w:after="40"/>
      </w:pPr>
      <w:r>
        <w:rPr>
          <w:rFonts w:ascii="Times New Roman" w:hAnsi="Times New Roman" w:cs="Times New Roman"/>
          <w:sz w:val="24"/>
          <w:sz-cs w:val="24"/>
        </w:rPr>
        <w:t xml:space="preserve">[5]</w:t>
        <w:tab/>
        <w:t xml:space="preserve"/>
      </w:r>
      <w:r>
        <w:rPr>
          <w:rFonts w:ascii="Times New Roman" w:hAnsi="Times New Roman" w:cs="Times New Roman"/>
          <w:sz w:val="24"/>
          <w:sz-cs w:val="24"/>
          <w:u w:val="single"/>
          <w:color w:val="0000FF"/>
        </w:rPr>
        <w:t xml:space="preserve">HYPERLINK "http://www.nevo.co.il/case/5736485"</w:t>
      </w:r>
      <w:r>
        <w:rPr>
          <w:rFonts w:ascii="Times New Roman" w:hAnsi="Times New Roman" w:cs="Times New Roman"/>
          <w:sz w:val="22"/>
          <w:sz-cs w:val="22"/>
          <w:u w:val="single"/>
          <w:color w:val="0000FF"/>
        </w:rPr>
        <w:t xml:space="preserve">ע"פ 946/04 מדינת ישראל נ' עובד, פ"ד נח</w:t>
      </w:r>
      <w:r>
        <w:rPr>
          <w:rFonts w:ascii="Times New Roman" w:hAnsi="Times New Roman" w:cs="Times New Roman"/>
          <w:sz w:val="22"/>
          <w:sz-cs w:val="22"/>
        </w:rPr>
        <w:t xml:space="preserve">(6) 951.</w:t>
      </w:r>
      <w:r>
        <w:rPr>
          <w:rFonts w:ascii="Times New Roman" w:hAnsi="Times New Roman" w:cs="Times New Roman"/>
          <w:sz w:val="24"/>
          <w:sz-cs w:val="24"/>
        </w:rPr>
        <w:t xml:space="preserve"/>
      </w:r>
    </w:p>
    <w:p>
      <w:pPr>
        <w:jc w:val="both"/>
        <w:bidi/>
        <w:ind w:right="567"/>
        <w:spacing w:after="40"/>
      </w:pPr>
      <w:r>
        <w:rPr>
          <w:rFonts w:ascii="Times New Roman" w:hAnsi="Times New Roman" w:cs="Times New Roman"/>
          <w:sz w:val="24"/>
          <w:sz-cs w:val="24"/>
        </w:rPr>
        <w:t xml:space="preserve">[6]</w:t>
        <w:tab/>
        <w:t xml:space="preserve"/>
      </w:r>
      <w:r>
        <w:rPr>
          <w:rFonts w:ascii="Times New Roman" w:hAnsi="Times New Roman" w:cs="Times New Roman"/>
          <w:sz w:val="24"/>
          <w:sz-cs w:val="24"/>
          <w:u w:val="single"/>
          <w:color w:val="0000FF"/>
        </w:rPr>
        <w:t xml:space="preserve">HYPERLINK "http://www.nevo.co.il/case/17929037"</w:t>
      </w:r>
      <w:r>
        <w:rPr>
          <w:rFonts w:ascii="Times New Roman" w:hAnsi="Times New Roman" w:cs="Times New Roman"/>
          <w:sz w:val="24"/>
          <w:sz-cs w:val="24"/>
          <w:u w:val="single"/>
          <w:color w:val="0000FF"/>
        </w:rPr>
        <w:t xml:space="preserve">ע"פ 624/75 גלאגל נ' מדינת ישראל, פ"ד ל</w:t>
      </w:r>
      <w:r>
        <w:rPr>
          <w:rFonts w:ascii="Times New Roman" w:hAnsi="Times New Roman" w:cs="Times New Roman"/>
          <w:sz w:val="24"/>
          <w:sz-cs w:val="24"/>
        </w:rPr>
        <w:t xml:space="preserve">(2) 222.</w:t>
      </w:r>
    </w:p>
    <w:p>
      <w:pPr>
        <w:jc w:val="both"/>
        <w:bidi/>
        <w:ind w:right="567"/>
        <w:spacing w:after="40"/>
      </w:pPr>
      <w:r>
        <w:rPr>
          <w:rFonts w:ascii="Times New Roman" w:hAnsi="Times New Roman" w:cs="Times New Roman"/>
          <w:sz w:val="24"/>
          <w:sz-cs w:val="24"/>
        </w:rPr>
        <w:t xml:space="preserve">[7]</w:t>
        <w:tab/>
        <w:t xml:space="preserve"/>
      </w:r>
      <w:r>
        <w:rPr>
          <w:rFonts w:ascii="Times New Roman" w:hAnsi="Times New Roman" w:cs="Times New Roman"/>
          <w:sz w:val="24"/>
          <w:sz-cs w:val="24"/>
          <w:u w:val="single"/>
          <w:color w:val="0000FF"/>
        </w:rPr>
        <w:t xml:space="preserve">HYPERLINK "http://www.nevo.co.il/case/5881062"</w:t>
      </w:r>
      <w:r>
        <w:rPr>
          <w:rFonts w:ascii="Times New Roman" w:hAnsi="Times New Roman" w:cs="Times New Roman"/>
          <w:sz w:val="22"/>
          <w:sz-cs w:val="22"/>
          <w:u w:val="single"/>
          <w:color w:val="0000FF"/>
        </w:rPr>
        <w:t xml:space="preserve">ע"פ 6141/01 ג'בארין נ' מדינת ישראל, פ"ד נט</w:t>
      </w:r>
      <w:r>
        <w:rPr>
          <w:rFonts w:ascii="Times New Roman" w:hAnsi="Times New Roman" w:cs="Times New Roman"/>
          <w:sz w:val="22"/>
          <w:sz-cs w:val="22"/>
        </w:rPr>
        <w:t xml:space="preserve">(1) 653.</w:t>
      </w:r>
      <w:r>
        <w:rPr>
          <w:rFonts w:ascii="Times New Roman" w:hAnsi="Times New Roman" w:cs="Times New Roman"/>
          <w:sz w:val="24"/>
          <w:sz-cs w:val="24"/>
        </w:rPr>
        <w:t xml:space="preserve"> </w:t>
      </w:r>
    </w:p>
    <w:p>
      <w:pPr>
        <w:jc w:val="both"/>
        <w:bidi/>
        <w:ind w:right="567"/>
        <w:spacing w:after="40"/>
      </w:pPr>
      <w:r>
        <w:rPr>
          <w:rFonts w:ascii="Times New Roman" w:hAnsi="Times New Roman" w:cs="Times New Roman"/>
          <w:sz w:val="24"/>
          <w:sz-cs w:val="24"/>
        </w:rPr>
        <w:t xml:space="preserve">[8]</w:t>
        <w:tab/>
        <w:t xml:space="preserve"/>
      </w:r>
      <w:r>
        <w:rPr>
          <w:rFonts w:ascii="Times New Roman" w:hAnsi="Times New Roman" w:cs="Times New Roman"/>
          <w:sz w:val="24"/>
          <w:sz-cs w:val="24"/>
          <w:u w:val="single"/>
          <w:color w:val="0000FF"/>
        </w:rPr>
        <w:t xml:space="preserve">HYPERLINK "http://www.nevo.co.il/case/5875565"</w:t>
      </w:r>
      <w:r>
        <w:rPr>
          <w:rFonts w:ascii="Times New Roman" w:hAnsi="Times New Roman" w:cs="Times New Roman"/>
          <w:sz w:val="22"/>
          <w:sz-cs w:val="22"/>
          <w:u w:val="single"/>
          <w:color w:val="0000FF"/>
        </w:rPr>
        <w:t xml:space="preserve">ע"פ 3503/01 תפאל נ' מדינת ישראל, פ"ד נח</w:t>
      </w:r>
      <w:r>
        <w:rPr>
          <w:rFonts w:ascii="Times New Roman" w:hAnsi="Times New Roman" w:cs="Times New Roman"/>
          <w:sz w:val="22"/>
          <w:sz-cs w:val="22"/>
        </w:rPr>
        <w:t xml:space="preserve">(1) 865.</w:t>
      </w:r>
      <w:r>
        <w:rPr>
          <w:rFonts w:ascii="Times New Roman" w:hAnsi="Times New Roman" w:cs="Times New Roman"/>
          <w:sz w:val="24"/>
          <w:sz-cs w:val="24"/>
        </w:rPr>
        <w:t xml:space="preserve"/>
      </w:r>
    </w:p>
    <w:p>
      <w:pPr>
        <w:jc w:val="both"/>
        <w:bidi/>
        <w:ind w:right="567"/>
        <w:spacing w:after="40"/>
      </w:pPr>
      <w:r>
        <w:rPr>
          <w:rFonts w:ascii="Times New Roman" w:hAnsi="Times New Roman" w:cs="Times New Roman"/>
          <w:sz w:val="24"/>
          <w:sz-cs w:val="24"/>
        </w:rPr>
        <w:t xml:space="preserve">[9]</w:t>
        <w:tab/>
        <w:t xml:space="preserve"/>
      </w:r>
      <w:r>
        <w:rPr>
          <w:rFonts w:ascii="Times New Roman" w:hAnsi="Times New Roman" w:cs="Times New Roman"/>
          <w:sz w:val="24"/>
          <w:sz-cs w:val="24"/>
          <w:u w:val="single"/>
          <w:color w:val="0000FF"/>
        </w:rPr>
        <w:t xml:space="preserve">HYPERLINK "http://www.nevo.co.il/case/6159983"</w:t>
      </w:r>
      <w:r>
        <w:rPr>
          <w:rFonts w:ascii="Times New Roman" w:hAnsi="Times New Roman" w:cs="Times New Roman"/>
          <w:sz w:val="24"/>
          <w:sz-cs w:val="24"/>
          <w:u w:val="single"/>
          <w:color w:val="0000FF"/>
        </w:rPr>
        <w:t xml:space="preserve">ע"פ 9804/02 שר נ' מדינת ישראל, פ"ד נח</w:t>
      </w:r>
      <w:r>
        <w:rPr>
          <w:rFonts w:ascii="Times New Roman" w:hAnsi="Times New Roman" w:cs="Times New Roman"/>
          <w:sz w:val="24"/>
          <w:sz-cs w:val="24"/>
        </w:rPr>
        <w:t xml:space="preserve">(4) 461.</w:t>
      </w:r>
    </w:p>
    <w:p>
      <w:pPr>
        <w:jc w:val="both"/>
        <w:bidi/>
        <w:ind w:right="567"/>
        <w:spacing w:after="40"/>
      </w:pPr>
      <w:r>
        <w:rPr>
          <w:rFonts w:ascii="Times New Roman" w:hAnsi="Times New Roman" w:cs="Times New Roman"/>
          <w:sz w:val="24"/>
          <w:sz-cs w:val="24"/>
        </w:rPr>
        <w:t xml:space="preserve">[10]</w:t>
        <w:tab/>
        <w:t xml:space="preserve"/>
      </w:r>
      <w:r>
        <w:rPr>
          <w:rFonts w:ascii="Times New Roman" w:hAnsi="Times New Roman" w:cs="Times New Roman"/>
          <w:sz w:val="24"/>
          <w:sz-cs w:val="24"/>
          <w:u w:val="single"/>
          <w:color w:val="0000FF"/>
        </w:rPr>
        <w:t xml:space="preserve">HYPERLINK "http://www.nevo.co.il/case/5788915"</w:t>
      </w:r>
      <w:r>
        <w:rPr>
          <w:rFonts w:ascii="Times New Roman" w:hAnsi="Times New Roman" w:cs="Times New Roman"/>
          <w:sz w:val="24"/>
          <w:sz-cs w:val="24"/>
          <w:u w:val="single"/>
          <w:color w:val="0000FF"/>
        </w:rPr>
        <w:t xml:space="preserve">ע"פ 1742/91 פופר נ' מדינת ישראל, פ"ד נא</w:t>
      </w:r>
      <w:r>
        <w:rPr>
          <w:rFonts w:ascii="Times New Roman" w:hAnsi="Times New Roman" w:cs="Times New Roman"/>
          <w:sz w:val="24"/>
          <w:sz-cs w:val="24"/>
        </w:rPr>
        <w:t xml:space="preserve">(5) 289.</w:t>
      </w:r>
    </w:p>
    <w:p>
      <w:pPr>
        <w:jc w:val="both"/>
        <w:bidi/>
        <w:ind w:right="567"/>
        <w:spacing w:after="40"/>
      </w:pPr>
      <w:r>
        <w:rPr>
          <w:rFonts w:ascii="Times New Roman" w:hAnsi="Times New Roman" w:cs="Times New Roman"/>
          <w:sz w:val="24"/>
          <w:sz-cs w:val="24"/>
        </w:rPr>
        <w:t xml:space="preserve">[11]</w:t>
        <w:tab/>
        <w:t xml:space="preserve"/>
      </w:r>
      <w:r>
        <w:rPr>
          <w:rFonts w:ascii="Times New Roman" w:hAnsi="Times New Roman" w:cs="Times New Roman"/>
          <w:sz w:val="24"/>
          <w:sz-cs w:val="24"/>
          <w:u w:val="single"/>
          <w:color w:val="0000FF"/>
        </w:rPr>
        <w:t xml:space="preserve">HYPERLINK "http://www.nevo.co.il/case/6070684"</w:t>
      </w:r>
      <w:r>
        <w:rPr>
          <w:rFonts w:ascii="Times New Roman" w:hAnsi="Times New Roman" w:cs="Times New Roman"/>
          <w:sz w:val="24"/>
          <w:sz-cs w:val="24"/>
          <w:u w:val="single"/>
          <w:color w:val="0000FF"/>
        </w:rPr>
        <w:t xml:space="preserve">ע"פ 6535/01 קוזירוב נ' מדינת ישראל, פ"ד נז</w:t>
      </w:r>
      <w:r>
        <w:rPr>
          <w:rFonts w:ascii="Times New Roman" w:hAnsi="Times New Roman" w:cs="Times New Roman"/>
          <w:sz w:val="24"/>
          <w:sz-cs w:val="24"/>
        </w:rPr>
        <w:t xml:space="preserve">(3) 562.</w:t>
      </w:r>
    </w:p>
    <w:p>
      <w:pPr>
        <w:jc w:val="both"/>
        <w:bidi/>
        <w:ind w:right="567"/>
        <w:spacing w:after="40"/>
      </w:pPr>
      <w:r>
        <w:rPr>
          <w:rFonts w:ascii="Times New Roman" w:hAnsi="Times New Roman" w:cs="Times New Roman"/>
          <w:sz w:val="24"/>
          <w:sz-cs w:val="24"/>
        </w:rPr>
        <w:t xml:space="preserve">[12]</w:t>
        <w:tab/>
        <w:t xml:space="preserve"/>
      </w:r>
      <w:r>
        <w:rPr>
          <w:rFonts w:ascii="Times New Roman" w:hAnsi="Times New Roman" w:cs="Times New Roman"/>
          <w:sz w:val="24"/>
          <w:sz-cs w:val="24"/>
          <w:u w:val="single"/>
          <w:color w:val="0000FF"/>
        </w:rPr>
        <w:t xml:space="preserve">HYPERLINK "http://www.nevo.co.il/case/5981628"</w:t>
      </w:r>
      <w:r>
        <w:rPr>
          <w:rFonts w:ascii="Times New Roman" w:hAnsi="Times New Roman" w:cs="Times New Roman"/>
          <w:sz w:val="24"/>
          <w:sz-cs w:val="24"/>
          <w:u w:val="single"/>
          <w:color w:val="0000FF"/>
        </w:rPr>
        <w:t xml:space="preserve">ע"פ 5023/99 חכמי נ' מדינת ישראל, פ"ד נה</w:t>
      </w:r>
      <w:r>
        <w:rPr>
          <w:rFonts w:ascii="Times New Roman" w:hAnsi="Times New Roman" w:cs="Times New Roman"/>
          <w:sz w:val="24"/>
          <w:sz-cs w:val="24"/>
        </w:rPr>
        <w:t xml:space="preserve">(3) 406.</w:t>
      </w:r>
    </w:p>
    <w:p>
      <w:pPr>
        <w:jc w:val="both"/>
        <w:bidi/>
        <w:ind w:right="567"/>
        <w:spacing w:after="40"/>
      </w:pPr>
      <w:r>
        <w:rPr>
          <w:rFonts w:ascii="Times New Roman" w:hAnsi="Times New Roman" w:cs="Times New Roman"/>
          <w:sz w:val="24"/>
          <w:sz-cs w:val="24"/>
        </w:rPr>
        <w:t xml:space="preserve">[13]</w:t>
        <w:tab/>
        <w:t xml:space="preserve"/>
      </w:r>
      <w:r>
        <w:rPr>
          <w:rFonts w:ascii="Times New Roman" w:hAnsi="Times New Roman" w:cs="Times New Roman"/>
          <w:sz w:val="24"/>
          <w:sz-cs w:val="24"/>
          <w:u w:val="single"/>
          <w:color w:val="0000FF"/>
        </w:rPr>
        <w:t xml:space="preserve">HYPERLINK "http://www.nevo.co.il/case/16998969"</w:t>
      </w:r>
      <w:r>
        <w:rPr>
          <w:rFonts w:ascii="Times New Roman" w:hAnsi="Times New Roman" w:cs="Times New Roman"/>
          <w:sz w:val="24"/>
          <w:sz-cs w:val="24"/>
          <w:u w:val="single"/>
          <w:color w:val="0000FF"/>
        </w:rPr>
        <w:t xml:space="preserve">ע"פ 269/78 חליוואה נ' מדינת ישראל, פ"ד לד</w:t>
      </w:r>
      <w:r>
        <w:rPr>
          <w:rFonts w:ascii="Times New Roman" w:hAnsi="Times New Roman" w:cs="Times New Roman"/>
          <w:sz w:val="24"/>
          <w:sz-cs w:val="24"/>
        </w:rPr>
        <w:t xml:space="preserve">(1) 396.</w:t>
      </w:r>
    </w:p>
    <w:p>
      <w:pPr>
        <w:jc w:val="both"/>
        <w:bidi/>
        <w:ind w:right="567"/>
        <w:spacing w:after="40"/>
      </w:pPr>
      <w:r>
        <w:rPr>
          <w:rFonts w:ascii="Times New Roman" w:hAnsi="Times New Roman" w:cs="Times New Roman"/>
          <w:sz w:val="24"/>
          <w:sz-cs w:val="24"/>
        </w:rPr>
        <w:t xml:space="preserve">[14]</w:t>
        <w:tab/>
        <w:t xml:space="preserve"/>
      </w:r>
      <w:r>
        <w:rPr>
          <w:rFonts w:ascii="Times New Roman" w:hAnsi="Times New Roman" w:cs="Times New Roman"/>
          <w:sz w:val="24"/>
          <w:sz-cs w:val="24"/>
          <w:u w:val="single"/>
          <w:color w:val="0000FF"/>
        </w:rPr>
        <w:t xml:space="preserve">HYPERLINK "http://www.nevo.co.il/case/17928774"</w:t>
      </w:r>
      <w:r>
        <w:rPr>
          <w:rFonts w:ascii="Times New Roman" w:hAnsi="Times New Roman" w:cs="Times New Roman"/>
          <w:sz w:val="24"/>
          <w:sz-cs w:val="24"/>
          <w:u w:val="single"/>
          <w:color w:val="0000FF"/>
        </w:rPr>
        <w:t xml:space="preserve">המ' 612/80 פז נ' מדינת ישראל, פ"ד לה</w:t>
      </w:r>
      <w:r>
        <w:rPr>
          <w:rFonts w:ascii="Times New Roman" w:hAnsi="Times New Roman" w:cs="Times New Roman"/>
          <w:sz w:val="24"/>
          <w:sz-cs w:val="24"/>
        </w:rPr>
        <w:t xml:space="preserve">(3) 354.</w:t>
      </w:r>
    </w:p>
    <w:p>
      <w:pPr>
        <w:jc w:val="both"/>
        <w:bidi/>
        <w:ind w:right="567"/>
        <w:spacing w:after="40"/>
      </w:pPr>
      <w:r>
        <w:rPr>
          <w:rFonts w:ascii="Times New Roman" w:hAnsi="Times New Roman" w:cs="Times New Roman"/>
          <w:sz w:val="24"/>
          <w:sz-cs w:val="24"/>
        </w:rPr>
        <w:t xml:space="preserve"/>
        <w:br w:type="page"/>
        <w:t xml:space="preserve">[15]</w:t>
        <w:tab/>
        <w:t xml:space="preserve"/>
      </w:r>
      <w:r>
        <w:rPr>
          <w:rFonts w:ascii="Times New Roman" w:hAnsi="Times New Roman" w:cs="Times New Roman"/>
          <w:sz w:val="24"/>
          <w:sz-cs w:val="24"/>
          <w:u w:val="single"/>
          <w:color w:val="0000FF"/>
        </w:rPr>
        <w:t xml:space="preserve">HYPERLINK "http://www.nevo.co.il/case/17919408"</w:t>
      </w:r>
      <w:r>
        <w:rPr>
          <w:rFonts w:ascii="Times New Roman" w:hAnsi="Times New Roman" w:cs="Times New Roman"/>
          <w:sz w:val="24"/>
          <w:sz-cs w:val="24"/>
          <w:u w:val="single"/>
          <w:color w:val="0000FF"/>
        </w:rPr>
        <w:t xml:space="preserve">ר"ע 334/83 מדינת ישראל נ' ביטון, פ"ד לז</w:t>
      </w:r>
      <w:r>
        <w:rPr>
          <w:rFonts w:ascii="Times New Roman" w:hAnsi="Times New Roman" w:cs="Times New Roman"/>
          <w:sz w:val="24"/>
          <w:sz-cs w:val="24"/>
        </w:rPr>
        <w:t xml:space="preserve">(4) 539.</w:t>
      </w:r>
    </w:p>
    <w:p>
      <w:pPr>
        <w:jc w:val="both"/>
        <w:bidi/>
        <w:ind w:right="567"/>
        <w:spacing w:after="40"/>
      </w:pPr>
      <w:r>
        <w:rPr>
          <w:rFonts w:ascii="Times New Roman" w:hAnsi="Times New Roman" w:cs="Times New Roman"/>
          <w:sz w:val="24"/>
          <w:sz-cs w:val="24"/>
        </w:rPr>
        <w:t xml:space="preserve">[16]</w:t>
        <w:tab/>
        <w:t xml:space="preserve"/>
      </w:r>
      <w:r>
        <w:rPr>
          <w:rFonts w:ascii="Times New Roman" w:hAnsi="Times New Roman" w:cs="Times New Roman"/>
          <w:sz w:val="24"/>
          <w:sz-cs w:val="24"/>
          <w:u w:val="single"/>
          <w:color w:val="0000FF"/>
        </w:rPr>
        <w:t xml:space="preserve">HYPERLINK "http://www.nevo.co.il/case/17911617"</w:t>
      </w:r>
      <w:r>
        <w:rPr>
          <w:rFonts w:ascii="Times New Roman" w:hAnsi="Times New Roman" w:cs="Times New Roman"/>
          <w:sz w:val="24"/>
          <w:sz-cs w:val="24"/>
          <w:u w:val="single"/>
          <w:color w:val="0000FF"/>
        </w:rPr>
        <w:t xml:space="preserve">ד"נ 13/60 היועץ המשפטי לממשלה נ' מתאנה, פ"ד טז</w:t>
      </w:r>
      <w:r>
        <w:rPr>
          <w:rFonts w:ascii="Times New Roman" w:hAnsi="Times New Roman" w:cs="Times New Roman"/>
          <w:sz w:val="24"/>
          <w:sz-cs w:val="24"/>
        </w:rPr>
        <w:t xml:space="preserve"> 430.</w:t>
      </w:r>
    </w:p>
    <w:p>
      <w:pPr>
        <w:jc w:val="both"/>
        <w:bidi/>
        <w:ind w:right="567"/>
        <w:spacing w:after="40"/>
      </w:pPr>
      <w:r>
        <w:rPr>
          <w:rFonts w:ascii="Times New Roman" w:hAnsi="Times New Roman" w:cs="Times New Roman"/>
          <w:sz w:val="24"/>
          <w:sz-cs w:val="24"/>
        </w:rPr>
        <w:t xml:space="preserve">[17]</w:t>
        <w:tab/>
        <w:t xml:space="preserve"/>
      </w:r>
      <w:r>
        <w:rPr>
          <w:rFonts w:ascii="Times New Roman" w:hAnsi="Times New Roman" w:cs="Times New Roman"/>
          <w:sz w:val="24"/>
          <w:sz-cs w:val="24"/>
          <w:u w:val="single"/>
          <w:color w:val="0000FF"/>
        </w:rPr>
        <w:t xml:space="preserve">HYPERLINK "http://www.nevo.co.il/case/6032952"</w:t>
      </w:r>
      <w:r>
        <w:rPr>
          <w:rFonts w:ascii="Times New Roman" w:hAnsi="Times New Roman" w:cs="Times New Roman"/>
          <w:sz w:val="24"/>
          <w:sz-cs w:val="24"/>
          <w:u w:val="single"/>
          <w:color w:val="0000FF"/>
        </w:rPr>
        <w:t xml:space="preserve">רע"פ 5798/00 ריזי נ' מדינת ישראל, פ"ד נה</w:t>
      </w:r>
      <w:r>
        <w:rPr>
          <w:rFonts w:ascii="Times New Roman" w:hAnsi="Times New Roman" w:cs="Times New Roman"/>
          <w:sz w:val="24"/>
          <w:sz-cs w:val="24"/>
        </w:rPr>
        <w:t xml:space="preserve">(3) 1.</w:t>
      </w:r>
    </w:p>
    <w:p>
      <w:pPr>
        <w:jc w:val="both"/>
        <w:bidi/>
        <w:ind w:right="567"/>
        <w:spacing w:after="40"/>
      </w:pPr>
      <w:r>
        <w:rPr>
          <w:rFonts w:ascii="Times New Roman" w:hAnsi="Times New Roman" w:cs="Times New Roman"/>
          <w:sz w:val="24"/>
          <w:sz-cs w:val="24"/>
        </w:rPr>
        <w:t xml:space="preserve">[18]</w:t>
        <w:tab/>
        <w:t xml:space="preserve"/>
      </w:r>
      <w:r>
        <w:rPr>
          <w:rFonts w:ascii="Times New Roman" w:hAnsi="Times New Roman" w:cs="Times New Roman"/>
          <w:sz w:val="24"/>
          <w:sz-cs w:val="24"/>
          <w:u w:val="single"/>
          <w:color w:val="0000FF"/>
        </w:rPr>
        <w:t xml:space="preserve">HYPERLINK "http://www.nevo.co.il/case/5777083"</w:t>
      </w:r>
      <w:r>
        <w:rPr>
          <w:rFonts w:ascii="Times New Roman" w:hAnsi="Times New Roman" w:cs="Times New Roman"/>
          <w:sz w:val="24"/>
          <w:sz-cs w:val="24"/>
          <w:u w:val="single"/>
          <w:color w:val="0000FF"/>
        </w:rPr>
        <w:t xml:space="preserve">רע"פ 4107/02 אסד נ' מדינת ישראל, פ"ד נז</w:t>
      </w:r>
      <w:r>
        <w:rPr>
          <w:rFonts w:ascii="Times New Roman" w:hAnsi="Times New Roman" w:cs="Times New Roman"/>
          <w:sz w:val="24"/>
          <w:sz-cs w:val="24"/>
        </w:rPr>
        <w:t xml:space="preserve">(2) 248.</w:t>
      </w:r>
    </w:p>
    <w:p>
      <w:pPr>
        <w:jc w:val="both"/>
        <w:bidi/>
        <w:ind w:right="567"/>
        <w:spacing w:after="40"/>
      </w:pPr>
      <w:r>
        <w:rPr>
          <w:rFonts w:ascii="Times New Roman" w:hAnsi="Times New Roman" w:cs="Times New Roman"/>
          <w:sz w:val="24"/>
          <w:sz-cs w:val="24"/>
        </w:rPr>
        <w:t xml:space="preserve">[19]</w:t>
        <w:tab/>
        <w:t xml:space="preserve"/>
      </w:r>
      <w:r>
        <w:rPr>
          <w:rFonts w:ascii="Times New Roman" w:hAnsi="Times New Roman" w:cs="Times New Roman"/>
          <w:sz w:val="24"/>
          <w:sz-cs w:val="24"/>
          <w:u w:val="single"/>
          <w:color w:val="0000FF"/>
        </w:rPr>
        <w:t xml:space="preserve">HYPERLINK "http://www.nevo.co.il/case/5966542"דנ"פ 4603/97 משולם נ' מדינת ישראל, פ"ד נא</w:t>
      </w:r>
      <w:r>
        <w:rPr>
          <w:rFonts w:ascii="Times New Roman" w:hAnsi="Times New Roman" w:cs="Times New Roman"/>
          <w:sz w:val="24"/>
          <w:sz-cs w:val="24"/>
        </w:rPr>
        <w:t xml:space="preserve">(3) 160.</w:t>
      </w:r>
    </w:p>
    <w:p>
      <w:pPr>
        <w:jc w:val="both"/>
        <w:bidi/>
        <w:ind w:right="567"/>
        <w:spacing w:before="240"/>
      </w:pPr>
      <w:r>
        <w:rPr>
          <w:rFonts w:ascii="Times New Roman" w:hAnsi="Times New Roman" w:cs="Times New Roman"/>
          <w:sz w:val="24"/>
          <w:sz-cs w:val="24"/>
        </w:rPr>
        <w:t xml:space="preserve">ספרים ישראליים שאוזכרו:</w:t>
      </w:r>
    </w:p>
    <w:p>
      <w:pPr>
        <w:jc w:val="both"/>
        <w:bidi/>
        <w:ind w:right="567"/>
        <w:spacing w:after="40"/>
      </w:pPr>
      <w:r>
        <w:rPr>
          <w:rFonts w:ascii="Times New Roman" w:hAnsi="Times New Roman" w:cs="Times New Roman"/>
          <w:sz w:val="24"/>
          <w:sz-cs w:val="24"/>
        </w:rPr>
        <w:t xml:space="preserve">[20]</w:t>
        <w:tab/>
        <w:t xml:space="preserve">ש"ז </w:t>
      </w:r>
      <w:r>
        <w:rPr>
          <w:rFonts w:ascii="Times New Roman" w:hAnsi="Times New Roman" w:cs="Times New Roman"/>
          <w:sz w:val="24"/>
          <w:sz-cs w:val="24"/>
          <w:u w:val="single"/>
          <w:color w:val="0000FF"/>
        </w:rPr>
        <w:t xml:space="preserve"> HYPERLINK "http://www.nevo.co.il/safrut/bookgroup/412" </w:t>
      </w:r>
      <w:r>
        <w:rPr>
          <w:rFonts w:ascii="Times New Roman" w:hAnsi="Times New Roman" w:cs="Times New Roman"/>
          <w:sz w:val="24"/>
          <w:sz-cs w:val="24"/>
          <w:u w:val="single"/>
          <w:color w:val="0000FF"/>
        </w:rPr>
        <w:t xml:space="preserve">פלר יסודות בדיני עונשין</w:t>
      </w:r>
      <w:r>
        <w:rPr>
          <w:rFonts w:ascii="Times New Roman" w:hAnsi="Times New Roman" w:cs="Times New Roman"/>
          <w:sz w:val="24"/>
          <w:sz-cs w:val="24"/>
        </w:rPr>
        <w:t xml:space="preserve"> (כרך ב, תשמ"ז; כרך ג, תשנ"ב).</w:t>
      </w:r>
    </w:p>
    <w:p>
      <w:pPr>
        <w:jc w:val="both"/>
        <w:bidi/>
        <w:ind w:right="567"/>
        <w:spacing w:after="40"/>
      </w:pPr>
      <w:r>
        <w:rPr>
          <w:rFonts w:ascii="Times New Roman" w:hAnsi="Times New Roman" w:cs="Times New Roman"/>
          <w:sz w:val="24"/>
          <w:sz-cs w:val="24"/>
        </w:rPr>
        <w:t xml:space="preserve">[21]</w:t>
        <w:tab/>
        <w:t xml:space="preserve">א' אנקר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(בהשתתפות ר' קנאי, תשמ"א).</w:t>
      </w:r>
    </w:p>
    <w:p>
      <w:pPr>
        <w:jc w:val="both"/>
        <w:bidi/>
        <w:ind w:right="567"/>
        <w:spacing w:after="40"/>
      </w:pPr>
      <w:r>
        <w:rPr>
          <w:rFonts w:ascii="Times New Roman" w:hAnsi="Times New Roman" w:cs="Times New Roman"/>
          <w:sz w:val="24"/>
          <w:sz-cs w:val="24"/>
        </w:rPr>
        <w:t xml:space="preserve">[22]</w:t>
        <w:tab/>
        <w:t xml:space="preserve">י' בזק הענישה הפלילית (תשמ"א).</w:t>
      </w:r>
    </w:p>
    <w:p>
      <w:pPr>
        <w:jc w:val="both"/>
        <w:bidi/>
        <w:ind w:right="567"/>
        <w:spacing w:before="240"/>
      </w:pPr>
      <w:r>
        <w:rPr>
          <w:rFonts w:ascii="Times New Roman" w:hAnsi="Times New Roman" w:cs="Times New Roman"/>
          <w:sz w:val="24"/>
          <w:sz-cs w:val="24"/>
        </w:rPr>
        <w:t xml:space="preserve">מאמרים ישראליים שאוזכרו:</w:t>
      </w:r>
    </w:p>
    <w:p>
      <w:pPr>
        <w:jc w:val="both"/>
        <w:bidi/>
        <w:ind w:right="567"/>
        <w:spacing w:after="40"/>
      </w:pPr>
      <w:r>
        <w:rPr>
          <w:rFonts w:ascii="Times New Roman" w:hAnsi="Times New Roman" w:cs="Times New Roman"/>
          <w:sz w:val="24"/>
          <w:sz-cs w:val="24"/>
        </w:rPr>
        <w:t xml:space="preserve">[23]</w:t>
        <w:tab/>
        <w:t xml:space="preserve">ש"ז </w:t>
      </w:r>
      <w:r>
        <w:rPr>
          <w:rFonts w:ascii="Times New Roman" w:hAnsi="Times New Roman" w:cs="Times New Roman"/>
          <w:sz w:val="24"/>
          <w:sz-cs w:val="24"/>
          <w:u w:val="single"/>
          <w:color w:val="0000FF"/>
        </w:rPr>
        <w:t xml:space="preserve"> HYPERLINK "http://www.nevo.co.il/safrut/book/6449" </w:t>
      </w:r>
      <w:r>
        <w:rPr>
          <w:rFonts w:ascii="Times New Roman" w:hAnsi="Times New Roman" w:cs="Times New Roman"/>
          <w:sz w:val="24"/>
          <w:sz-cs w:val="24"/>
          <w:u w:val="single"/>
          <w:color w:val="0000FF"/>
        </w:rPr>
        <w:t xml:space="preserve">פלר "האמנם שונה נפקותו של </w:t>
      </w:r>
      <w:r>
        <w:rPr>
          <w:rFonts w:ascii="Times New Roman" w:hAnsi="Times New Roman" w:cs="Times New Roman"/>
          <w:sz w:val="24"/>
          <w:sz-cs w:val="24"/>
          <w:color w:val="000000"/>
        </w:rPr>
        <w:t xml:space="preserve"> נסיון לבצע 'עבירת-תנאי' מזו של ב</w:t>
      </w:r>
      <w:r>
        <w:rPr>
          <w:rFonts w:ascii="Times New Roman" w:hAnsi="Times New Roman" w:cs="Times New Roman"/>
          <w:sz w:val="24"/>
          <w:sz-cs w:val="24"/>
        </w:rPr>
        <w:t xml:space="preserve">יצועה המושלם?" עיוני משפט י (תשמ"ד-תשמ"ה) 413.</w:t>
      </w:r>
    </w:p>
    <w:p>
      <w:pPr>
        <w:jc w:val="both"/>
        <w:bidi/>
        <w:ind w:right="567"/>
        <w:spacing w:after="40"/>
      </w:pPr>
      <w:r>
        <w:rPr>
          <w:rFonts w:ascii="Times New Roman" w:hAnsi="Times New Roman" w:cs="Times New Roman"/>
          <w:sz w:val="24"/>
          <w:sz-cs w:val="24"/>
        </w:rPr>
        <w:t xml:space="preserve">[24]</w:t>
        <w:tab/>
        <w:t xml:space="preserve">ר' </w:t>
      </w:r>
      <w:r>
        <w:rPr>
          <w:rFonts w:ascii="Times New Roman" w:hAnsi="Times New Roman" w:cs="Times New Roman"/>
          <w:sz w:val="24"/>
          <w:sz-cs w:val="24"/>
          <w:u w:val="single"/>
          <w:color w:val="0000FF"/>
        </w:rPr>
        <w:t xml:space="preserve"> HYPERLINK "http://www.nevo.co.il/safrut/book/5507" קנאי "הנחיות לקביעת גזר-הדין בפסיקת </w:t>
      </w:r>
      <w:r>
        <w:rPr>
          <w:rFonts w:ascii="Times New Roman" w:hAnsi="Times New Roman" w:cs="Times New Roman"/>
          <w:sz w:val="24"/>
          <w:sz-cs w:val="24"/>
        </w:rPr>
        <w:t xml:space="preserve"> בית</w:t>
      </w:r>
      <w:r>
        <w:rPr>
          <w:rFonts w:ascii="Arial" w:hAnsi="Arial" w:cs="Arial"/>
          <w:sz w:val="24"/>
          <w:sz-cs w:val="24"/>
          <w:b/>
          <w:position w:val="4"/>
        </w:rPr>
        <w:t xml:space="preserve">-</w:t>
      </w:r>
      <w:r>
        <w:rPr>
          <w:rFonts w:ascii="Times New Roman" w:hAnsi="Times New Roman" w:cs="Times New Roman"/>
          <w:sz w:val="24"/>
          <w:sz-cs w:val="24"/>
        </w:rPr>
        <w:t xml:space="preserve">המשפט העליון" משפטים </w:t>
      </w:r>
      <w:r>
        <w:rPr>
          <w:rFonts w:ascii="Times New Roman" w:hAnsi="Times New Roman" w:cs="Times New Roman"/>
          <w:sz w:val="22"/>
          <w:sz-cs w:val="22"/>
        </w:rPr>
        <w:t xml:space="preserve">כד (תשנ"ד-תשנ"ה)</w:t>
      </w:r>
      <w:r>
        <w:rPr>
          <w:rFonts w:ascii="Times New Roman" w:hAnsi="Times New Roman" w:cs="Times New Roman"/>
          <w:sz w:val="24"/>
          <w:sz-cs w:val="24"/>
        </w:rPr>
        <w:t xml:space="preserve"> 97.</w:t>
      </w:r>
    </w:p>
    <w:p>
      <w:pPr>
        <w:jc w:val="both"/>
        <w:bidi/>
        <w:spacing w:before="240"/>
      </w:pPr>
      <w:r>
        <w:rPr>
          <w:rFonts w:ascii="Times New Roman" w:hAnsi="Times New Roman" w:cs="Times New Roman"/>
          <w:sz w:val="24"/>
          <w:sz-cs w:val="24"/>
        </w:rPr>
        <w:t xml:space="preserve">ערעורים על גזר</w:t>
      </w:r>
      <w:r>
        <w:rPr>
          <w:rFonts w:ascii="Arial" w:hAnsi="Arial" w:cs="Arial"/>
          <w:sz w:val="24"/>
          <w:sz-cs w:val="24"/>
          <w:b/>
          <w:position w:val="4"/>
        </w:rPr>
        <w:t xml:space="preserve">-</w:t>
      </w:r>
      <w:r>
        <w:rPr>
          <w:rFonts w:ascii="Times New Roman" w:hAnsi="Times New Roman" w:cs="Times New Roman"/>
          <w:sz w:val="24"/>
          <w:sz-cs w:val="24"/>
        </w:rPr>
        <w:t xml:space="preserve">דינו של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בתל</w:t>
      </w:r>
      <w:r>
        <w:rPr>
          <w:rFonts w:ascii="Arial" w:hAnsi="Arial" w:cs="Arial"/>
          <w:sz w:val="24"/>
          <w:sz-cs w:val="24"/>
          <w:b/>
          <w:position w:val="4"/>
        </w:rPr>
        <w:t xml:space="preserve">-</w:t>
      </w:r>
      <w:r>
        <w:rPr>
          <w:rFonts w:ascii="Times New Roman" w:hAnsi="Times New Roman" w:cs="Times New Roman"/>
          <w:sz w:val="24"/>
          <w:sz-cs w:val="24"/>
        </w:rPr>
        <w:t xml:space="preserve">אביב</w:t>
      </w:r>
      <w:r>
        <w:rPr>
          <w:rFonts w:ascii="Arial" w:hAnsi="Arial" w:cs="Arial"/>
          <w:sz w:val="24"/>
          <w:sz-cs w:val="24"/>
          <w:b/>
          <w:position w:val="4"/>
        </w:rPr>
        <w:t xml:space="preserve">-</w:t>
      </w:r>
      <w:r>
        <w:rPr>
          <w:rFonts w:ascii="Times New Roman" w:hAnsi="Times New Roman" w:cs="Times New Roman"/>
          <w:sz w:val="24"/>
          <w:sz-cs w:val="24"/>
        </w:rPr>
        <w:t xml:space="preserve">יפו (השופט א' שהם) מיום 30.3.2004 ב</w:t>
      </w:r>
      <w:r>
        <w:rPr>
          <w:rFonts w:ascii="Times New Roman" w:hAnsi="Times New Roman" w:cs="Times New Roman"/>
          <w:sz w:val="24"/>
          <w:sz-cs w:val="24"/>
          <w:u w:val="single"/>
          <w:color w:val="0000FF"/>
        </w:rPr>
        <w:t xml:space="preserve">HYPERLINK "http://www.nevo.co.il/case/5962005"ת"פ 40220/03</w:t>
      </w:r>
      <w:r>
        <w:rPr>
          <w:rFonts w:ascii="Times New Roman" w:hAnsi="Times New Roman" w:cs="Times New Roman"/>
          <w:sz w:val="24"/>
          <w:sz-cs w:val="24"/>
        </w:rPr>
        <w:t xml:space="preserve">. </w:t>
      </w:r>
      <w:r>
        <w:rPr>
          <w:rFonts w:ascii="Times New Roman" w:hAnsi="Times New Roman" w:cs="Times New Roman"/>
          <w:sz w:val="26"/>
          <w:sz-cs w:val="26"/>
        </w:rPr>
        <w:t xml:space="preserve">הערעור ב</w:t>
      </w:r>
      <w:r>
        <w:rPr>
          <w:rFonts w:ascii="Times New Roman" w:hAnsi="Times New Roman" w:cs="Times New Roman"/>
          <w:sz w:val="24"/>
          <w:sz-cs w:val="24"/>
          <w:u w:val="single"/>
          <w:color w:val="0000FF"/>
        </w:rPr>
        <w:t xml:space="preserve">HYPERLINK "http://www.nevo.co.il/case/5962012"ע"פ 4517/04</w:t>
      </w:r>
      <w:r>
        <w:rPr>
          <w:rFonts w:ascii="Times New Roman" w:hAnsi="Times New Roman" w:cs="Times New Roman"/>
          <w:sz w:val="24"/>
          <w:sz-cs w:val="24"/>
        </w:rPr>
        <w:t xml:space="preserve"> נדחה. הערעור ב</w:t>
      </w:r>
      <w:r>
        <w:rPr>
          <w:rFonts w:ascii="Times New Roman" w:hAnsi="Times New Roman" w:cs="Times New Roman"/>
          <w:sz w:val="24"/>
          <w:sz-cs w:val="24"/>
          <w:u w:val="single"/>
          <w:color w:val="0000FF"/>
        </w:rPr>
        <w:t xml:space="preserve">HYPERLINK "http://www.nevo.co.il/case/5962013"ע"פ 4571/04</w:t>
      </w:r>
      <w:r>
        <w:rPr>
          <w:rFonts w:ascii="Times New Roman" w:hAnsi="Times New Roman" w:cs="Times New Roman"/>
          <w:sz w:val="24"/>
          <w:sz-cs w:val="24"/>
        </w:rPr>
        <w:t xml:space="preserve"> נתקבל.</w:t>
      </w:r>
    </w:p>
    <w:p>
      <w:pPr>
        <w:jc w:val="both"/>
        <w:bidi/>
        <w:ind w:left="284" w:right="284" w:first-line="-284"/>
        <w:spacing w:after="60"/>
      </w:pPr>
      <w:r>
        <w:rPr>
          <w:rFonts w:ascii="Times New Roman" w:hAnsi="Times New Roman" w:cs="Times New Roman"/>
          <w:sz w:val="24"/>
          <w:sz-cs w:val="24"/>
        </w:rPr>
        <w:t xml:space="preserve">אהרון רוזה – בשם המערער ב</w:t>
      </w:r>
      <w:r>
        <w:rPr>
          <w:rFonts w:ascii="Times New Roman" w:hAnsi="Times New Roman" w:cs="Times New Roman"/>
          <w:sz w:val="24"/>
          <w:sz-cs w:val="24"/>
          <w:u w:val="single"/>
          <w:color w:val="0000FF"/>
        </w:rPr>
        <w:t xml:space="preserve">HYPERLINK "http://www.nevo.co.il/case/5962012"</w:t>
      </w:r>
      <w:r>
        <w:rPr>
          <w:rFonts w:ascii="Times New Roman" w:hAnsi="Times New Roman" w:cs="Times New Roman"/>
          <w:sz w:val="24"/>
          <w:sz-cs w:val="24"/>
          <w:u w:val="single"/>
          <w:color w:val="0000FF"/>
        </w:rPr>
        <w:t xml:space="preserve">ע"פ 4517/04</w:t>
      </w:r>
      <w:r>
        <w:rPr>
          <w:rFonts w:ascii="Times New Roman" w:hAnsi="Times New Roman" w:cs="Times New Roman"/>
          <w:sz w:val="24"/>
          <w:sz-cs w:val="24"/>
        </w:rPr>
        <w:t xml:space="preserve"> (המשיב ב</w:t>
      </w:r>
      <w:r>
        <w:rPr>
          <w:rFonts w:ascii="Times New Roman" w:hAnsi="Times New Roman" w:cs="Times New Roman"/>
          <w:sz w:val="24"/>
          <w:sz-cs w:val="24"/>
          <w:u w:val="single"/>
          <w:color w:val="0000FF"/>
        </w:rPr>
        <w:t xml:space="preserve">HYPERLINK "http://www.nevo.co.il/case/5962013"</w:t>
      </w:r>
      <w:r>
        <w:rPr>
          <w:rFonts w:ascii="Times New Roman" w:hAnsi="Times New Roman" w:cs="Times New Roman"/>
          <w:sz w:val="24"/>
          <w:sz-cs w:val="24"/>
          <w:u w:val="single"/>
          <w:color w:val="0000FF"/>
        </w:rPr>
        <w:t xml:space="preserve">ע"פ 4571/04</w:t>
      </w:r>
      <w:r>
        <w:rPr>
          <w:rFonts w:ascii="Times New Roman" w:hAnsi="Times New Roman" w:cs="Times New Roman"/>
          <w:sz w:val="24"/>
          <w:sz-cs w:val="24"/>
        </w:rPr>
        <w:t xml:space="preserve">);</w:t>
      </w:r>
    </w:p>
    <w:p>
      <w:pPr>
        <w:jc w:val="both"/>
        <w:bidi/>
        <w:ind w:left="284" w:right="284" w:first-line="-284"/>
        <w:spacing w:after="60"/>
      </w:pPr>
      <w:r>
        <w:rPr>
          <w:rFonts w:ascii="Times New Roman" w:hAnsi="Times New Roman" w:cs="Times New Roman"/>
          <w:sz w:val="24"/>
          <w:sz-cs w:val="24"/>
        </w:rPr>
        <w:t xml:space="preserve">יאיר חמודות, עוזר ראשי לפרקליט המדינה – בשם המשיבה ב</w:t>
      </w:r>
      <w:r>
        <w:rPr>
          <w:rFonts w:ascii="Times New Roman" w:hAnsi="Times New Roman" w:cs="Times New Roman"/>
          <w:sz w:val="24"/>
          <w:sz-cs w:val="24"/>
          <w:u w:val="single"/>
          <w:color w:val="0000FF"/>
        </w:rPr>
        <w:t xml:space="preserve">HYPERLINK "http://www.nevo.co.il/case/5962012"ע"פ 4517/04</w:t>
      </w:r>
      <w:r>
        <w:rPr>
          <w:rFonts w:ascii="Times New Roman" w:hAnsi="Times New Roman" w:cs="Times New Roman"/>
          <w:sz w:val="24"/>
          <w:sz-cs w:val="24"/>
        </w:rPr>
        <w:t xml:space="preserve"> (המערערת ב</w:t>
      </w:r>
      <w:r>
        <w:rPr>
          <w:rFonts w:ascii="Times New Roman" w:hAnsi="Times New Roman" w:cs="Times New Roman"/>
          <w:sz w:val="24"/>
          <w:sz-cs w:val="24"/>
          <w:u w:val="single"/>
          <w:color w:val="0000FF"/>
        </w:rPr>
        <w:t xml:space="preserve">HYPERLINK "http://www.nevo.co.il/case/5962013"ע"פ 4571/04</w:t>
      </w:r>
      <w:r>
        <w:rPr>
          <w:rFonts w:ascii="Times New Roman" w:hAnsi="Times New Roman" w:cs="Times New Roman"/>
          <w:sz w:val="24"/>
          <w:sz-cs w:val="24"/>
        </w:rPr>
        <w:t xml:space="preserve">).</w:t>
      </w:r>
    </w:p>
    <w:p>
      <w:pPr>
        <w:jc w:val="center"/>
        <w:bidi/>
        <w:spacing w:before="360" w:after="240"/>
      </w:pPr>
      <w:r>
        <w:rPr>
          <w:rFonts w:ascii="Arial" w:hAnsi="Arial" w:cs="Arial"/>
          <w:sz w:val="24"/>
          <w:sz-cs w:val="24"/>
          <w:b/>
          <w:spacing w:val="20"/>
        </w:rPr>
        <w:t xml:space="preserve">פסק</w:t>
      </w:r>
      <w:r>
        <w:rPr>
          <w:rFonts w:ascii="Arial" w:hAnsi="Arial" w:cs="Arial"/>
          <w:sz w:val="24"/>
          <w:sz-cs w:val="24"/>
          <w:b/>
          <w:position w:val="5"/>
        </w:rPr>
        <w:t xml:space="preserve">-</w:t>
      </w:r>
      <w:r>
        <w:rPr>
          <w:rFonts w:ascii="Arial" w:hAnsi="Arial" w:cs="Arial"/>
          <w:sz w:val="24"/>
          <w:sz-cs w:val="24"/>
          <w:b/>
          <w:spacing w:val="20"/>
        </w:rPr>
        <w:t xml:space="preserve">דין</w:t>
      </w:r>
    </w:p>
    <w:p>
      <w:pPr>
        <w:jc w:val="both"/>
        <w:bidi/>
        <w:spacing w:after="240"/>
      </w:pPr>
      <w:r>
        <w:rPr>
          <w:rFonts w:ascii="Arial" w:hAnsi="Arial" w:cs="Arial"/>
          <w:sz w:val="24"/>
          <w:sz-cs w:val="24"/>
        </w:rPr>
        <w:t xml:space="preserve">השופט א' א' לוי</w:t>
      </w:r>
    </w:p>
    <w:p>
      <w:pPr>
        <w:jc w:val="both"/>
        <w:bidi/>
        <w:spacing w:after="240"/>
      </w:pPr>
      <w:r>
        <w:rPr>
          <w:rFonts w:ascii="Times New Roman" w:hAnsi="Times New Roman" w:cs="Times New Roman"/>
          <w:sz w:val="24"/>
          <w:sz-cs w:val="24"/>
        </w:rPr>
        <w:t xml:space="preserve">1.</w:t>
        <w:tab/>
        <w:t xml:space="preserve">בשעת צהריים של יום 15.6.2003 נסע המערער ב</w:t>
      </w:r>
      <w:r>
        <w:rPr>
          <w:rFonts w:ascii="Times New Roman" w:hAnsi="Times New Roman" w:cs="Times New Roman"/>
          <w:sz w:val="24"/>
          <w:sz-cs w:val="24"/>
          <w:u w:val="single"/>
          <w:color w:val="0000FF"/>
        </w:rPr>
        <w:t xml:space="preserve">HYPERLINK "http://www.nevo.co.il/case/5962012"</w:t>
      </w:r>
      <w:r>
        <w:rPr>
          <w:rFonts w:ascii="Times New Roman" w:hAnsi="Times New Roman" w:cs="Times New Roman"/>
          <w:sz w:val="24"/>
          <w:sz-cs w:val="24"/>
          <w:u w:val="single"/>
          <w:color w:val="0000FF"/>
        </w:rPr>
        <w:t xml:space="preserve">ע"פ 4517/04</w:t>
      </w:r>
      <w:r>
        <w:rPr>
          <w:rFonts w:ascii="Times New Roman" w:hAnsi="Times New Roman" w:cs="Times New Roman"/>
          <w:sz w:val="24"/>
          <w:sz-cs w:val="24"/>
        </w:rPr>
        <w:t xml:space="preserve">, אחמד מסראווה (להלן – המערער), עם אחר, ברכב בעיר טייבה. כאשר חלף הרכב ליד סניף קופת החולים "מכבי", הבחין המערער בחוסאם חאג' יחיא (להלן – חוסאם), שעמד במרחק מטרים ספורים ממנו. המערער שלף אקדח, ומבעד לחלון הרכב הוא ירה כמה </w:t>
      </w:r>
    </w:p>
    <w:p>
      <w:pPr>
        <w:jc w:val="both"/>
        <w:bidi/>
        <w:spacing w:after="240"/>
      </w:pPr>
      <w:r>
        <w:rPr>
          <w:rFonts w:ascii="Times New Roman" w:hAnsi="Times New Roman" w:cs="Times New Roman"/>
          <w:sz w:val="24"/>
          <w:sz-cs w:val="24"/>
        </w:rPr>
        <w:t xml:space="preserve"/>
        <w:br w:type="page"/>
        <w:t xml:space="preserve">יריות בניסיון לגרום לפציעתו של חוסאם. לאחר זאת הסתלק הרכב מהמקום. למרבה המזל, התגלה באקדח מעצור, והיריות אשר הספיק המערער לירות לעבר קורבנו לא פגעו בו.</w:t>
      </w:r>
    </w:p>
    <w:p>
      <w:pPr>
        <w:jc w:val="both"/>
        <w:bidi/>
        <w:spacing w:after="240"/>
      </w:pPr>
      <w:r>
        <w:rPr>
          <w:rFonts w:ascii="Times New Roman" w:hAnsi="Times New Roman" w:cs="Times New Roman"/>
          <w:sz w:val="24"/>
          <w:sz-cs w:val="24"/>
        </w:rPr>
        <w:t xml:space="preserve">במהלך המשפט נמצא כי אירוע הירי שבו עוסק ערעור זה הוא חוליה נוספת במאבק ממושך המתנהל בין משפחת המערער למשפחתו של חוסאם, וקדם לו ירי שהתרחש באותו יום ממש לעבר ביתו ומכוניתו של המערער.</w:t>
      </w:r>
    </w:p>
    <w:p>
      <w:pPr>
        <w:jc w:val="both"/>
        <w:bidi/>
        <w:spacing w:after="240"/>
      </w:pPr>
      <w:r>
        <w:rPr>
          <w:rFonts w:ascii="Times New Roman" w:hAnsi="Times New Roman" w:cs="Times New Roman"/>
          <w:sz w:val="24"/>
          <w:sz-cs w:val="24"/>
        </w:rPr>
        <w:t xml:space="preserve">2.</w:t>
        <w:tab/>
        <w:t xml:space="preserve">המערער כפר בעובדותיו של כתב</w:t>
      </w:r>
      <w:r>
        <w:rPr>
          <w:rFonts w:ascii="Arial" w:hAnsi="Arial" w:cs="Arial"/>
          <w:sz w:val="24"/>
          <w:sz-cs w:val="24"/>
          <w:b/>
          <w:position w:val="4"/>
        </w:rPr>
        <w:t xml:space="preserve">-</w:t>
      </w:r>
      <w:r>
        <w:rPr>
          <w:rFonts w:ascii="Times New Roman" w:hAnsi="Times New Roman" w:cs="Times New Roman"/>
          <w:sz w:val="24"/>
          <w:sz-cs w:val="24"/>
        </w:rPr>
        <w:t xml:space="preserve">האישום וטען טענת אליבי, ולפיה בשעת האירוע הוא שהה מחוץ לטייבה, אולם גירסה זו נדחתה על</w:t>
      </w:r>
      <w:r>
        <w:rPr>
          <w:rFonts w:ascii="Arial" w:hAnsi="Arial" w:cs="Arial"/>
          <w:sz w:val="24"/>
          <w:sz-cs w:val="24"/>
          <w:b/>
          <w:position w:val="4"/>
        </w:rPr>
        <w:t xml:space="preserve">-</w:t>
      </w:r>
      <w:r>
        <w:rPr>
          <w:rFonts w:ascii="Times New Roman" w:hAnsi="Times New Roman" w:cs="Times New Roman"/>
          <w:sz w:val="24"/>
          <w:sz-cs w:val="24"/>
        </w:rPr>
        <w:t xml:space="preserve">ידי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אשר העדיף על פניה את גירסתם של עדי המשיבה. במרכזה של גירסה זו ניצבה עדותו של ריאד ג'אבר, אשר עמד לצדו של חוסאם שעה שהיריות נורו לעברו. המערער הורשע אפוא בעבירות שיוחסו לו – נשיאת נשק בלא רשות על</w:t>
      </w:r>
      <w:r>
        <w:rPr>
          <w:rFonts w:ascii="Arial" w:hAnsi="Arial" w:cs="Arial"/>
          <w:sz w:val="24"/>
          <w:sz-cs w:val="24"/>
          <w:b/>
          <w:position w:val="4"/>
        </w:rPr>
        <w:t xml:space="preserve">-</w:t>
      </w:r>
      <w:r>
        <w:rPr>
          <w:rFonts w:ascii="Times New Roman" w:hAnsi="Times New Roman" w:cs="Times New Roman"/>
          <w:sz w:val="24"/>
          <w:sz-cs w:val="24"/>
        </w:rPr>
        <w:t xml:space="preserve">פי דין וניסיון לפצוע בנסיבות מחמירות, עבירות לפי </w:t>
      </w:r>
      <w:r>
        <w:rPr>
          <w:rFonts w:ascii="Times New Roman" w:hAnsi="Times New Roman" w:cs="Times New Roman"/>
          <w:sz w:val="24"/>
          <w:sz-cs w:val="24"/>
          <w:u w:val="single"/>
          <w:color w:val="0000FF"/>
        </w:rPr>
        <w:t xml:space="preserve"> HYPERLINK "http://www.nevo.co.il/law/70301/144.b" סעיף 144(ב)</w:t>
      </w:r>
      <w:r>
        <w:rPr>
          <w:rFonts w:ascii="Times New Roman" w:hAnsi="Times New Roman" w:cs="Times New Roman"/>
          <w:sz w:val="24"/>
          <w:sz-cs w:val="24"/>
        </w:rPr>
        <w:t xml:space="preserve"> רישה </w:t>
      </w:r>
      <w:r>
        <w:rPr>
          <w:rFonts w:ascii="Times New Roman" w:hAnsi="Times New Roman" w:cs="Times New Roman"/>
          <w:sz w:val="24"/>
          <w:sz-cs w:val="24"/>
          <w:u w:val="single"/>
          <w:color w:val="0000FF"/>
        </w:rPr>
        <w:t xml:space="preserve"> HYPERLINK "http://www.nevo.co.il/law/70301/334" וסעיף 334</w:t>
      </w:r>
      <w:r>
        <w:rPr>
          <w:rFonts w:ascii="Times New Roman" w:hAnsi="Times New Roman" w:cs="Times New Roman"/>
          <w:sz w:val="24"/>
          <w:sz-cs w:val="24"/>
        </w:rPr>
        <w:t xml:space="preserve"> בשילוב עם </w:t>
      </w:r>
      <w:r>
        <w:rPr>
          <w:rFonts w:ascii="Times New Roman" w:hAnsi="Times New Roman" w:cs="Times New Roman"/>
          <w:sz w:val="24"/>
          <w:sz-cs w:val="24"/>
          <w:u w:val="single"/>
          <w:color w:val="0000FF"/>
        </w:rPr>
        <w:t xml:space="preserve"> HYPERLINK "http://www.nevo.co.il/law/70301/335" סעיף 335</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"http://www.nevo.co.il/law/70301/25" וסעיף 25</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תשל"ז</w:t>
      </w:r>
      <w:r>
        <w:rPr>
          <w:rFonts w:ascii="Times New Roman" w:hAnsi="Times New Roman" w:cs="Times New Roman"/>
          <w:sz w:val="22"/>
          <w:sz-cs w:val="22"/>
        </w:rPr>
        <w:t xml:space="preserve">-</w:t>
      </w:r>
      <w:r>
        <w:rPr>
          <w:rFonts w:ascii="Times New Roman" w:hAnsi="Times New Roman" w:cs="Times New Roman"/>
          <w:sz w:val="24"/>
          <w:sz-cs w:val="24"/>
        </w:rPr>
        <w:t xml:space="preserve">1977. </w:t>
      </w:r>
    </w:p>
    <w:p>
      <w:pPr>
        <w:jc w:val="both"/>
        <w:bidi/>
        <w:spacing w:after="240"/>
      </w:pPr>
      <w:r>
        <w:rPr>
          <w:rFonts w:ascii="Times New Roman" w:hAnsi="Times New Roman" w:cs="Times New Roman"/>
          <w:sz w:val="24"/>
          <w:sz-cs w:val="24"/>
        </w:rPr>
        <w:t xml:space="preserve">3.</w:t>
        <w:tab/>
        <w:t xml:space="preserve">במהלך הטיעונים לעונש התברר כי כנגד המערער תלוי ועומד מאסר על</w:t>
      </w:r>
      <w:r>
        <w:rPr>
          <w:rFonts w:ascii="Arial" w:hAnsi="Arial" w:cs="Arial"/>
          <w:sz w:val="24"/>
          <w:sz-cs w:val="24"/>
          <w:b/>
          <w:position w:val="4"/>
        </w:rPr>
        <w:t xml:space="preserve">-</w:t>
      </w:r>
      <w:r>
        <w:rPr>
          <w:rFonts w:ascii="Times New Roman" w:hAnsi="Times New Roman" w:cs="Times New Roman"/>
          <w:sz w:val="24"/>
          <w:sz-cs w:val="24"/>
        </w:rPr>
        <w:t xml:space="preserve">תנאי בגין אירוע ירי דומה שבו היה מעורב בעבר (להלן – האירוע הקודם). נמצא כי באותו מקרה (</w:t>
      </w:r>
      <w:r>
        <w:rPr>
          <w:rFonts w:ascii="Times New Roman" w:hAnsi="Times New Roman" w:cs="Times New Roman"/>
          <w:sz w:val="24"/>
          <w:sz-cs w:val="24"/>
          <w:u w:val="single"/>
          <w:color w:val="0000FF"/>
        </w:rPr>
        <w:t xml:space="preserve"> HYPERLINK "http://www.nevo.co.il/links/psika/?link=תפ 40409/99" ת"פ 40409/99</w:t>
      </w:r>
      <w:r>
        <w:rPr>
          <w:rFonts w:ascii="Times New Roman" w:hAnsi="Times New Roman" w:cs="Times New Roman"/>
          <w:sz w:val="24"/>
          <w:sz-cs w:val="24"/>
        </w:rPr>
        <w:t xml:space="preserve"> של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בתל</w:t>
      </w:r>
      <w:r>
        <w:rPr>
          <w:rFonts w:ascii="Arial" w:hAnsi="Arial" w:cs="Arial"/>
          <w:sz w:val="24"/>
          <w:sz-cs w:val="24"/>
          <w:b/>
          <w:position w:val="4"/>
        </w:rPr>
        <w:t xml:space="preserve">-</w:t>
      </w:r>
      <w:r>
        <w:rPr>
          <w:rFonts w:ascii="Times New Roman" w:hAnsi="Times New Roman" w:cs="Times New Roman"/>
          <w:sz w:val="24"/>
          <w:sz-cs w:val="24"/>
        </w:rPr>
        <w:t xml:space="preserve">אביב</w:t>
      </w:r>
      <w:r>
        <w:rPr>
          <w:rFonts w:ascii="Arial" w:hAnsi="Arial" w:cs="Arial"/>
          <w:sz w:val="24"/>
          <w:sz-cs w:val="24"/>
          <w:b/>
          <w:position w:val="4"/>
        </w:rPr>
        <w:t xml:space="preserve">-</w:t>
      </w:r>
      <w:r>
        <w:rPr>
          <w:rFonts w:ascii="Times New Roman" w:hAnsi="Times New Roman" w:cs="Times New Roman"/>
          <w:sz w:val="24"/>
          <w:sz-cs w:val="24"/>
        </w:rPr>
        <w:t xml:space="preserve">יפו) ניגש המערער לאדם אחר, ומסיבות שאינן ידועות למשיבה הוא החל יורה מאקדח שהחזיק בידו לעבר פלג גופו התחתון של קורבנו. המערער הוסיף וירה לעבר אותו אדם גם כאשר נפל על הקרקע, וכתוצאה מכך הוא נפצע ואושפז בבית חולים. במסגרת הסכם טיעון שגיבשו הצדדים באותו תיק הודה המערער בעובדות שיוחסו לו, והוא הורשע בעבירות של נשיאת נשק שלא כדין, לפי </w:t>
      </w:r>
      <w:r>
        <w:rPr>
          <w:rFonts w:ascii="Times New Roman" w:hAnsi="Times New Roman" w:cs="Times New Roman"/>
          <w:sz w:val="24"/>
          <w:sz-cs w:val="24"/>
          <w:u w:val="single"/>
          <w:color w:val="0000FF"/>
        </w:rPr>
        <w:t xml:space="preserve"> HYPERLINK "http://www.nevo.co.il/law/70301/144.b" סעיף 144(ב)</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וחבלה בכוונה מחמירה, לפי </w:t>
      </w:r>
      <w:r>
        <w:rPr>
          <w:rFonts w:ascii="Times New Roman" w:hAnsi="Times New Roman" w:cs="Times New Roman"/>
          <w:sz w:val="24"/>
          <w:sz-cs w:val="24"/>
          <w:u w:val="single"/>
          <w:color w:val="0000FF"/>
        </w:rPr>
        <w:t xml:space="preserve"> HYPERLINK "http://www.nevo.co.il/law/70301/329.a.1" סעיף 329(א)(1)</w:t>
      </w:r>
      <w:r>
        <w:rPr>
          <w:rFonts w:ascii="Times New Roman" w:hAnsi="Times New Roman" w:cs="Times New Roman"/>
          <w:sz w:val="24"/>
          <w:sz-cs w:val="24"/>
        </w:rPr>
        <w:t xml:space="preserve"> לאותו חוק. בעקבות כך גזר בית</w:t>
      </w:r>
      <w:r>
        <w:rPr>
          <w:rFonts w:ascii="Arial" w:hAnsi="Arial" w:cs="Arial"/>
          <w:sz w:val="24"/>
          <w:sz-cs w:val="24"/>
          <w:b/>
          <w:position w:val="4"/>
        </w:rPr>
        <w:t xml:space="preserve">-</w:t>
      </w:r>
      <w:r>
        <w:rPr>
          <w:rFonts w:ascii="Times New Roman" w:hAnsi="Times New Roman" w:cs="Times New Roman"/>
          <w:sz w:val="24"/>
          <w:sz-cs w:val="24"/>
        </w:rPr>
        <w:t xml:space="preserve">המשפט למערער 32 חודשי מאסר וכן מאסר על</w:t>
      </w:r>
      <w:r>
        <w:rPr>
          <w:rFonts w:ascii="Arial" w:hAnsi="Arial" w:cs="Arial"/>
          <w:sz w:val="24"/>
          <w:sz-cs w:val="24"/>
          <w:b/>
          <w:position w:val="4"/>
        </w:rPr>
        <w:t xml:space="preserve">-</w:t>
      </w:r>
      <w:r>
        <w:rPr>
          <w:rFonts w:ascii="Times New Roman" w:hAnsi="Times New Roman" w:cs="Times New Roman"/>
          <w:sz w:val="24"/>
          <w:sz-cs w:val="24"/>
        </w:rPr>
        <w:t xml:space="preserve">תנאי, אשר נוסח בדרך זו:</w:t>
      </w:r>
    </w:p>
    <w:p>
      <w:pPr>
        <w:jc w:val="both"/>
        <w:bidi/>
        <w:ind w:left="454" w:right="454"/>
        <w:spacing w:after="240"/>
      </w:pPr>
      <w:r>
        <w:rPr>
          <w:rFonts w:ascii="Times New Roman" w:hAnsi="Times New Roman" w:cs="Times New Roman"/>
          <w:sz w:val="24"/>
          <w:sz-cs w:val="24"/>
        </w:rPr>
        <w:t xml:space="preserve">"אני מטיל על הנאשם עונש של 18 חודשי מאסר על תנאי לתקופה של 24 חודשים שמנינה יחל במועד שחרורו מהכלא. התנאי הוא שבתקופת התנאי לא יעבור הנאשם עבירה לפי סימן ד' לפרק י'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תשל"ז</w:t>
      </w:r>
      <w:r>
        <w:rPr>
          <w:rFonts w:ascii="Times New Roman" w:hAnsi="Times New Roman" w:cs="Times New Roman"/>
          <w:sz w:val="22"/>
          <w:sz-cs w:val="22"/>
        </w:rPr>
        <w:t xml:space="preserve">-</w:t>
      </w:r>
      <w:r>
        <w:rPr>
          <w:rFonts w:ascii="Times New Roman" w:hAnsi="Times New Roman" w:cs="Times New Roman"/>
          <w:sz w:val="24"/>
          <w:sz-cs w:val="24"/>
        </w:rPr>
        <w:t xml:space="preserve">1977. עוד ובנוסף, אני מטיל על הנאשם עונש של 12 חודשי מאסר על תנאי לתקופה של 24 חודש שמנינה יחל מיום שחרורו ממאסרו, והתנאי הוא שבתקופת התנאי לא יעבור הנאשם עבירה על סעיף 144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
        <w:br w:type="page"/>
        <w:t xml:space="preserve">במהלך הדיון בפני בית</w:t>
      </w:r>
      <w:r>
        <w:rPr>
          <w:rFonts w:ascii="Arial" w:hAnsi="Arial" w:cs="Arial"/>
          <w:sz w:val="24"/>
          <w:sz-cs w:val="24"/>
          <w:b/>
          <w:position w:val="4"/>
        </w:rPr>
        <w:t xml:space="preserve">-</w:t>
      </w:r>
      <w:r>
        <w:rPr>
          <w:rFonts w:ascii="Times New Roman" w:hAnsi="Times New Roman" w:cs="Times New Roman"/>
          <w:sz w:val="24"/>
          <w:sz-cs w:val="24"/>
        </w:rPr>
        <w:t xml:space="preserve">משפט קמא עתרה התביעה להפעלתם של שני המאסרים המותנים אשר נגזרו למערער ב</w:t>
      </w:r>
      <w:r>
        <w:rPr>
          <w:rFonts w:ascii="Times New Roman" w:hAnsi="Times New Roman" w:cs="Times New Roman"/>
          <w:sz w:val="24"/>
          <w:sz-cs w:val="24"/>
          <w:u w:val="single"/>
          <w:color w:val="0000FF"/>
        </w:rPr>
        <w:t xml:space="preserve"> HYPERLINK "http://www.nevo.co.il/links/psika/?link=תפ 40409/99" ת"פ 40409/99</w:t>
      </w:r>
      <w:r>
        <w:rPr>
          <w:rFonts w:ascii="Times New Roman" w:hAnsi="Times New Roman" w:cs="Times New Roman"/>
          <w:sz w:val="24"/>
          <w:sz-cs w:val="24"/>
        </w:rPr>
        <w:t xml:space="preserve">. עתירתה הייתה להפעלתם של המאסרים המותנים כך שהם יצטברו זה לזה ויתווספו, במצטבר, לעונש המאסר אשר נגזר בתיק הנוכחי (</w:t>
      </w:r>
      <w:r>
        <w:rPr>
          <w:rFonts w:ascii="Times New Roman" w:hAnsi="Times New Roman" w:cs="Times New Roman"/>
          <w:sz w:val="24"/>
          <w:sz-cs w:val="24"/>
          <w:u w:val="single"/>
          <w:color w:val="0000FF"/>
        </w:rPr>
        <w:t xml:space="preserve">HYPERLINK "http://www.nevo.co.il/case/5962005"ת"פ 40220/03</w:t>
      </w:r>
      <w:r>
        <w:rPr>
          <w:rFonts w:ascii="Times New Roman" w:hAnsi="Times New Roman" w:cs="Times New Roman"/>
          <w:sz w:val="24"/>
          <w:sz-cs w:val="24"/>
        </w:rPr>
        <w:t xml:space="preserve">). בא</w:t>
      </w:r>
      <w:r>
        <w:rPr>
          <w:rFonts w:ascii="Arial" w:hAnsi="Arial" w:cs="Arial"/>
          <w:sz w:val="24"/>
          <w:sz-cs w:val="24"/>
          <w:b/>
          <w:position w:val="4"/>
        </w:rPr>
        <w:t xml:space="preserve">-</w:t>
      </w:r>
      <w:r>
        <w:rPr>
          <w:rFonts w:ascii="Times New Roman" w:hAnsi="Times New Roman" w:cs="Times New Roman"/>
          <w:sz w:val="24"/>
          <w:sz-cs w:val="24"/>
        </w:rPr>
        <w:t xml:space="preserve">כוחו של המערער, עורך</w:t>
      </w:r>
      <w:r>
        <w:rPr>
          <w:rFonts w:ascii="Arial" w:hAnsi="Arial" w:cs="Arial"/>
          <w:sz w:val="24"/>
          <w:sz-cs w:val="24"/>
          <w:b/>
          <w:position w:val="4"/>
        </w:rPr>
        <w:t xml:space="preserve">-</w:t>
      </w:r>
      <w:r>
        <w:rPr>
          <w:rFonts w:ascii="Times New Roman" w:hAnsi="Times New Roman" w:cs="Times New Roman"/>
          <w:sz w:val="24"/>
          <w:sz-cs w:val="24"/>
        </w:rPr>
        <w:t xml:space="preserve">דין א' רוזה, טען כי מאחר ששולחו הורשע הפעם בעבירה של "ניסיון" בלבד, להבדיל מהעבירה המוגמרת, אין להפעיל בעניינו את עונש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בן 18 החודשים. עוד נטען כי גם אם יימצא כי יש מקום להפעלתן של שתי תקופות המאסר, אין להפעילן במצטבר, באשר תקופת המאסר הקצרה יותר "נבלעת" בתקופה הארוכה יותר. בית</w:t>
      </w:r>
      <w:r>
        <w:rPr>
          <w:rFonts w:ascii="Arial" w:hAnsi="Arial" w:cs="Arial"/>
          <w:sz w:val="24"/>
          <w:sz-cs w:val="24"/>
          <w:b/>
          <w:position w:val="4"/>
        </w:rPr>
        <w:t xml:space="preserve">-</w:t>
      </w:r>
      <w:r>
        <w:rPr>
          <w:rFonts w:ascii="Times New Roman" w:hAnsi="Times New Roman" w:cs="Times New Roman"/>
          <w:sz w:val="24"/>
          <w:sz-cs w:val="24"/>
        </w:rPr>
        <w:t xml:space="preserve">משפט קמא אימץ את עמדתו של בא</w:t>
      </w:r>
      <w:r>
        <w:rPr>
          <w:rFonts w:ascii="Arial" w:hAnsi="Arial" w:cs="Arial"/>
          <w:sz w:val="24"/>
          <w:sz-cs w:val="24"/>
          <w:b/>
          <w:position w:val="4"/>
        </w:rPr>
        <w:t xml:space="preserve">-</w:t>
      </w:r>
      <w:r>
        <w:rPr>
          <w:rFonts w:ascii="Times New Roman" w:hAnsi="Times New Roman" w:cs="Times New Roman"/>
          <w:sz w:val="24"/>
          <w:sz-cs w:val="24"/>
        </w:rPr>
        <w:t xml:space="preserve">כוח המערער וקבע כך: </w:t>
      </w:r>
    </w:p>
    <w:p>
      <w:pPr>
        <w:jc w:val="both"/>
        <w:bidi/>
        <w:ind w:left="454" w:right="454"/>
        <w:spacing w:after="120"/>
      </w:pPr>
      <w:r>
        <w:rPr>
          <w:rFonts w:ascii="Times New Roman" w:hAnsi="Times New Roman" w:cs="Times New Roman"/>
          <w:sz w:val="24"/>
          <w:sz-cs w:val="24"/>
        </w:rPr>
        <w:t xml:space="preserve">"כאשר מדובר באזכור העבירה הנוספת בדרך של ציון סוג העבירות כגון: עבירות נגד הרכוש או עבירות אלימות, כי אז ניתן להפעיל התנאי גם כאשר מדובר בנסיון לביצוע העבירה המושלמת. ואולם, מקום בו צויינה העבירה הנוספת בדרך של אזכור סעיף עבירה, אין היא חלה על ניסיון לעבור עבירה זו. ההגיון העומד מאחורי אותה הלכה הינו כי יסודות עבירת הניסיון, אינן תואמות את יסודות העבירה המושלמת, ולפיכך אין מדובר בעבירה שיש בה כדי להביא להפעלת עונש המאסר המותנה... </w:t>
      </w:r>
    </w:p>
    <w:p>
      <w:pPr>
        <w:jc w:val="both"/>
        <w:bidi/>
        <w:ind w:left="454" w:right="454"/>
        <w:spacing w:after="240"/>
      </w:pPr>
      <w:r>
        <w:rPr>
          <w:rFonts w:ascii="Times New Roman" w:hAnsi="Times New Roman" w:cs="Times New Roman"/>
          <w:sz w:val="24"/>
          <w:sz-cs w:val="24"/>
        </w:rPr>
        <w:t xml:space="preserve">...מאחר שבענייננו בחר ביהמ"ש המחוזי לציין את 'העבירה הנוספת' בדרך של אזכור פרק י' סימן ד'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הרי שמדובר, למעשה, באזכורם של הסעיפים המופיעים באותו סימן, התוצאה היא כי לא ניתן להפעיל את עונש המאסר ע"ת בן 18 החודשים שהוטל ב</w:t>
      </w:r>
      <w:r>
        <w:rPr>
          <w:rFonts w:ascii="Times New Roman" w:hAnsi="Times New Roman" w:cs="Times New Roman"/>
          <w:sz w:val="24"/>
          <w:sz-cs w:val="24"/>
          <w:u w:val="single"/>
          <w:color w:val="0000FF"/>
        </w:rPr>
        <w:t xml:space="preserve"> HYPERLINK "http://www.nevo.co.il/links/psika/?link=תפ 40409/99" ת.פ. 40409/99</w:t>
      </w:r>
      <w:r>
        <w:rPr>
          <w:rFonts w:ascii="Times New Roman" w:hAnsi="Times New Roman" w:cs="Times New Roman"/>
          <w:sz w:val="24"/>
          <w:sz-cs w:val="24"/>
        </w:rPr>
        <w:t xml:space="preserve">. לעומת זאת, אין כל מניעה להפעיל את עונש המאסר המותנה האחר, לתקופה של 12 חודשים, שנקבע באותו פסק דין" (עמ' 129 לפרוטוקול הדיון).</w:t>
      </w:r>
    </w:p>
    <w:p>
      <w:pPr>
        <w:jc w:val="both"/>
        <w:bidi/>
        <w:spacing w:after="240"/>
      </w:pPr>
      <w:r>
        <w:rPr>
          <w:rFonts w:ascii="Times New Roman" w:hAnsi="Times New Roman" w:cs="Times New Roman"/>
          <w:sz w:val="24"/>
          <w:sz-cs w:val="24"/>
        </w:rPr>
        <w:t xml:space="preserve">לבסוף, ולנוכח מסקנה זו, גזר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למערער שבע שנות מאסר, ומהן חמש שנים לריצוי בפועל, והיתרה על</w:t>
      </w:r>
      <w:r>
        <w:rPr>
          <w:rFonts w:ascii="Arial" w:hAnsi="Arial" w:cs="Arial"/>
          <w:sz w:val="24"/>
          <w:sz-cs w:val="24"/>
          <w:b/>
          <w:position w:val="4"/>
        </w:rPr>
        <w:t xml:space="preserve">-</w:t>
      </w:r>
      <w:r>
        <w:rPr>
          <w:rFonts w:ascii="Times New Roman" w:hAnsi="Times New Roman" w:cs="Times New Roman"/>
          <w:sz w:val="24"/>
          <w:sz-cs w:val="24"/>
        </w:rPr>
        <w:t xml:space="preserve">תנאי. כן הפעיל בית</w:t>
      </w:r>
      <w:r>
        <w:rPr>
          <w:rFonts w:ascii="Arial" w:hAnsi="Arial" w:cs="Arial"/>
          <w:sz w:val="24"/>
          <w:sz-cs w:val="24"/>
          <w:b/>
          <w:position w:val="4"/>
        </w:rPr>
        <w:t xml:space="preserve">-</w:t>
      </w:r>
      <w:r>
        <w:rPr>
          <w:rFonts w:ascii="Times New Roman" w:hAnsi="Times New Roman" w:cs="Times New Roman"/>
          <w:sz w:val="24"/>
          <w:sz-cs w:val="24"/>
        </w:rPr>
        <w:t xml:space="preserve">המשפט, במצטבר, את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אשר נגזר בגין העבירה של נשיאת נשק שלא כדין כך שהתוצאה הסופית הייתה שהמערער נכלא למשך שש שנים.</w:t>
      </w:r>
    </w:p>
    <w:p>
      <w:pPr>
        <w:jc w:val="both"/>
        <w:bidi/>
        <w:spacing w:after="240"/>
      </w:pPr>
      <w:r>
        <w:rPr>
          <w:rFonts w:ascii="Times New Roman" w:hAnsi="Times New Roman" w:cs="Times New Roman"/>
          <w:sz w:val="22"/>
          <w:sz-cs w:val="22"/>
        </w:rPr>
        <w:t xml:space="preserve">הטענות בערעור</w:t>
      </w:r>
    </w:p>
    <w:p>
      <w:pPr>
        <w:jc w:val="both"/>
        <w:bidi/>
        <w:spacing w:after="240"/>
      </w:pPr>
      <w:r>
        <w:rPr>
          <w:rFonts w:ascii="Times New Roman" w:hAnsi="Times New Roman" w:cs="Times New Roman"/>
          <w:sz w:val="24"/>
          <w:sz-cs w:val="24"/>
        </w:rPr>
        <w:t xml:space="preserve">4.</w:t>
        <w:tab/>
        <w:t xml:space="preserve">שני הצדדים לא השלימו עם גזר</w:t>
      </w:r>
      <w:r>
        <w:rPr>
          <w:rFonts w:ascii="Arial" w:hAnsi="Arial" w:cs="Arial"/>
          <w:sz w:val="24"/>
          <w:sz-cs w:val="24"/>
          <w:b/>
          <w:position w:val="4"/>
        </w:rPr>
        <w:t xml:space="preserve">-</w:t>
      </w:r>
      <w:r>
        <w:rPr>
          <w:rFonts w:ascii="Times New Roman" w:hAnsi="Times New Roman" w:cs="Times New Roman"/>
          <w:sz w:val="24"/>
          <w:sz-cs w:val="24"/>
        </w:rPr>
        <w:t xml:space="preserve">דינו של בית</w:t>
      </w:r>
      <w:r>
        <w:rPr>
          <w:rFonts w:ascii="Arial" w:hAnsi="Arial" w:cs="Arial"/>
          <w:sz w:val="24"/>
          <w:sz-cs w:val="24"/>
          <w:b/>
          <w:position w:val="4"/>
        </w:rPr>
        <w:t xml:space="preserve">-</w:t>
      </w:r>
      <w:r>
        <w:rPr>
          <w:rFonts w:ascii="Times New Roman" w:hAnsi="Times New Roman" w:cs="Times New Roman"/>
          <w:sz w:val="24"/>
          <w:sz-cs w:val="24"/>
        </w:rPr>
        <w:t xml:space="preserve">משפט קמא. המערער סבור (</w:t>
      </w:r>
      <w:r>
        <w:rPr>
          <w:rFonts w:ascii="Times New Roman" w:hAnsi="Times New Roman" w:cs="Times New Roman"/>
          <w:sz w:val="24"/>
          <w:sz-cs w:val="24"/>
          <w:u w:val="single"/>
          <w:color w:val="0000FF"/>
        </w:rPr>
        <w:t xml:space="preserve">HYPERLINK "http://www.nevo.co.il/case/5962012"</w:t>
      </w:r>
      <w:r>
        <w:rPr>
          <w:rFonts w:ascii="Times New Roman" w:hAnsi="Times New Roman" w:cs="Times New Roman"/>
          <w:sz w:val="24"/>
          <w:sz-cs w:val="24"/>
          <w:u w:val="single"/>
          <w:color w:val="0000FF"/>
        </w:rPr>
        <w:t xml:space="preserve">ע"פ 4517/04</w:t>
      </w:r>
      <w:r>
        <w:rPr>
          <w:rFonts w:ascii="Times New Roman" w:hAnsi="Times New Roman" w:cs="Times New Roman"/>
          <w:sz w:val="24"/>
          <w:sz-cs w:val="24"/>
        </w:rPr>
        <w:t xml:space="preserve">) כי העונש שהושת עליו חמור יתר על המידה בנסיבות העניין. מנגד, מלינה המדינה, היא המערערת ב</w:t>
      </w:r>
      <w:r>
        <w:rPr>
          <w:rFonts w:ascii="Times New Roman" w:hAnsi="Times New Roman" w:cs="Times New Roman"/>
          <w:sz w:val="24"/>
          <w:sz-cs w:val="24"/>
          <w:u w:val="single"/>
          <w:color w:val="0000FF"/>
        </w:rPr>
        <w:t xml:space="preserve">HYPERLINK "http://www.nevo.co.il/case/5962013"</w:t>
      </w:r>
      <w:r>
        <w:rPr>
          <w:rFonts w:ascii="Times New Roman" w:hAnsi="Times New Roman" w:cs="Times New Roman"/>
          <w:sz w:val="24"/>
          <w:sz-cs w:val="24"/>
          <w:u w:val="single"/>
          <w:color w:val="0000FF"/>
        </w:rPr>
        <w:t xml:space="preserve">ע"פ 4571/04</w:t>
      </w:r>
      <w:r>
        <w:rPr>
          <w:rFonts w:ascii="Times New Roman" w:hAnsi="Times New Roman" w:cs="Times New Roman"/>
          <w:sz w:val="24"/>
          <w:sz-cs w:val="24"/>
        </w:rPr>
        <w:t xml:space="preserve"> (להלן – המערערת), על קולת העונש </w:t>
      </w:r>
    </w:p>
    <w:p>
      <w:pPr>
        <w:jc w:val="both"/>
        <w:bidi/>
        <w:spacing w:after="240"/>
      </w:pPr>
      <w:r>
        <w:rPr>
          <w:rFonts w:ascii="Times New Roman" w:hAnsi="Times New Roman" w:cs="Times New Roman"/>
          <w:sz w:val="24"/>
          <w:sz-cs w:val="24"/>
        </w:rPr>
        <w:t xml:space="preserve"/>
        <w:br w:type="page"/>
        <w:t xml:space="preserve">שהושת על המערער. להשקפתה, היה על בית</w:t>
      </w:r>
      <w:r>
        <w:rPr>
          <w:rFonts w:ascii="Arial" w:hAnsi="Arial" w:cs="Arial"/>
          <w:sz w:val="24"/>
          <w:sz-cs w:val="24"/>
          <w:b/>
          <w:position w:val="4"/>
        </w:rPr>
        <w:t xml:space="preserve">-</w:t>
      </w:r>
      <w:r>
        <w:rPr>
          <w:rFonts w:ascii="Times New Roman" w:hAnsi="Times New Roman" w:cs="Times New Roman"/>
          <w:sz w:val="24"/>
          <w:sz-cs w:val="24"/>
        </w:rPr>
        <w:t xml:space="preserve">משפט קמא להפעיל גם את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הנוסף שעמד נגד המערער, הואיל והתנאי שבעטיו יש להפעיל מאסר מותנה מתקיים גם כאשר נאשם מבצע ניסיון לעבור את עבירת התנאי, ולא את העבירה המוגמרת. נטען כי המבחן להפעלת התנאי אינו טכני אלא מהותי, ועל</w:t>
      </w:r>
      <w:r>
        <w:rPr>
          <w:rFonts w:ascii="Arial" w:hAnsi="Arial" w:cs="Arial"/>
          <w:sz w:val="24"/>
          <w:sz-cs w:val="24"/>
          <w:b/>
          <w:position w:val="4"/>
        </w:rPr>
        <w:t xml:space="preserve">-</w:t>
      </w:r>
      <w:r>
        <w:rPr>
          <w:rFonts w:ascii="Times New Roman" w:hAnsi="Times New Roman" w:cs="Times New Roman"/>
          <w:sz w:val="24"/>
          <w:sz-cs w:val="24"/>
        </w:rPr>
        <w:t xml:space="preserve">כן יש לראות במטרתו של העונש המותנה שנגזר למערער ככזו אשר נועדה להרתיעו לא רק מביצועה של העבירה המוגמרת, אלא גם מפני ניסיון לעבור עבירה זו. </w:t>
      </w:r>
    </w:p>
    <w:p>
      <w:pPr>
        <w:jc w:val="both"/>
        <w:bidi/>
        <w:spacing w:after="240"/>
      </w:pPr>
      <w:r>
        <w:rPr>
          <w:rFonts w:ascii="Times New Roman" w:hAnsi="Times New Roman" w:cs="Times New Roman"/>
          <w:sz w:val="24"/>
          <w:sz-cs w:val="24"/>
        </w:rPr>
        <w:t xml:space="preserve">בא</w:t>
      </w:r>
      <w:r>
        <w:rPr>
          <w:rFonts w:ascii="Arial" w:hAnsi="Arial" w:cs="Arial"/>
          <w:sz w:val="24"/>
          <w:sz-cs w:val="24"/>
          <w:b/>
          <w:position w:val="4"/>
        </w:rPr>
        <w:t xml:space="preserve">-</w:t>
      </w:r>
      <w:r>
        <w:rPr>
          <w:rFonts w:ascii="Times New Roman" w:hAnsi="Times New Roman" w:cs="Times New Roman"/>
          <w:sz w:val="24"/>
          <w:sz-cs w:val="24"/>
        </w:rPr>
        <w:t xml:space="preserve">כוחו של המערער חזר בפנינו על עמדתו שלפיה לא די ב"ניסיון" לבצע את עבירת התנאי כדי להביא להפעלתו. כך או כך סבור בא</w:t>
      </w:r>
      <w:r>
        <w:rPr>
          <w:rFonts w:ascii="Arial" w:hAnsi="Arial" w:cs="Arial"/>
          <w:sz w:val="24"/>
          <w:sz-cs w:val="24"/>
          <w:b/>
          <w:position w:val="4"/>
        </w:rPr>
        <w:t xml:space="preserve">-</w:t>
      </w:r>
      <w:r>
        <w:rPr>
          <w:rFonts w:ascii="Times New Roman" w:hAnsi="Times New Roman" w:cs="Times New Roman"/>
          <w:sz w:val="24"/>
          <w:sz-cs w:val="24"/>
        </w:rPr>
        <w:t xml:space="preserve">כוחו של המערער כי הערכאה הראשונה לא נתנה משקל ראוי לנסיבות המיוחדות של האירוע, וכי שולחו פעל בתגובה למעשה תוקפנות שהופנה אליו. כן נטען כי לא ניתן משקל ראוי למצב בריאותו של המערער ולעובדת היותו אלמן שעול הטיפול בששת ילדיו הקטינים מוטל על שכמו.</w:t>
      </w:r>
    </w:p>
    <w:p>
      <w:pPr>
        <w:jc w:val="both"/>
        <w:bidi/>
        <w:spacing w:after="240"/>
      </w:pPr>
      <w:r>
        <w:rPr>
          <w:rFonts w:ascii="Times New Roman" w:hAnsi="Times New Roman" w:cs="Times New Roman"/>
          <w:sz w:val="22"/>
          <w:sz-cs w:val="22"/>
        </w:rPr>
        <w:t xml:space="preserve">דיון</w:t>
      </w:r>
    </w:p>
    <w:p>
      <w:pPr>
        <w:jc w:val="both"/>
        <w:bidi/>
        <w:spacing w:after="240"/>
      </w:pPr>
      <w:r>
        <w:rPr>
          <w:rFonts w:ascii="Times New Roman" w:hAnsi="Times New Roman" w:cs="Times New Roman"/>
          <w:sz w:val="24"/>
          <w:sz-cs w:val="24"/>
        </w:rPr>
        <w:t xml:space="preserve">5.</w:t>
        <w:tab/>
        <w:t xml:space="preserve">פרופ' פלר מתבונן בסיטואציה שבה פלוני שב ומבצע עבירה שהוא כבר הורשע בה בעבר, ואף נשא בגינה בעונש או בחלקו, כמצב של "מוּעדות", המתבטאת ב"ריבוי עבירות". לגישתו, ביצועה של עבירה נוספת חרף האזהרה שהייתה גלומה בהרשעתו של פלוני בשל ביצוע העבירה הקודמת צריכה לזכות בגינוי חברתי חמור מזה שהיה טמון בביצועה של אותה עבירה בפעם הראשונה (ש"ז </w:t>
      </w:r>
      <w:r>
        <w:rPr>
          <w:rFonts w:ascii="Times New Roman" w:hAnsi="Times New Roman" w:cs="Times New Roman"/>
          <w:sz w:val="24"/>
          <w:sz-cs w:val="24"/>
          <w:u w:val="single"/>
          <w:color w:val="0000FF"/>
        </w:rPr>
        <w:t xml:space="preserve"> HYPERLINK "http://www.nevo.co.il/safrut/bookgroup/412" </w:t>
      </w:r>
      <w:r>
        <w:rPr>
          <w:rFonts w:ascii="Times New Roman" w:hAnsi="Times New Roman" w:cs="Times New Roman"/>
          <w:sz w:val="24"/>
          <w:sz-cs w:val="24"/>
          <w:u w:val="single"/>
          <w:color w:val="0000FF"/>
        </w:rPr>
        <w:t xml:space="preserve">פלר יסודות בדיני עונשין</w:t>
      </w:r>
      <w:r>
        <w:rPr>
          <w:rFonts w:ascii="Times New Roman" w:hAnsi="Times New Roman" w:cs="Times New Roman"/>
          <w:sz w:val="24"/>
          <w:sz-cs w:val="24"/>
        </w:rPr>
        <w:t xml:space="preserve"> (כרך ג) </w:t>
      </w:r>
      <w:r>
        <w:rPr>
          <w:rFonts w:ascii="Times New Roman" w:hAnsi="Times New Roman" w:cs="Times New Roman"/>
          <w:sz w:val="22"/>
          <w:sz-cs w:val="22"/>
        </w:rPr>
        <w:t xml:space="preserve">[20]</w:t>
      </w:r>
      <w:r>
        <w:rPr>
          <w:rFonts w:ascii="Times New Roman" w:hAnsi="Times New Roman" w:cs="Times New Roman"/>
          <w:sz w:val="24"/>
          <w:sz-cs w:val="24"/>
        </w:rPr>
        <w:t xml:space="preserve">, </w:t>
      </w:r>
      <w:r>
        <w:rPr>
          <w:rFonts w:ascii="Times New Roman" w:hAnsi="Times New Roman" w:cs="Times New Roman"/>
          <w:sz w:val="22"/>
          <w:sz-cs w:val="22"/>
        </w:rPr>
        <w:t xml:space="preserve">בעמ' 343-333</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ואכן, פקודת החוק הפלילי המנדטורית, ולאחריה </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הכילו בעבר כמה עבירות שבהן נקבע עונש חמור יותר לעבריין המוּעד, אולם בתיקונים שנערכו במהלך השנים בחוק בוטלו הוראות אלה, והן אינן קיימות בו עוד. הגישה שהתקבלה הייתה כי "לקביעת עונש מוגדל בחוק בשל עבירה חוזרת אין, בדרך כלל, צידוק. יש אשר נסיבות העבירה במקרה הראשון עושות את העבירה לחמורה מאוד ואילו בנסיבות שבמקרה החוזר העבירה היא קלה דוקא. את עובדת הרצידיביזם צריך בית המשפט לשקול במסגרת העונש המקסימלי הקבוע בחוק" (הצעת חוק לתיקון פקודת החוק הפלילי </w:t>
        <w:br/>
        <w:t xml:space="preserve">(מס' 29), תשכ"ו-1965, ה"ח 38, 43). לאחר ביטולן של הוראות אלה נותרו, כשריד לתקופות עברו, רק כמה הוראות חוק ישנות, נפרדות מ</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אשר מטילות עד היום דין חמור יותר על העבריין המוּעד. דוגמה לכך מצויה </w:t>
      </w:r>
      <w:r>
        <w:rPr>
          <w:rFonts w:ascii="Times New Roman" w:hAnsi="Times New Roman" w:cs="Times New Roman"/>
          <w:sz w:val="24"/>
          <w:sz-cs w:val="24"/>
          <w:u w:val="single"/>
          <w:color w:val="0000FF"/>
        </w:rPr>
        <w:t xml:space="preserve"> HYPERLINK "http://www.nevo.co.il/law/72065/58.b" בסעיף 58(ב)</w:t>
      </w:r>
      <w:r>
        <w:rPr>
          <w:rFonts w:ascii="Times New Roman" w:hAnsi="Times New Roman" w:cs="Times New Roman"/>
          <w:sz w:val="24"/>
          <w:sz-cs w:val="24"/>
        </w:rPr>
        <w:t xml:space="preserve"> </w:t>
      </w:r>
      <w:r>
        <w:rPr>
          <w:rFonts w:ascii="Times New Roman" w:hAnsi="Times New Roman" w:cs="Times New Roman"/>
          <w:sz w:val="22"/>
          <w:sz-cs w:val="22"/>
        </w:rPr>
        <w:t xml:space="preserve">ל</w:t>
      </w:r>
      <w:r>
        <w:rPr>
          <w:rFonts w:ascii="Times New Roman" w:hAnsi="Times New Roman" w:cs="Times New Roman"/>
          <w:sz w:val="22"/>
          <w:sz-cs w:val="22"/>
          <w:u w:val="single"/>
          <w:color w:val="0000FF"/>
        </w:rPr>
        <w:t xml:space="preserve"> HYPERLINK "http://www.nevo.co.il/law/72065" </w:t>
      </w:r>
      <w:r>
        <w:rPr>
          <w:rFonts w:ascii="Times New Roman" w:hAnsi="Times New Roman" w:cs="Times New Roman"/>
          <w:sz w:val="22"/>
          <w:sz-cs w:val="22"/>
          <w:u w:val="single"/>
          <w:color w:val="0000FF"/>
        </w:rPr>
        <w:t xml:space="preserve">פקודת הטבק</w:t>
      </w:r>
      <w:r>
        <w:rPr>
          <w:rFonts w:ascii="Times New Roman" w:hAnsi="Times New Roman" w:cs="Times New Roman"/>
          <w:sz w:val="22"/>
          <w:sz-cs w:val="22"/>
        </w:rPr>
        <w:t xml:space="preserve"> [נוסח חדש], </w:t>
      </w:r>
      <w:r>
        <w:rPr>
          <w:rFonts w:ascii="Times New Roman" w:hAnsi="Times New Roman" w:cs="Times New Roman"/>
          <w:sz w:val="24"/>
          <w:sz-cs w:val="24"/>
        </w:rPr>
        <w:t xml:space="preserve">הקובע כי "מי שנמצא ברשותו טבק מוברח, דינו – קנס חמש עשרה לירות לכל ק"ג... ואם אותו אדם כבר הורשע פעם על אותה עבירה – קנס כאמור או </w:t>
      </w:r>
    </w:p>
    <w:p>
      <w:pPr>
        <w:jc w:val="both"/>
        <w:bidi/>
        <w:spacing w:after="240"/>
      </w:pPr>
      <w:r>
        <w:rPr>
          <w:rFonts w:ascii="Times New Roman" w:hAnsi="Times New Roman" w:cs="Times New Roman"/>
          <w:sz w:val="24"/>
          <w:sz-cs w:val="24"/>
        </w:rPr>
        <w:t xml:space="preserve"/>
        <w:br w:type="page"/>
        <w:t xml:space="preserve">מאסר ששה חדשים או שני הענשים כאחד". דוגמה נוספת מצויה </w:t>
      </w:r>
      <w:r>
        <w:rPr>
          <w:rFonts w:ascii="Times New Roman" w:hAnsi="Times New Roman" w:cs="Times New Roman"/>
          <w:sz w:val="24"/>
          <w:sz-cs w:val="24"/>
          <w:u w:val="single"/>
          <w:color w:val="0000FF"/>
        </w:rPr>
        <w:t xml:space="preserve"> HYPERLINK "http://www.nevo.co.il/law/72421/156.b" בסעיף 156(ב)</w:t>
      </w:r>
      <w:r>
        <w:rPr>
          <w:rFonts w:ascii="Times New Roman" w:hAnsi="Times New Roman" w:cs="Times New Roman"/>
          <w:sz w:val="24"/>
          <w:sz-cs w:val="24"/>
        </w:rPr>
        <w:t xml:space="preserve"> </w:t>
      </w:r>
      <w:r>
        <w:rPr>
          <w:rFonts w:ascii="Times New Roman" w:hAnsi="Times New Roman" w:cs="Times New Roman"/>
          <w:sz w:val="22"/>
          <w:sz-cs w:val="22"/>
        </w:rPr>
        <w:t xml:space="preserve">ל</w:t>
      </w:r>
      <w:r>
        <w:rPr>
          <w:rFonts w:ascii="Times New Roman" w:hAnsi="Times New Roman" w:cs="Times New Roman"/>
          <w:sz w:val="22"/>
          <w:sz-cs w:val="22"/>
          <w:u w:val="single"/>
          <w:color w:val="0000FF"/>
        </w:rPr>
        <w:t xml:space="preserve"> HYPERLINK "http://www.nevo.co.il/law/72421" </w:t>
      </w:r>
      <w:r>
        <w:rPr>
          <w:rFonts w:ascii="Times New Roman" w:hAnsi="Times New Roman" w:cs="Times New Roman"/>
          <w:sz w:val="22"/>
          <w:sz-cs w:val="22"/>
          <w:u w:val="single"/>
          <w:color w:val="0000FF"/>
        </w:rPr>
        <w:t xml:space="preserve">חוק המים</w:t>
      </w:r>
      <w:r>
        <w:rPr>
          <w:rFonts w:ascii="Times New Roman" w:hAnsi="Times New Roman" w:cs="Times New Roman"/>
          <w:sz w:val="22"/>
          <w:sz-cs w:val="22"/>
        </w:rPr>
        <w:t xml:space="preserve">, תשי"ט-1959, הקובע כי "הורשע אדם בשל עבירה לפי סעיף קטן (א) ועבר אותה עבירה פעם נוספת דינו קנס 6000 לירות...". ועוד, </w:t>
      </w:r>
      <w:r>
        <w:rPr>
          <w:rFonts w:ascii="Times New Roman" w:hAnsi="Times New Roman" w:cs="Times New Roman"/>
          <w:sz w:val="22"/>
          <w:sz-cs w:val="22"/>
          <w:u w:val="single"/>
          <w:color w:val="0000FF"/>
        </w:rPr>
        <w:t xml:space="preserve"> HYPERLINK "http://www.nevo.co.il/law/71965/4.c.2" סעיף 4(ג)(2)</w:t>
      </w:r>
      <w:r>
        <w:rPr>
          <w:rFonts w:ascii="Times New Roman" w:hAnsi="Times New Roman" w:cs="Times New Roman"/>
          <w:sz w:val="22"/>
          <w:sz-cs w:val="22"/>
        </w:rPr>
        <w:t xml:space="preserve"> ל</w:t>
      </w:r>
      <w:r>
        <w:rPr>
          <w:rFonts w:ascii="Times New Roman" w:hAnsi="Times New Roman" w:cs="Times New Roman"/>
          <w:sz w:val="22"/>
          <w:sz-cs w:val="22"/>
          <w:u w:val="single"/>
          <w:color w:val="0000FF"/>
        </w:rPr>
        <w:t xml:space="preserve"> HYPERLINK "http://www.nevo.co.il/law/71965" </w:t>
      </w:r>
      <w:r>
        <w:rPr>
          <w:rFonts w:ascii="Times New Roman" w:hAnsi="Times New Roman" w:cs="Times New Roman"/>
          <w:sz w:val="22"/>
          <w:sz-cs w:val="22"/>
          <w:u w:val="single"/>
          <w:color w:val="0000FF"/>
        </w:rPr>
        <w:t xml:space="preserve">חוק לימוד חובה</w:t>
      </w:r>
      <w:r>
        <w:rPr>
          <w:rFonts w:ascii="Times New Roman" w:hAnsi="Times New Roman" w:cs="Times New Roman"/>
          <w:sz w:val="22"/>
          <w:sz-cs w:val="22"/>
        </w:rPr>
        <w:t xml:space="preserve">, תש"ט-1949 קובע</w:t>
      </w:r>
      <w:r>
        <w:rPr>
          <w:rFonts w:ascii="Times New Roman" w:hAnsi="Times New Roman" w:cs="Times New Roman"/>
          <w:sz w:val="24"/>
          <w:sz-cs w:val="24"/>
        </w:rPr>
        <w:t xml:space="preserve"> כי מי שמעסיק ילד בגיל לימוד חובה דינו "(</w:t>
      </w:r>
      <w:r>
        <w:rPr>
          <w:rFonts w:ascii="Times New Roman" w:hAnsi="Times New Roman" w:cs="Times New Roman"/>
          <w:sz w:val="18"/>
          <w:sz-cs w:val="18"/>
        </w:rPr>
        <w:t xml:space="preserve">I</w:t>
      </w:r>
      <w:r>
        <w:rPr>
          <w:rFonts w:ascii="Times New Roman" w:hAnsi="Times New Roman" w:cs="Times New Roman"/>
          <w:sz w:val="24"/>
          <w:sz-cs w:val="24"/>
        </w:rPr>
        <w:t xml:space="preserve">) על עבירה ראשונה – מאסר עד ארבעה עשר יום או קנס עד עשר לירות או שני הענשים כאחד; </w:t>
        <w:br/>
        <w:t xml:space="preserve">(</w:t>
      </w:r>
      <w:r>
        <w:rPr>
          <w:rFonts w:ascii="Times New Roman" w:hAnsi="Times New Roman" w:cs="Times New Roman"/>
          <w:sz w:val="18"/>
          <w:sz-cs w:val="18"/>
        </w:rPr>
        <w:t xml:space="preserve">II</w:t>
      </w:r>
      <w:r>
        <w:rPr>
          <w:rFonts w:ascii="Times New Roman" w:hAnsi="Times New Roman" w:cs="Times New Roman"/>
          <w:sz w:val="24"/>
          <w:sz-cs w:val="24"/>
        </w:rPr>
        <w:t xml:space="preserve">) על עבירה נוספת – מאסר עד עשרים ושמונה ימים או קנס עד עשרים לירות או שני הענשים כאחד".</w:t>
      </w:r>
    </w:p>
    <w:p>
      <w:pPr>
        <w:jc w:val="both"/>
        <w:bidi/>
        <w:spacing w:after="240"/>
      </w:pPr>
      <w:r>
        <w:rPr>
          <w:rFonts w:ascii="Times New Roman" w:hAnsi="Times New Roman" w:cs="Times New Roman"/>
          <w:sz w:val="24"/>
          <w:sz-cs w:val="24"/>
        </w:rPr>
        <w:t xml:space="preserve">הגישה הנוהגת כיום היא כי את המוּעדוּת יש לבחון באספקלריה של גזר</w:t>
      </w:r>
      <w:r>
        <w:rPr>
          <w:rFonts w:ascii="Arial" w:hAnsi="Arial" w:cs="Arial"/>
          <w:sz w:val="24"/>
          <w:sz-cs w:val="24"/>
          <w:b/>
          <w:position w:val="4"/>
        </w:rPr>
        <w:t xml:space="preserve">-</w:t>
      </w:r>
      <w:r>
        <w:rPr>
          <w:rFonts w:ascii="Times New Roman" w:hAnsi="Times New Roman" w:cs="Times New Roman"/>
          <w:sz w:val="24"/>
          <w:sz-cs w:val="24"/>
        </w:rPr>
        <w:t xml:space="preserve">הדין שיוטל על הנאשם, ואין מקום לדרוש, כחלק מיסודות העבירה, הוכחה בדבר קיום נסיבה של רצידיביזם. המוסד של מאסר על</w:t>
      </w:r>
      <w:r>
        <w:rPr>
          <w:rFonts w:ascii="Times New Roman" w:hAnsi="Times New Roman" w:cs="Times New Roman"/>
          <w:sz w:val="22"/>
          <w:sz-cs w:val="22"/>
          <w:position w:val="4"/>
        </w:rPr>
        <w:t xml:space="preserve">-</w:t>
      </w:r>
      <w:r>
        <w:rPr>
          <w:rFonts w:ascii="Times New Roman" w:hAnsi="Times New Roman" w:cs="Times New Roman"/>
          <w:sz w:val="24"/>
          <w:sz-cs w:val="24"/>
        </w:rPr>
        <w:t xml:space="preserve">תנאי, אשר נועד אף הוא להתמודד עם סוגית המוּעדוּת, מגלם את עקרונותיה של גישה זו. במהלך הדיון קודם להכרעת</w:t>
      </w:r>
      <w:r>
        <w:rPr>
          <w:rFonts w:ascii="Arial" w:hAnsi="Arial" w:cs="Arial"/>
          <w:sz w:val="24"/>
          <w:sz-cs w:val="24"/>
          <w:b/>
          <w:position w:val="4"/>
        </w:rPr>
        <w:t xml:space="preserve">-</w:t>
      </w:r>
      <w:r>
        <w:rPr>
          <w:rFonts w:ascii="Times New Roman" w:hAnsi="Times New Roman" w:cs="Times New Roman"/>
          <w:sz w:val="24"/>
          <w:sz-cs w:val="24"/>
        </w:rPr>
        <w:t xml:space="preserve">הדין עברו הפלילי של נאשם הוא ראיה בלתי רלוונטית (ואף בלתי קבילה, שכן הדבר מהווה עדות על אופיו הרע של הנאשם), ויהא זה רק בשלב גזירת הדין כאשר עובדת הרשעתו הקודמת של הנאשם תבוא לידי ביטוי ותגרור את הפעלתו של המאסר על</w:t>
      </w:r>
      <w:r>
        <w:rPr>
          <w:rFonts w:ascii="Arial" w:hAnsi="Arial" w:cs="Arial"/>
          <w:sz w:val="24"/>
          <w:sz-cs w:val="24"/>
          <w:b/>
          <w:position w:val="4"/>
        </w:rPr>
        <w:t xml:space="preserve">-</w:t>
      </w:r>
      <w:r>
        <w:rPr>
          <w:rFonts w:ascii="Times New Roman" w:hAnsi="Times New Roman" w:cs="Times New Roman"/>
          <w:sz w:val="24"/>
          <w:sz-cs w:val="24"/>
        </w:rPr>
        <w:t xml:space="preserve">תנאי.</w:t>
      </w:r>
    </w:p>
    <w:p>
      <w:pPr>
        <w:jc w:val="both"/>
        <w:bidi/>
        <w:spacing w:after="240"/>
      </w:pPr>
      <w:r>
        <w:rPr>
          <w:rFonts w:ascii="Times New Roman" w:hAnsi="Times New Roman" w:cs="Times New Roman"/>
          <w:sz w:val="24"/>
          <w:sz-cs w:val="24"/>
        </w:rPr>
        <w:t xml:space="preserve">6.</w:t>
        <w:tab/>
        <w:t xml:space="preserve">ההוראות המסדירות את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מצויות </w:t>
      </w:r>
      <w:r>
        <w:rPr>
          <w:rFonts w:ascii="Times New Roman" w:hAnsi="Times New Roman" w:cs="Times New Roman"/>
          <w:sz w:val="24"/>
          <w:sz-cs w:val="24"/>
          <w:u w:val="single"/>
          <w:color w:val="0000FF"/>
        </w:rPr>
        <w:t xml:space="preserve"> HYPERLINK "http://www.nevo.co.il/law/70301/cSfC" בסימן ג לפרק ו</w:t>
      </w:r>
      <w:r>
        <w:rPr>
          <w:rFonts w:ascii="Times New Roman" w:hAnsi="Times New Roman" w:cs="Times New Roman"/>
          <w:sz w:val="24"/>
          <w:sz-cs w:val="24"/>
        </w:rPr>
        <w:t xml:space="preserve"> של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"http://www.nevo.co.il/law/70301/52.a" סעיף 52(א)</w:t>
      </w:r>
      <w:r>
        <w:rPr>
          <w:rFonts w:ascii="Times New Roman" w:hAnsi="Times New Roman" w:cs="Times New Roman"/>
          <w:sz w:val="24"/>
          <w:sz-cs w:val="24"/>
        </w:rPr>
        <w:t xml:space="preserve"> קובע כי מש"הטיל בית המשפט עונש מאסר, רשאי הוא להורות בגזר הדין שהעונש, כולו או מקצתו, יהיה על תנאי". מאסר מותנה הוא למעשה מאסר בכוח. שופט המטיל על נאשם מאסר מותנה מציין בגזר</w:t>
      </w:r>
      <w:r>
        <w:rPr>
          <w:rFonts w:ascii="Arial" w:hAnsi="Arial" w:cs="Arial"/>
          <w:sz w:val="24"/>
          <w:sz-cs w:val="24"/>
          <w:b/>
          <w:position w:val="4"/>
        </w:rPr>
        <w:t xml:space="preserve">-</w:t>
      </w:r>
      <w:r>
        <w:rPr>
          <w:rFonts w:ascii="Times New Roman" w:hAnsi="Times New Roman" w:cs="Times New Roman"/>
          <w:sz w:val="24"/>
          <w:sz-cs w:val="24"/>
        </w:rPr>
        <w:t xml:space="preserve">הדין מהי "עבירת התנאי" אשר בהתקיימה יומר העונש למאסר בפועל, ומהי מסגרת הזמן שנקצבה לקיומו של תנאי זה. מכוח הוראתו של </w:t>
      </w:r>
      <w:r>
        <w:rPr>
          <w:rFonts w:ascii="Times New Roman" w:hAnsi="Times New Roman" w:cs="Times New Roman"/>
          <w:sz w:val="24"/>
          <w:sz-cs w:val="24"/>
          <w:u w:val="single"/>
          <w:color w:val="0000FF"/>
        </w:rPr>
        <w:t xml:space="preserve"> HYPERLINK "http://www.nevo.co.il/law/70301/52.d" סעיף 52(ד)</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התנאי יכול להיקבע בדרך של ציון סעיף עבירה מסוים, ציון סוג של עבירות או תיאורן. באשר להפעלתו של המאסר המותנה קובע </w:t>
      </w:r>
      <w:r>
        <w:rPr>
          <w:rFonts w:ascii="Times New Roman" w:hAnsi="Times New Roman" w:cs="Times New Roman"/>
          <w:sz w:val="24"/>
          <w:sz-cs w:val="24"/>
          <w:u w:val="single"/>
          <w:color w:val="0000FF"/>
        </w:rPr>
        <w:t xml:space="preserve"> HYPERLINK "http://www.nevo.co.il/law/70301/55.a" סעיף 55(א)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כך:</w:t>
        <w:tab/>
        <w:t xml:space="preserve"/>
      </w:r>
    </w:p>
    <w:p>
      <w:pPr>
        <w:jc w:val="both"/>
        <w:bidi/>
        <w:ind w:left="454" w:right="454"/>
        <w:spacing w:after="240"/>
      </w:pPr>
      <w:r>
        <w:rPr>
          <w:rFonts w:ascii="Times New Roman" w:hAnsi="Times New Roman" w:cs="Times New Roman"/>
          <w:sz w:val="24"/>
          <w:sz-cs w:val="24"/>
        </w:rPr>
        <w:t xml:space="preserve">"מי שנידון למאסר על תנאי והורשע בשל עבירה נוספת, יצווה בית המשפט על הפעלת המאסר על תנאי". </w:t>
      </w:r>
    </w:p>
    <w:p>
      <w:pPr>
        <w:jc w:val="both"/>
        <w:bidi/>
        <w:spacing w:after="240"/>
      </w:pPr>
      <w:r>
        <w:rPr>
          <w:rFonts w:ascii="Times New Roman" w:hAnsi="Times New Roman" w:cs="Times New Roman"/>
          <w:sz w:val="24"/>
          <w:sz-cs w:val="24"/>
        </w:rPr>
        <w:t xml:space="preserve">העולה מכך הוא כי כל עוד לא הפר הנאשם את התנאי שנקבע, נדחה ביצועו של עונש המאסר, ועם חלוף התקופה שנקצבה לתנאי יפוג עונש זה כלא היה. מכך מתבקש ששיקולים של הרתעת הנאשם הם העומדים בבסיס הענישה המותנית, שכן אם הוא ישוב למוטב, ומעשיו לא יישנו, כי אז הוא יזכה למעין מחילה באשר הוא לא ייאסר בגין המעשים שבהם הורשע. התליית המאסר בתנאים נועדה לאפשר לבחון את התנהגותו של הנאשם ולדרבנו לציית לחוק.</w:t>
      </w:r>
      <w:r>
        <w:rPr>
          <w:rFonts w:ascii="Times New Roman" w:hAnsi="Times New Roman" w:cs="Times New Roman"/>
          <w:sz w:val="24"/>
          <w:sz-cs w:val="24"/>
          <w:color w:val="000000"/>
        </w:rPr>
        <w:t xml:space="preserve"/>
      </w:r>
    </w:p>
    <w:p>
      <w:pPr>
        <w:jc w:val="both"/>
        <w:bidi/>
        <w:ind w:left="454" w:right="454"/>
        <w:spacing w:after="240"/>
      </w:pPr>
      <w:r>
        <w:rPr>
          <w:rFonts w:ascii="Times New Roman" w:hAnsi="Times New Roman" w:cs="Times New Roman"/>
          <w:sz w:val="24"/>
          <w:sz-cs w:val="24"/>
        </w:rPr>
        <w:t xml:space="preserve"/>
        <w:br w:type="page"/>
        <w:t xml:space="preserve">"החרב התלויה מעל ראשו של הנידון, שהמאסר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עלול גם להפוך למאסר בפועל, מחייב את הנידון להיזהר משנה זהירות פן ייכשל בכיבוד התנאי, וההנחה היא שאם הוא הצליח בכך במשך תקופת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התנאי, הוא יקפיד ביתר שאת גם בהמשך להיות אדם שומר חוק ומכבד את כללי הקיום</w:t>
      </w:r>
      <w:r>
        <w:rPr>
          <w:rFonts w:ascii="Arial" w:hAnsi="Arial" w:cs="Arial"/>
          <w:sz w:val="24"/>
          <w:sz-cs w:val="24"/>
          <w:b/>
          <w:position w:val="4"/>
        </w:rPr>
        <w:t xml:space="preserve">-</w:t>
      </w:r>
      <w:r>
        <w:rPr>
          <w:rFonts w:ascii="Times New Roman" w:hAnsi="Times New Roman" w:cs="Times New Roman"/>
          <w:sz w:val="24"/>
          <w:sz-cs w:val="24"/>
        </w:rPr>
        <w:t xml:space="preserve">יחד בחברה" (פלר </w:t>
      </w:r>
      <w:r>
        <w:rPr>
          <w:rFonts w:ascii="Times New Roman" w:hAnsi="Times New Roman" w:cs="Times New Roman"/>
          <w:sz w:val="22"/>
          <w:sz-cs w:val="22"/>
        </w:rPr>
        <w:t xml:space="preserve">בספרו הנ"ל [20]</w:t>
      </w:r>
      <w:r>
        <w:rPr>
          <w:rFonts w:ascii="Times New Roman" w:hAnsi="Times New Roman" w:cs="Times New Roman"/>
          <w:sz w:val="24"/>
          <w:sz-cs w:val="24"/>
        </w:rPr>
        <w:t xml:space="preserve">, </w:t>
      </w:r>
      <w:r>
        <w:rPr>
          <w:rFonts w:ascii="Times New Roman" w:hAnsi="Times New Roman" w:cs="Times New Roman"/>
          <w:sz w:val="22"/>
          <w:sz-cs w:val="22"/>
        </w:rPr>
        <w:t xml:space="preserve">בעמ' 338</w:t>
      </w:r>
      <w:r>
        <w:rPr>
          <w:rFonts w:ascii="Times New Roman" w:hAnsi="Times New Roman" w:cs="Times New Roman"/>
          <w:sz w:val="24"/>
          <w:sz-cs w:val="24"/>
        </w:rPr>
        <w:t xml:space="preserve">; וראו עוד בהקשר זה את ספרו של א' אנקר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[21], </w:t>
      </w:r>
      <w:r>
        <w:rPr>
          <w:rFonts w:ascii="Times New Roman" w:hAnsi="Times New Roman" w:cs="Times New Roman"/>
          <w:sz w:val="22"/>
          <w:sz-cs w:val="22"/>
        </w:rPr>
        <w:t xml:space="preserve">בעמ' 45-19</w:t>
      </w:r>
      <w:r>
        <w:rPr>
          <w:rFonts w:ascii="Times New Roman" w:hAnsi="Times New Roman" w:cs="Times New Roman"/>
          <w:sz w:val="24"/>
          <w:sz-cs w:val="24"/>
        </w:rPr>
        <w:t xml:space="preserve">; י' בזק הענישה הפלילית </w:t>
      </w:r>
      <w:r>
        <w:rPr>
          <w:rFonts w:ascii="Times New Roman" w:hAnsi="Times New Roman" w:cs="Times New Roman"/>
          <w:sz w:val="22"/>
          <w:sz-cs w:val="22"/>
        </w:rPr>
        <w:t xml:space="preserve">[22]</w:t>
      </w:r>
      <w:r>
        <w:rPr>
          <w:rFonts w:ascii="Times New Roman" w:hAnsi="Times New Roman" w:cs="Times New Roman"/>
          <w:sz w:val="24"/>
          <w:sz-cs w:val="24"/>
        </w:rPr>
        <w:t xml:space="preserve">, </w:t>
      </w:r>
      <w:r>
        <w:rPr>
          <w:rFonts w:ascii="Times New Roman" w:hAnsi="Times New Roman" w:cs="Times New Roman"/>
          <w:sz w:val="22"/>
          <w:sz-cs w:val="22"/>
        </w:rPr>
        <w:t xml:space="preserve">בעמ' 151</w:t>
      </w:r>
      <w:r>
        <w:rPr>
          <w:rFonts w:ascii="Times New Roman" w:hAnsi="Times New Roman" w:cs="Times New Roman"/>
          <w:sz w:val="24"/>
          <w:sz-cs w:val="24"/>
        </w:rPr>
        <w:t xml:space="preserve">; </w:t>
      </w:r>
      <w:r>
        <w:rPr>
          <w:rFonts w:ascii="Times New Roman" w:hAnsi="Times New Roman" w:cs="Times New Roman"/>
          <w:sz w:val="22"/>
          <w:sz-cs w:val="22"/>
          <w:u w:val="single"/>
          <w:color w:val="0000FF"/>
        </w:rPr>
        <w:t xml:space="preserve">HYPERLINK "http://www.nevo.co.il/case/17931933"ע"פ 823/84</w:t>
      </w:r>
      <w:r>
        <w:rPr>
          <w:rFonts w:ascii="Times New Roman" w:hAnsi="Times New Roman" w:cs="Times New Roman"/>
          <w:sz w:val="22"/>
          <w:sz-cs w:val="22"/>
        </w:rPr>
        <w:t xml:space="preserve"> מדינת ישראל</w:t>
      </w:r>
      <w:r>
        <w:rPr>
          <w:rFonts w:ascii="Times New Roman" w:hAnsi="Times New Roman" w:cs="Times New Roman"/>
          <w:sz w:val="24"/>
          <w:sz-cs w:val="24"/>
        </w:rPr>
        <w:t xml:space="preserve"> נ' הררי [1], </w:t>
      </w:r>
      <w:r>
        <w:rPr>
          <w:rFonts w:ascii="Times New Roman" w:hAnsi="Times New Roman" w:cs="Times New Roman"/>
          <w:sz w:val="22"/>
          <w:sz-cs w:val="22"/>
        </w:rPr>
        <w:t xml:space="preserve">בעמ' 408</w:t>
      </w:r>
      <w:r>
        <w:rPr>
          <w:rFonts w:ascii="Times New Roman" w:hAnsi="Times New Roman" w:cs="Times New Roman"/>
          <w:sz w:val="24"/>
          <w:sz-cs w:val="24"/>
        </w:rPr>
        <w:t xml:space="preserve">; </w:t>
      </w:r>
      <w:r>
        <w:rPr>
          <w:rFonts w:ascii="Times New Roman" w:hAnsi="Times New Roman" w:cs="Times New Roman"/>
          <w:sz w:val="22"/>
          <w:sz-cs w:val="22"/>
          <w:u w:val="single"/>
          <w:color w:val="0000FF"/>
        </w:rPr>
        <w:t xml:space="preserve">HYPERLINK "http://www.nevo.co.il/case/17943349"ד"נ 16/85</w:t>
      </w:r>
      <w:r>
        <w:rPr>
          <w:rFonts w:ascii="Times New Roman" w:hAnsi="Times New Roman" w:cs="Times New Roman"/>
          <w:sz w:val="22"/>
          <w:sz-cs w:val="22"/>
        </w:rPr>
        <w:t xml:space="preserve"> </w:t>
      </w:r>
      <w:r>
        <w:rPr>
          <w:rFonts w:ascii="Times New Roman" w:hAnsi="Times New Roman" w:cs="Times New Roman"/>
          <w:sz w:val="24"/>
          <w:sz-cs w:val="24"/>
        </w:rPr>
        <w:t xml:space="preserve">הררי נ' מדינת ישראל [2], </w:t>
      </w:r>
      <w:r>
        <w:rPr>
          <w:rFonts w:ascii="Times New Roman" w:hAnsi="Times New Roman" w:cs="Times New Roman"/>
          <w:sz w:val="22"/>
          <w:sz-cs w:val="22"/>
        </w:rPr>
        <w:t xml:space="preserve">בעמ' 455</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יתרה מכך, על נאשם שנגזר לו מאסר על</w:t>
      </w:r>
      <w:r>
        <w:rPr>
          <w:rFonts w:ascii="Arial" w:hAnsi="Arial" w:cs="Arial"/>
          <w:sz w:val="24"/>
          <w:sz-cs w:val="24"/>
          <w:b/>
          <w:position w:val="4"/>
        </w:rPr>
        <w:t xml:space="preserve">-</w:t>
      </w:r>
      <w:r>
        <w:rPr>
          <w:rFonts w:ascii="Times New Roman" w:hAnsi="Times New Roman" w:cs="Times New Roman"/>
          <w:sz w:val="24"/>
          <w:sz-cs w:val="24"/>
        </w:rPr>
        <w:t xml:space="preserve">תנאי להביא בחשבון כי הפרת התנאי על</w:t>
      </w:r>
      <w:r>
        <w:rPr>
          <w:rFonts w:ascii="Arial" w:hAnsi="Arial" w:cs="Arial"/>
          <w:sz w:val="24"/>
          <w:sz-cs w:val="24"/>
          <w:b/>
          <w:position w:val="4"/>
        </w:rPr>
        <w:t xml:space="preserve">-</w:t>
      </w:r>
      <w:r>
        <w:rPr>
          <w:rFonts w:ascii="Times New Roman" w:hAnsi="Times New Roman" w:cs="Times New Roman"/>
          <w:sz w:val="24"/>
          <w:sz-cs w:val="24"/>
        </w:rPr>
        <w:t xml:space="preserve">ידי ביצועה של עבירה נוספת תגרור תגובה עונשית חמורה מהרגיל, באשר ככלל – כך קובע </w:t>
      </w:r>
      <w:r>
        <w:rPr>
          <w:rFonts w:ascii="Times New Roman" w:hAnsi="Times New Roman" w:cs="Times New Roman"/>
          <w:sz w:val="24"/>
          <w:sz-cs w:val="24"/>
          <w:u w:val="single"/>
          <w:color w:val="0000FF"/>
        </w:rPr>
        <w:t xml:space="preserve"> HYPERLINK "http://www.nevo.co.il/law/70301/58" סעיף 58</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 הוא יישא בעונש שיוטל עליו בשל העבירה המאוחרת במצטבר למאסר המותנה.</w:t>
      </w:r>
    </w:p>
    <w:p>
      <w:pPr>
        <w:jc w:val="both"/>
        <w:bidi/>
        <w:spacing w:after="240"/>
      </w:pPr>
      <w:r>
        <w:rPr>
          <w:rFonts w:ascii="Times New Roman" w:hAnsi="Times New Roman" w:cs="Times New Roman"/>
          <w:sz w:val="24"/>
          <w:sz-cs w:val="24"/>
        </w:rPr>
        <w:t xml:space="preserve">זאת ועוד, הכלל שנקבע </w:t>
      </w:r>
      <w:r>
        <w:rPr>
          <w:rFonts w:ascii="Times New Roman" w:hAnsi="Times New Roman" w:cs="Times New Roman"/>
          <w:sz w:val="24"/>
          <w:sz-cs w:val="24"/>
          <w:u w:val="single"/>
          <w:color w:val="0000FF"/>
        </w:rPr>
        <w:t xml:space="preserve"> HYPERLINK "http://www.nevo.co.il/law/70301/56" בסעיף 56</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הוא כי ביצוע עבירת התנאי מפעיל את המאסר המותנה, ויהא זה במקרים חריגים בלבד, ורק מטעמים שיירשמו, שבית</w:t>
      </w:r>
      <w:r>
        <w:rPr>
          <w:rFonts w:ascii="Arial" w:hAnsi="Arial" w:cs="Arial"/>
          <w:sz w:val="24"/>
          <w:sz-cs w:val="24"/>
          <w:b/>
          <w:position w:val="4"/>
        </w:rPr>
        <w:t xml:space="preserve">-</w:t>
      </w:r>
      <w:r>
        <w:rPr>
          <w:rFonts w:ascii="Times New Roman" w:hAnsi="Times New Roman" w:cs="Times New Roman"/>
          <w:sz w:val="24"/>
          <w:sz-cs w:val="24"/>
        </w:rPr>
        <w:t xml:space="preserve">המשפט יהיה רשאי להורות על הארכת תקופת התנאי אם שוכנע כי בנסיבות העניין לא יהא זה צודק להפעילו. אמנם, ככל שהפעלת התנאי היא אוטומטית, כך גדל כוחו המרתיע של המאסר המותנה (אנקר בספרו הנ"ל [21], </w:t>
      </w:r>
      <w:r>
        <w:rPr>
          <w:rFonts w:ascii="Times New Roman" w:hAnsi="Times New Roman" w:cs="Times New Roman"/>
          <w:sz w:val="22"/>
          <w:sz-cs w:val="22"/>
        </w:rPr>
        <w:t xml:space="preserve">בעמ' 47</w:t>
      </w:r>
      <w:r>
        <w:rPr>
          <w:rFonts w:ascii="Times New Roman" w:hAnsi="Times New Roman" w:cs="Times New Roman"/>
          <w:sz w:val="24"/>
          <w:sz-cs w:val="24"/>
        </w:rPr>
        <w:t xml:space="preserve">), אולם חרף זאת ניתן שיקול</w:t>
      </w:r>
      <w:r>
        <w:rPr>
          <w:rFonts w:ascii="Arial" w:hAnsi="Arial" w:cs="Arial"/>
          <w:sz w:val="24"/>
          <w:sz-cs w:val="24"/>
          <w:b/>
          <w:position w:val="4"/>
        </w:rPr>
        <w:t xml:space="preserve">-</w:t>
      </w:r>
      <w:r>
        <w:rPr>
          <w:rFonts w:ascii="Times New Roman" w:hAnsi="Times New Roman" w:cs="Times New Roman"/>
          <w:sz w:val="24"/>
          <w:sz-cs w:val="24"/>
        </w:rPr>
        <w:t xml:space="preserve">הדעת לבית</w:t>
      </w:r>
      <w:r>
        <w:rPr>
          <w:rFonts w:ascii="Arial" w:hAnsi="Arial" w:cs="Arial"/>
          <w:sz w:val="24"/>
          <w:sz-cs w:val="24"/>
          <w:b/>
          <w:position w:val="4"/>
        </w:rPr>
        <w:t xml:space="preserve">-</w:t>
      </w:r>
      <w:r>
        <w:rPr>
          <w:rFonts w:ascii="Times New Roman" w:hAnsi="Times New Roman" w:cs="Times New Roman"/>
          <w:sz w:val="24"/>
          <w:sz-cs w:val="24"/>
        </w:rPr>
        <w:t xml:space="preserve">המשפט שלא להפעילו כדי לאפשר לו, מקום שהצדק מחייב זאת, להעניק לנאשם הזדמנות נוספת ואחרונה לחזור לדרך הישר, וגם בחריג זה גלום עקרון ההרתעה. </w:t>
      </w:r>
    </w:p>
    <w:p>
      <w:pPr>
        <w:jc w:val="both"/>
        <w:bidi/>
        <w:spacing w:after="240"/>
      </w:pPr>
      <w:r>
        <w:rPr>
          <w:rFonts w:ascii="Times New Roman" w:hAnsi="Times New Roman" w:cs="Times New Roman"/>
          <w:sz w:val="24"/>
          <w:sz-cs w:val="24"/>
        </w:rPr>
        <w:t xml:space="preserve">7.</w:t>
        <w:tab/>
        <w:t xml:space="preserve">כאמור, בגזר</w:t>
      </w:r>
      <w:r>
        <w:rPr>
          <w:rFonts w:ascii="Arial" w:hAnsi="Arial" w:cs="Arial"/>
          <w:sz w:val="24"/>
          <w:sz-cs w:val="24"/>
          <w:b/>
          <w:position w:val="4"/>
        </w:rPr>
        <w:t xml:space="preserve">-</w:t>
      </w:r>
      <w:r>
        <w:rPr>
          <w:rFonts w:ascii="Times New Roman" w:hAnsi="Times New Roman" w:cs="Times New Roman"/>
          <w:sz w:val="24"/>
          <w:sz-cs w:val="24"/>
        </w:rPr>
        <w:t xml:space="preserve">הדין בעניינו של המערער בהליך הקודם הוטלו עליו שני עונשי מאסר על</w:t>
      </w:r>
      <w:r>
        <w:rPr>
          <w:rFonts w:ascii="Arial" w:hAnsi="Arial" w:cs="Arial"/>
          <w:sz w:val="24"/>
          <w:sz-cs w:val="24"/>
          <w:b/>
          <w:position w:val="4"/>
        </w:rPr>
        <w:t xml:space="preserve">-</w:t>
      </w:r>
      <w:r>
        <w:rPr>
          <w:rFonts w:ascii="Times New Roman" w:hAnsi="Times New Roman" w:cs="Times New Roman"/>
          <w:sz w:val="24"/>
          <w:sz-cs w:val="24"/>
        </w:rPr>
        <w:t xml:space="preserve">תנאי. התנאי שנקבע במאסר האחד הוא ביצוע עבירה לפי </w:t>
      </w:r>
      <w:r>
        <w:rPr>
          <w:rFonts w:ascii="Times New Roman" w:hAnsi="Times New Roman" w:cs="Times New Roman"/>
          <w:sz w:val="24"/>
          <w:sz-cs w:val="24"/>
          <w:u w:val="single"/>
          <w:color w:val="0000FF"/>
        </w:rPr>
        <w:t xml:space="preserve"> HYPERLINK "http://www.nevo.co.il/law/70301/144" סעיף 144</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התנאי שנקבע במאסר האחר הוא רחב יותר, ובו הסתפק בית</w:t>
      </w:r>
      <w:r>
        <w:rPr>
          <w:rFonts w:ascii="Arial" w:hAnsi="Arial" w:cs="Arial"/>
          <w:sz w:val="24"/>
          <w:sz-cs w:val="24"/>
          <w:b/>
          <w:position w:val="4"/>
        </w:rPr>
        <w:t xml:space="preserve">-</w:t>
      </w:r>
      <w:r>
        <w:rPr>
          <w:rFonts w:ascii="Times New Roman" w:hAnsi="Times New Roman" w:cs="Times New Roman"/>
          <w:sz w:val="24"/>
          <w:sz-cs w:val="24"/>
        </w:rPr>
        <w:t xml:space="preserve">המשפט בהפניה לכל אחת מהעבירות המנויות </w:t>
      </w:r>
      <w:r>
        <w:rPr>
          <w:rFonts w:ascii="Times New Roman" w:hAnsi="Times New Roman" w:cs="Times New Roman"/>
          <w:sz w:val="24"/>
          <w:sz-cs w:val="24"/>
          <w:u w:val="single"/>
          <w:color w:val="0000FF"/>
        </w:rPr>
        <w:t xml:space="preserve"> HYPERLINK "http://www.nevo.co.il/law/70301/dSjC" בסימן ד' לפרק י'</w:t>
      </w:r>
      <w:r>
        <w:rPr>
          <w:rFonts w:ascii="Times New Roman" w:hAnsi="Times New Roman" w:cs="Times New Roman"/>
          <w:sz w:val="24"/>
          <w:sz-cs w:val="24"/>
        </w:rPr>
        <w:t xml:space="preserve"> של </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באשר לתנאי האחרון, נזכיר כי עונש של מאסר מותנה יכול שיהיה מותנה בתנאים מספר, כלומר ביותר מעבירה אחת, וככל שמתרבים תנאים אלה, כך יגבר כוחו המרתיע של עונש זה. </w:t>
      </w:r>
    </w:p>
    <w:p>
      <w:pPr>
        <w:jc w:val="both"/>
        <w:bidi/>
        <w:spacing w:after="240"/>
      </w:pPr>
      <w:r>
        <w:rPr>
          <w:rFonts w:ascii="Times New Roman" w:hAnsi="Times New Roman" w:cs="Times New Roman"/>
          <w:sz w:val="24"/>
          <w:sz-cs w:val="24"/>
        </w:rPr>
        <w:t xml:space="preserve">הערעורים שבפנינו מעוררים שתי שאלות. הסוגיה האחת העומדת לדיון היא אם ניתן להפעיל את המאסר המותנה שעה שהנאשם הורשע ב"ניסיון" לבצע את אחת מעבירות התנאי, אולם עבירת התנאי המוגמרת לא השתכללה. אם התשובה לשאלה זו תהא חיובית, כי אז מתעוררת שאלה נוספת – האם יהיה ניתן להפעיל בעניינו של </w:t>
      </w:r>
    </w:p>
    <w:p>
      <w:pPr>
        <w:jc w:val="both"/>
        <w:bidi/>
        <w:spacing w:after="240"/>
      </w:pPr>
      <w:r>
        <w:rPr>
          <w:rFonts w:ascii="Times New Roman" w:hAnsi="Times New Roman" w:cs="Times New Roman"/>
          <w:sz w:val="24"/>
          <w:sz-cs w:val="24"/>
        </w:rPr>
        <w:t xml:space="preserve"/>
        <w:br w:type="page"/>
        <w:t xml:space="preserve">המערער את שני עונשי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באופן שהוא יישא בהם בזה אחר זה ובמצטבר לעונש המאסר שנגזר לו בשל ההליך הנוכחי?</w:t>
      </w:r>
    </w:p>
    <w:p>
      <w:pPr>
        <w:jc w:val="both"/>
        <w:bidi/>
        <w:spacing w:after="240"/>
      </w:pPr>
      <w:r>
        <w:rPr>
          <w:rFonts w:ascii="Times New Roman" w:hAnsi="Times New Roman" w:cs="Times New Roman"/>
          <w:sz w:val="22"/>
          <w:sz-cs w:val="22"/>
        </w:rPr>
        <w:t xml:space="preserve">ביצוע מושלם או ניסיון לבצע את עבירת התנאי</w:t>
      </w:r>
    </w:p>
    <w:p>
      <w:pPr>
        <w:jc w:val="both"/>
        <w:bidi/>
        <w:spacing w:after="240"/>
      </w:pPr>
      <w:r>
        <w:rPr>
          <w:rFonts w:ascii="Times New Roman" w:hAnsi="Times New Roman" w:cs="Times New Roman"/>
          <w:sz w:val="24"/>
          <w:sz-cs w:val="24"/>
        </w:rPr>
        <w:t xml:space="preserve">8.</w:t>
        <w:tab/>
        <w:t xml:space="preserve">אין מחלוקת שבית</w:t>
      </w:r>
      <w:r>
        <w:rPr>
          <w:rFonts w:ascii="Arial" w:hAnsi="Arial" w:cs="Arial"/>
          <w:sz w:val="24"/>
          <w:sz-cs w:val="24"/>
          <w:b/>
          <w:position w:val="4"/>
        </w:rPr>
        <w:t xml:space="preserve">-</w:t>
      </w:r>
      <w:r>
        <w:rPr>
          <w:rFonts w:ascii="Times New Roman" w:hAnsi="Times New Roman" w:cs="Times New Roman"/>
          <w:sz w:val="24"/>
          <w:sz-cs w:val="24"/>
        </w:rPr>
        <w:t xml:space="preserve">משפט קמא היה רשאי להפעיל את עונש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בן 12 החודשים, לאחר שנמצא כי המערער נשא אקדח שלא כדין ובכך ביצע עבירה מוגמרת לפי </w:t>
      </w:r>
      <w:r>
        <w:rPr>
          <w:rFonts w:ascii="Times New Roman" w:hAnsi="Times New Roman" w:cs="Times New Roman"/>
          <w:sz w:val="24"/>
          <w:sz-cs w:val="24"/>
          <w:u w:val="single"/>
          <w:color w:val="0000FF"/>
        </w:rPr>
        <w:t xml:space="preserve"> HYPERLINK "http://www.nevo.co.il/law/70301/144.b" סעיף 144(ב)</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הדבר מורכב יותר בכל הנוגע למאסר האחר, בן 18 החודשים, שהפעלתו הותנתה בביצוע עבירה לפי </w:t>
      </w:r>
      <w:r>
        <w:rPr>
          <w:rFonts w:ascii="Times New Roman" w:hAnsi="Times New Roman" w:cs="Times New Roman"/>
          <w:sz w:val="24"/>
          <w:sz-cs w:val="24"/>
          <w:u w:val="single"/>
          <w:color w:val="0000FF"/>
        </w:rPr>
        <w:t xml:space="preserve"> HYPERLINK "http://www.nevo.co.il/law/70301/dSjC" </w:t>
      </w:r>
      <w:r>
        <w:rPr>
          <w:rFonts w:ascii="Times New Roman" w:hAnsi="Times New Roman" w:cs="Times New Roman"/>
          <w:sz w:val="24"/>
          <w:sz-cs w:val="24"/>
          <w:u w:val="single"/>
          <w:color w:val="0000FF"/>
        </w:rPr>
        <w:t xml:space="preserve">סימן ד' בפרק י'</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לאור הרשעתו הנוכחית של המערער בניסיון לבצע עבירה לפי </w:t>
      </w:r>
      <w:r>
        <w:rPr>
          <w:rFonts w:ascii="Times New Roman" w:hAnsi="Times New Roman" w:cs="Times New Roman"/>
          <w:sz w:val="24"/>
          <w:sz-cs w:val="24"/>
          <w:u w:val="single"/>
          <w:color w:val="0000FF"/>
        </w:rPr>
        <w:t xml:space="preserve"> HYPERLINK "http://www.nevo.co.il/law/70301/335" סעיף 335</w:t>
      </w:r>
      <w:r>
        <w:rPr>
          <w:rFonts w:ascii="Times New Roman" w:hAnsi="Times New Roman" w:cs="Times New Roman"/>
          <w:sz w:val="24"/>
          <w:sz-cs w:val="24"/>
        </w:rPr>
        <w:t xml:space="preserve"> לחוק העונשין, עבירה שכותרתה "חבלה ופציעה בנסיבות מחמירות". אקדים ואומר כי לדעתי היה ניתן להפעיל גם מאסר מותנה זה, הואיל ולטעמי הפר המערער את התנאי. </w:t>
      </w:r>
    </w:p>
    <w:p>
      <w:pPr>
        <w:jc w:val="both"/>
        <w:bidi/>
        <w:spacing w:after="240"/>
      </w:pPr>
      <w:r>
        <w:rPr>
          <w:rFonts w:ascii="Times New Roman" w:hAnsi="Times New Roman" w:cs="Times New Roman"/>
          <w:sz w:val="24"/>
          <w:sz-cs w:val="24"/>
        </w:rPr>
        <w:t xml:space="preserve">בציינו את </w:t>
      </w:r>
      <w:r>
        <w:rPr>
          <w:rFonts w:ascii="Times New Roman" w:hAnsi="Times New Roman" w:cs="Times New Roman"/>
          <w:sz w:val="24"/>
          <w:sz-cs w:val="24"/>
          <w:u w:val="single"/>
          <w:color w:val="0000FF"/>
        </w:rPr>
        <w:t xml:space="preserve"> HYPERLINK "http://www.nevo.co.il/law/70301/dSjC" סימן ד' לפרק י'</w:t>
      </w:r>
      <w:r>
        <w:rPr>
          <w:rFonts w:ascii="Times New Roman" w:hAnsi="Times New Roman" w:cs="Times New Roman"/>
          <w:sz w:val="24"/>
          <w:sz-cs w:val="24"/>
        </w:rPr>
        <w:t xml:space="preserve"> של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התכוון בית</w:t>
      </w:r>
      <w:r>
        <w:rPr>
          <w:rFonts w:ascii="Arial" w:hAnsi="Arial" w:cs="Arial"/>
          <w:sz w:val="24"/>
          <w:sz-cs w:val="24"/>
          <w:b/>
          <w:position w:val="4"/>
        </w:rPr>
        <w:t xml:space="preserve">-</w:t>
      </w:r>
      <w:r>
        <w:rPr>
          <w:rFonts w:ascii="Times New Roman" w:hAnsi="Times New Roman" w:cs="Times New Roman"/>
          <w:sz w:val="24"/>
          <w:sz-cs w:val="24"/>
        </w:rPr>
        <w:t xml:space="preserve">המשפט לומר כי די יהיה בביצועה של כל אחת מהעבירות המנויות שם כדי שהמאסר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יופעל. בציינו תחום רחב של עבירות תנאי בחר בית</w:t>
      </w:r>
      <w:r>
        <w:rPr>
          <w:rFonts w:ascii="Arial" w:hAnsi="Arial" w:cs="Arial"/>
          <w:sz w:val="24"/>
          <w:sz-cs w:val="24"/>
          <w:b/>
          <w:position w:val="4"/>
        </w:rPr>
        <w:t xml:space="preserve">-</w:t>
      </w:r>
      <w:r>
        <w:rPr>
          <w:rFonts w:ascii="Times New Roman" w:hAnsi="Times New Roman" w:cs="Times New Roman"/>
          <w:sz w:val="24"/>
          <w:sz-cs w:val="24"/>
        </w:rPr>
        <w:t xml:space="preserve">המשפט להרתיע את המערער מפני מכלול ההתנהגויות שנאסרו בסימן זה, ולא לצמצמם את האפקט ההרתעתי אך לעבירה מוגדרת. בהליך הנוכחי המערער אמנם הורשע בניסיון לבצע עבירה לפי </w:t>
      </w:r>
      <w:r>
        <w:rPr>
          <w:rFonts w:ascii="Times New Roman" w:hAnsi="Times New Roman" w:cs="Times New Roman"/>
          <w:sz w:val="24"/>
          <w:sz-cs w:val="24"/>
          <w:u w:val="single"/>
          <w:color w:val="0000FF"/>
        </w:rPr>
        <w:t xml:space="preserve"> HYPERLINK "http://www.nevo.co.il/law/70301/335" סעיף 335</w:t>
      </w:r>
      <w:r>
        <w:rPr>
          <w:rFonts w:ascii="Times New Roman" w:hAnsi="Times New Roman" w:cs="Times New Roman"/>
          <w:sz w:val="24"/>
          <w:sz-cs w:val="24"/>
        </w:rPr>
        <w:t xml:space="preserve">, המצויה </w:t>
      </w:r>
      <w:r>
        <w:rPr>
          <w:rFonts w:ascii="Times New Roman" w:hAnsi="Times New Roman" w:cs="Times New Roman"/>
          <w:sz w:val="24"/>
          <w:sz-cs w:val="24"/>
          <w:u w:val="single"/>
          <w:color w:val="0000FF"/>
        </w:rPr>
        <w:t xml:space="preserve"> HYPERLINK "http://www.nevo.co.il/law/70301/dSjC" בסימן ד' לפרק י'</w:t>
      </w:r>
      <w:r>
        <w:rPr>
          <w:rFonts w:ascii="Times New Roman" w:hAnsi="Times New Roman" w:cs="Times New Roman"/>
          <w:sz w:val="24"/>
          <w:sz-cs w:val="24"/>
        </w:rPr>
        <w:t xml:space="preserve">, אולם עיון בסימן זה מעלה כי במעשיו התקיימו גם יסודותיה של עבירה אחרת המצויה באותו סימן, וכוונתי </w:t>
      </w:r>
      <w:r>
        <w:rPr>
          <w:rFonts w:ascii="Times New Roman" w:hAnsi="Times New Roman" w:cs="Times New Roman"/>
          <w:sz w:val="24"/>
          <w:sz-cs w:val="24"/>
          <w:u w:val="single"/>
          <w:color w:val="0000FF"/>
        </w:rPr>
        <w:t xml:space="preserve"> HYPERLINK "http://www.nevo.co.il/law/70301/329.a.2" לסעיף 329(א)(2)</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כותרתו של סעיף זה היא "חבלה בכוונה מחמירה", וזו לשונו:</w:t>
      </w:r>
    </w:p>
    <w:p>
      <w:pPr>
        <w:jc w:val="both"/>
        <w:bidi/>
        <w:ind w:left="851" w:right="851" w:first-line="-397"/>
        <w:spacing w:after="120"/>
      </w:pPr>
      <w:r>
        <w:rPr>
          <w:rFonts w:ascii="Times New Roman" w:hAnsi="Times New Roman" w:cs="Times New Roman"/>
          <w:sz w:val="24"/>
          <w:sz-cs w:val="24"/>
        </w:rPr>
        <w:t xml:space="preserve">"(א) העושה אחת מאלה בכוונה להטיל באדם נכות או מום, או לגרום לו חבלה חמורה, או להתנגד למעצר או לעיכוב כדין, שלו או של זולתו, או למנוע מעצר או עיכוב כאמור, דינו – מאסר עשרים שנים: </w:t>
      </w:r>
    </w:p>
    <w:p>
      <w:pPr>
        <w:jc w:val="both"/>
        <w:bidi/>
        <w:ind w:left="1276" w:right="1276" w:first-line="-425"/>
        <w:spacing w:after="120"/>
      </w:pPr>
      <w:r>
        <w:rPr>
          <w:rFonts w:ascii="Times New Roman" w:hAnsi="Times New Roman" w:cs="Times New Roman"/>
          <w:sz w:val="24"/>
          <w:sz-cs w:val="24"/>
        </w:rPr>
        <w:t xml:space="preserve">(1)</w:t>
        <w:tab/>
        <w:t xml:space="preserve">...</w:t>
      </w:r>
    </w:p>
    <w:p>
      <w:pPr>
        <w:jc w:val="both"/>
        <w:bidi/>
        <w:ind w:left="1276" w:right="1276" w:first-line="-425"/>
        <w:spacing w:after="240"/>
      </w:pPr>
      <w:r>
        <w:rPr>
          <w:rFonts w:ascii="Times New Roman" w:hAnsi="Times New Roman" w:cs="Times New Roman"/>
          <w:sz w:val="24"/>
          <w:sz-cs w:val="24"/>
        </w:rPr>
        <w:t xml:space="preserve">(2)</w:t>
        <w:tab/>
        <w:t xml:space="preserve">מנסה שלא כדין לפגוע באדם בקליע, בסכין או בנשק מסוכן או פוגעני אחר;".</w:t>
      </w:r>
    </w:p>
    <w:p>
      <w:pPr>
        <w:jc w:val="both"/>
        <w:bidi/>
        <w:spacing w:after="240"/>
      </w:pPr>
      <w:r>
        <w:rPr>
          <w:rFonts w:ascii="Times New Roman" w:hAnsi="Times New Roman" w:cs="Times New Roman"/>
          <w:sz w:val="24"/>
          <w:sz-cs w:val="24"/>
        </w:rPr>
        <w:t xml:space="preserve">עינינו הרואות, כי די היה בניסיון של המערער לפגוע באמצעות ירי מאקדחו בחוסאם כדי להביא להרשעתו בעבירה לפי </w:t>
      </w:r>
      <w:r>
        <w:rPr>
          <w:rFonts w:ascii="Times New Roman" w:hAnsi="Times New Roman" w:cs="Times New Roman"/>
          <w:sz w:val="24"/>
          <w:sz-cs w:val="24"/>
          <w:u w:val="single"/>
          <w:color w:val="0000FF"/>
        </w:rPr>
        <w:t xml:space="preserve"> HYPERLINK "http://www.nevo.co.il/law/70301/329.a.2" סעיף 329(א)(2)</w:t>
      </w:r>
      <w:r>
        <w:rPr>
          <w:rFonts w:ascii="Times New Roman" w:hAnsi="Times New Roman" w:cs="Times New Roman"/>
          <w:sz w:val="24"/>
          <w:sz-cs w:val="24"/>
        </w:rPr>
        <w:t xml:space="preserve">, ומשכך היה ניתן להפעיל את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שעמד נגדו. העובדה כי מטעמים השמורים עמה החליטה המשיבה לייחס למערער בכתב</w:t>
      </w:r>
      <w:r>
        <w:rPr>
          <w:rFonts w:ascii="Arial" w:hAnsi="Arial" w:cs="Arial"/>
          <w:sz w:val="24"/>
          <w:sz-cs w:val="24"/>
          <w:b/>
          <w:position w:val="4"/>
        </w:rPr>
        <w:t xml:space="preserve">-</w:t>
      </w:r>
      <w:r>
        <w:rPr>
          <w:rFonts w:ascii="Times New Roman" w:hAnsi="Times New Roman" w:cs="Times New Roman"/>
          <w:sz w:val="24"/>
          <w:sz-cs w:val="24"/>
        </w:rPr>
        <w:t xml:space="preserve">האישום ניסיון לבצע את העבירות המנויות </w:t>
      </w:r>
      <w:r>
        <w:rPr>
          <w:rFonts w:ascii="Times New Roman" w:hAnsi="Times New Roman" w:cs="Times New Roman"/>
          <w:sz w:val="24"/>
          <w:sz-cs w:val="24"/>
          <w:u w:val="single"/>
          <w:color w:val="0000FF"/>
        </w:rPr>
        <w:t xml:space="preserve"> HYPERLINK "http://www.nevo.co.il/law/70301/333" בסעיפים 333</w:t>
      </w:r>
      <w:r>
        <w:rPr>
          <w:rFonts w:ascii="Times New Roman" w:hAnsi="Times New Roman" w:cs="Times New Roman"/>
          <w:sz w:val="24"/>
          <w:sz-cs w:val="24"/>
        </w:rPr>
        <w:t xml:space="preserve"> ו</w:t>
      </w:r>
      <w:r>
        <w:rPr>
          <w:rFonts w:ascii="Arial" w:hAnsi="Arial" w:cs="Arial"/>
          <w:sz w:val="24"/>
          <w:sz-cs w:val="24"/>
          <w:b/>
          <w:position w:val="4"/>
        </w:rPr>
        <w:t xml:space="preserve">-</w:t>
      </w:r>
      <w:r>
        <w:rPr>
          <w:rFonts w:ascii="Times New Roman" w:hAnsi="Times New Roman" w:cs="Times New Roman"/>
          <w:sz w:val="24"/>
          <w:sz-cs w:val="24"/>
          <w:u w:val="single"/>
          <w:color w:val="0000FF"/>
        </w:rPr>
        <w:t xml:space="preserve"> HYPERLINK "http://www.nevo.co.il/law/70301/335" </w:t>
      </w:r>
      <w:r>
        <w:rPr>
          <w:rFonts w:ascii="Times New Roman" w:hAnsi="Times New Roman" w:cs="Times New Roman"/>
          <w:sz w:val="24"/>
          <w:sz-cs w:val="24"/>
          <w:u w:val="single"/>
          <w:color w:val="0000FF"/>
        </w:rPr>
        <w:t xml:space="preserve">335</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
        <w:br w:type="page"/>
        <w:t xml:space="preserve">ולא את העבירה הקבועה </w:t>
      </w:r>
      <w:r>
        <w:rPr>
          <w:rFonts w:ascii="Times New Roman" w:hAnsi="Times New Roman" w:cs="Times New Roman"/>
          <w:sz w:val="24"/>
          <w:sz-cs w:val="24"/>
          <w:u w:val="single"/>
          <w:color w:val="0000FF"/>
        </w:rPr>
        <w:t xml:space="preserve"> HYPERLINK "http://www.nevo.co.il/law/70301/329.a.2" בסעיף 329(א)(2)</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אינה מעלה ואינה מורידה לעניין התנאי שנקבע בהרשעתו הקודמת של המערער, באשר זהו הלבוש המשפטי שבו בחרו הצדדים לעניינה של העבירה הנוכחית. אולם השאלה אם יסודותיה של עבירת התנאי התקיימו צריכה להילמד מהעובדות אשר הוכחו בבית</w:t>
      </w:r>
      <w:r>
        <w:rPr>
          <w:rFonts w:ascii="Arial" w:hAnsi="Arial" w:cs="Arial"/>
          <w:sz w:val="24"/>
          <w:sz-cs w:val="24"/>
          <w:b/>
          <w:position w:val="4"/>
        </w:rPr>
        <w:t xml:space="preserve">-</w:t>
      </w:r>
      <w:r>
        <w:rPr>
          <w:rFonts w:ascii="Times New Roman" w:hAnsi="Times New Roman" w:cs="Times New Roman"/>
          <w:sz w:val="24"/>
          <w:sz-cs w:val="24"/>
        </w:rPr>
        <w:t xml:space="preserve">המשפט, ואין בלבוש משפטי זה או אחר כדי לשנותן, ובלשון הפסיקה:</w:t>
      </w:r>
    </w:p>
    <w:p>
      <w:pPr>
        <w:jc w:val="both"/>
        <w:bidi/>
        <w:ind w:left="454" w:right="454"/>
        <w:spacing w:after="240"/>
      </w:pPr>
      <w:r>
        <w:rPr>
          <w:rFonts w:ascii="Times New Roman" w:hAnsi="Times New Roman" w:cs="Times New Roman"/>
          <w:sz w:val="24"/>
          <w:sz-cs w:val="24"/>
        </w:rPr>
        <w:t xml:space="preserve">"...הכלל הוא כי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מופעל שעה שהנאשם עובר בתקופת התנאי עבירה שנקבעה בגזר</w:t>
      </w:r>
      <w:r>
        <w:rPr>
          <w:rFonts w:ascii="Arial" w:hAnsi="Arial" w:cs="Arial"/>
          <w:sz w:val="24"/>
          <w:sz-cs w:val="24"/>
          <w:b/>
          <w:position w:val="4"/>
        </w:rPr>
        <w:t xml:space="preserve">-</w:t>
      </w:r>
      <w:r>
        <w:rPr>
          <w:rFonts w:ascii="Times New Roman" w:hAnsi="Times New Roman" w:cs="Times New Roman"/>
          <w:sz w:val="24"/>
          <w:sz-cs w:val="24"/>
        </w:rPr>
        <w:t xml:space="preserve">הדין ומורשע בה (סעיף 52(ב)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במצב הדברים הטיפוסי עובר הנאשם ומורשע בעבירה הזהה במספרה לזו שפורטה בתנאי. זהו המצב הרגיל אך לא היחיד. הפסיקה הרחיבה את המשמעות הנודעת לסעיף 52(ב)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וקבעה כי התנאי מופר אף אם הנאשם לא הועמד כלל לדין בעבירה הזהה במספרה לעבירת התנאי, ואף לא הורשע על</w:t>
      </w:r>
      <w:r>
        <w:rPr>
          <w:rFonts w:ascii="Arial" w:hAnsi="Arial" w:cs="Arial"/>
          <w:sz w:val="24"/>
          <w:sz-cs w:val="24"/>
          <w:b/>
          <w:position w:val="4"/>
        </w:rPr>
        <w:t xml:space="preserve">-</w:t>
      </w:r>
      <w:r>
        <w:rPr>
          <w:rFonts w:ascii="Times New Roman" w:hAnsi="Times New Roman" w:cs="Times New Roman"/>
          <w:sz w:val="24"/>
          <w:sz-cs w:val="24"/>
        </w:rPr>
        <w:t xml:space="preserve">פיה, ובלבד שהעבירה בה הורשע הנאשם הלכה למעשה כוללת בחובה, מבחינת יסודותיה, את היסודות הקבועים בעבירת התנאי..." (</w:t>
      </w:r>
      <w:r>
        <w:rPr>
          <w:rFonts w:ascii="Times New Roman" w:hAnsi="Times New Roman" w:cs="Times New Roman"/>
          <w:sz w:val="22"/>
          <w:sz-cs w:val="22"/>
          <w:u w:val="single"/>
          <w:color w:val="0000FF"/>
        </w:rPr>
        <w:t xml:space="preserve">HYPERLINK "http://www.nevo.co.il/case/17942576"ע"פ 49/80</w:t>
      </w:r>
      <w:r>
        <w:rPr>
          <w:rFonts w:ascii="Times New Roman" w:hAnsi="Times New Roman" w:cs="Times New Roman"/>
          <w:sz w:val="22"/>
          <w:sz-cs w:val="22"/>
        </w:rPr>
        <w:t xml:space="preserve"> מסילתי נ' מדינת ישראל [3]</w:t>
      </w:r>
      <w:r>
        <w:rPr>
          <w:rFonts w:ascii="Times New Roman" w:hAnsi="Times New Roman" w:cs="Times New Roman"/>
          <w:sz w:val="24"/>
          <w:sz-cs w:val="24"/>
        </w:rPr>
        <w:t xml:space="preserve">, </w:t>
      </w:r>
      <w:r>
        <w:rPr>
          <w:rFonts w:ascii="Times New Roman" w:hAnsi="Times New Roman" w:cs="Times New Roman"/>
          <w:sz w:val="22"/>
          <w:sz-cs w:val="22"/>
        </w:rPr>
        <w:t xml:space="preserve">בעמ' 810</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ובאותו מקום, בהמשך:</w:t>
      </w:r>
    </w:p>
    <w:p>
      <w:pPr>
        <w:jc w:val="both"/>
        <w:bidi/>
        <w:ind w:left="454" w:right="454"/>
        <w:spacing w:after="120"/>
      </w:pPr>
      <w:r>
        <w:rPr>
          <w:rFonts w:ascii="Times New Roman" w:hAnsi="Times New Roman" w:cs="Times New Roman"/>
          <w:sz w:val="24"/>
          <w:sz-cs w:val="24"/>
        </w:rPr>
        <w:t xml:space="preserve">"הטעם להלכה זו נעוץ במטרה העונשית הניצבת ביסוד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המחוקק ביקש ליתן לנאשם הזדמנות. התנאי יופעל רק אם הנאשם לא למד לקח, חזר לסורו, ובהתנהגות הפלילית חזר ועבר את עבירת התנאי. מכאן מתבקשות שתי מסקנות הנוגעות לעניננו: ראשית, המבחן להפעלת התנאי אינו מבחן טכני</w:t>
      </w:r>
      <w:r>
        <w:rPr>
          <w:rFonts w:ascii="Arial" w:hAnsi="Arial" w:cs="Arial"/>
          <w:sz w:val="24"/>
          <w:sz-cs w:val="24"/>
          <w:b/>
          <w:position w:val="4"/>
        </w:rPr>
        <w:t xml:space="preserve">-</w:t>
      </w:r>
      <w:r>
        <w:rPr>
          <w:rFonts w:ascii="Times New Roman" w:hAnsi="Times New Roman" w:cs="Times New Roman"/>
          <w:sz w:val="24"/>
          <w:sz-cs w:val="24"/>
        </w:rPr>
        <w:t xml:space="preserve">פורמלי אלא מבחן מהותי</w:t>
      </w:r>
      <w:r>
        <w:rPr>
          <w:rFonts w:ascii="Arial" w:hAnsi="Arial" w:cs="Arial"/>
          <w:sz w:val="24"/>
          <w:sz-cs w:val="24"/>
          <w:b/>
          <w:position w:val="4"/>
        </w:rPr>
        <w:t xml:space="preserve">-</w:t>
      </w:r>
      <w:r>
        <w:rPr>
          <w:rFonts w:ascii="Times New Roman" w:hAnsi="Times New Roman" w:cs="Times New Roman"/>
          <w:sz w:val="24"/>
          <w:sz-cs w:val="24"/>
        </w:rPr>
        <w:t xml:space="preserve">עניני. השאלה אינה אם הנאשם הועמד לדין והורשע בעבירה המפורטת בתנאי (התנאי 'גניבה' – ההרשעה 'גניבה'), אלא השאלה היא אם התנהגותו הפלילית של הנאשם (עליה הועמד לדין והורשע) מקיימת את היסודות של עבירת התנאי... </w:t>
      </w:r>
    </w:p>
    <w:p>
      <w:pPr>
        <w:jc w:val="both"/>
        <w:bidi/>
        <w:ind w:left="454" w:right="454"/>
        <w:spacing w:after="240"/>
      </w:pPr>
      <w:r>
        <w:rPr>
          <w:rFonts w:ascii="Times New Roman" w:hAnsi="Times New Roman" w:cs="Times New Roman"/>
          <w:sz w:val="24"/>
          <w:sz-cs w:val="24"/>
        </w:rPr>
        <w:t xml:space="preserve">מכאן מתבקשת אף מסקנה שנייה: ההשוואה הראויה אינה בין יסודות עבירת התנאי כפי שהיא מופיעה בספר החוקים, לבין יסודות העבירה בה הורשע הנאשם, כפי שהיא מופיעה בספר החוקים. ההשוואה הראויה היא בין יסודות עבירת התנאי כפי שהיא מופיעה בספר החוקים, לבין היסודות המתקיימים בהתנהגותו של הנאשם, כפי שהורשע עליהם, הלכה למעשה" (שם [3]</w:t>
      </w:r>
      <w:r>
        <w:rPr>
          <w:rFonts w:ascii="Times New Roman" w:hAnsi="Times New Roman" w:cs="Times New Roman"/>
          <w:sz w:val="22"/>
          <w:sz-cs w:val="22"/>
        </w:rPr>
        <w:t xml:space="preserve">, בעמ' 811</w:t>
      </w:r>
      <w:r>
        <w:rPr>
          <w:rFonts w:ascii="Times New Roman" w:hAnsi="Times New Roman" w:cs="Times New Roman"/>
          <w:sz w:val="24"/>
          <w:sz-cs w:val="24"/>
        </w:rPr>
        <w:t xml:space="preserve">, וראו גם </w:t>
      </w:r>
      <w:r>
        <w:rPr>
          <w:rFonts w:ascii="Times New Roman" w:hAnsi="Times New Roman" w:cs="Times New Roman"/>
          <w:sz w:val="22"/>
          <w:sz-cs w:val="22"/>
          <w:u w:val="single"/>
          <w:color w:val="0000FF"/>
        </w:rPr>
        <w:t xml:space="preserve">HYPERLINK "http://www.nevo.co.il/case/5796872"ע"פ 1867/00</w:t>
      </w:r>
      <w:r>
        <w:rPr>
          <w:rFonts w:ascii="Times New Roman" w:hAnsi="Times New Roman" w:cs="Times New Roman"/>
          <w:sz w:val="22"/>
          <w:sz-cs w:val="22"/>
        </w:rPr>
        <w:t xml:space="preserve"> מדינת ישראל נ' גוטמן [4]</w:t>
      </w:r>
      <w:r>
        <w:rPr>
          <w:rFonts w:ascii="Times New Roman" w:hAnsi="Times New Roman" w:cs="Times New Roman"/>
          <w:sz w:val="24"/>
          <w:sz-cs w:val="24"/>
        </w:rPr>
        <w:t xml:space="preserve">, </w:t>
      </w:r>
      <w:r>
        <w:rPr>
          <w:rFonts w:ascii="Times New Roman" w:hAnsi="Times New Roman" w:cs="Times New Roman"/>
          <w:sz w:val="22"/>
          <w:sz-cs w:val="22"/>
        </w:rPr>
        <w:t xml:space="preserve">בעמ' 150</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
        <w:br w:type="page"/>
        <w:t xml:space="preserve">דברים אלה אמנם נאמרו בהתייחס למי שהורשע בביצוע עבירה של חבלה בנסיבות מחמירות לפי סעיפים </w:t>
      </w:r>
      <w:r>
        <w:rPr>
          <w:rFonts w:ascii="Times New Roman" w:hAnsi="Times New Roman" w:cs="Times New Roman"/>
          <w:sz w:val="24"/>
          <w:sz-cs w:val="24"/>
          <w:u w:val="single"/>
          <w:color w:val="0000FF"/>
        </w:rPr>
        <w:t xml:space="preserve"> HYPERLINK "http://www.nevo.co.il/law/70301/333" 333</w:t>
      </w:r>
      <w:r>
        <w:rPr>
          <w:rFonts w:ascii="Times New Roman" w:hAnsi="Times New Roman" w:cs="Times New Roman"/>
          <w:sz w:val="24"/>
          <w:sz-cs w:val="24"/>
        </w:rPr>
        <w:t xml:space="preserve">+</w:t>
      </w:r>
      <w:r>
        <w:rPr>
          <w:rFonts w:ascii="Times New Roman" w:hAnsi="Times New Roman" w:cs="Times New Roman"/>
          <w:sz w:val="24"/>
          <w:sz-cs w:val="24"/>
          <w:u w:val="single"/>
          <w:color w:val="0000FF"/>
        </w:rPr>
        <w:t xml:space="preserve"> HYPERLINK "http://www.nevo.co.il/law/70301/335" 335</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כאשר התנאי שעמד לחובתו היה בדמות עבירה ספציפית אחרת, היינו שלא יבצע עבירת תקיפה לפי </w:t>
      </w:r>
      <w:r>
        <w:rPr>
          <w:rFonts w:ascii="Times New Roman" w:hAnsi="Times New Roman" w:cs="Times New Roman"/>
          <w:sz w:val="24"/>
          <w:sz-cs w:val="24"/>
          <w:u w:val="single"/>
          <w:color w:val="0000FF"/>
        </w:rPr>
        <w:t xml:space="preserve"> HYPERLINK "http://www.nevo.co.il/law/70301/379" סעיפים 379</w:t>
      </w:r>
      <w:r>
        <w:rPr>
          <w:rFonts w:ascii="Times New Roman" w:hAnsi="Times New Roman" w:cs="Times New Roman"/>
          <w:sz w:val="24"/>
          <w:sz-cs w:val="24"/>
        </w:rPr>
        <w:t xml:space="preserve"> ו</w:t>
      </w:r>
      <w:r>
        <w:rPr>
          <w:rFonts w:ascii="Arial" w:hAnsi="Arial" w:cs="Arial"/>
          <w:sz w:val="24"/>
          <w:sz-cs w:val="24"/>
          <w:b/>
          <w:position w:val="4"/>
        </w:rPr>
        <w:t xml:space="preserve">-</w:t>
      </w:r>
      <w:r>
        <w:rPr>
          <w:rFonts w:ascii="Times New Roman" w:hAnsi="Times New Roman" w:cs="Times New Roman"/>
          <w:sz w:val="24"/>
          <w:sz-cs w:val="24"/>
          <w:u w:val="single"/>
          <w:color w:val="0000FF"/>
        </w:rPr>
        <w:t xml:space="preserve"> HYPERLINK "http://www.nevo.co.il/law/70301/380" 380</w:t>
      </w:r>
      <w:r>
        <w:rPr>
          <w:rFonts w:ascii="Times New Roman" w:hAnsi="Times New Roman" w:cs="Times New Roman"/>
          <w:sz w:val="24"/>
          <w:sz-cs w:val="24"/>
        </w:rPr>
        <w:t xml:space="preserve"> לחוק, אולם הם יפים בבחינת קל וחומר בענייננו, הואיל והתנאי אשר נקבע הפעם כלל במפורש גם את העבירה הקבועה בסעיף </w:t>
      </w:r>
      <w:r>
        <w:rPr>
          <w:rFonts w:ascii="Times New Roman" w:hAnsi="Times New Roman" w:cs="Times New Roman"/>
          <w:sz w:val="24"/>
          <w:sz-cs w:val="24"/>
          <w:u w:val="single"/>
          <w:color w:val="0000FF"/>
        </w:rPr>
        <w:t xml:space="preserve"> HYPERLINK "http://www.nevo.co.il/law/70301/329.a.2" 329(א)(2)</w:t>
      </w:r>
      <w:r>
        <w:rPr>
          <w:rFonts w:ascii="Times New Roman" w:hAnsi="Times New Roman" w:cs="Times New Roman"/>
          <w:sz w:val="24"/>
          <w:sz-cs w:val="24"/>
        </w:rPr>
        <w:t xml:space="preserve">. עמדה דומה הובעה גם על</w:t>
      </w:r>
      <w:r>
        <w:rPr>
          <w:rFonts w:ascii="Arial" w:hAnsi="Arial" w:cs="Arial"/>
          <w:sz w:val="24"/>
          <w:sz-cs w:val="24"/>
          <w:b/>
          <w:position w:val="4"/>
        </w:rPr>
        <w:t xml:space="preserve">-</w:t>
      </w:r>
      <w:r>
        <w:rPr>
          <w:rFonts w:ascii="Times New Roman" w:hAnsi="Times New Roman" w:cs="Times New Roman"/>
          <w:sz w:val="24"/>
          <w:sz-cs w:val="24"/>
        </w:rPr>
        <w:t xml:space="preserve">ידי פרופ' פלר, אשר לגישתו –</w:t>
      </w:r>
    </w:p>
    <w:p>
      <w:pPr>
        <w:jc w:val="both"/>
        <w:bidi/>
        <w:ind w:left="454" w:right="454"/>
        <w:spacing w:after="240"/>
      </w:pPr>
      <w:r>
        <w:rPr>
          <w:rFonts w:ascii="Times New Roman" w:hAnsi="Times New Roman" w:cs="Times New Roman"/>
          <w:sz w:val="24"/>
          <w:sz-cs w:val="24"/>
        </w:rPr>
        <w:t xml:space="preserve">"המבחן 'המהותי</w:t>
      </w:r>
      <w:r>
        <w:rPr>
          <w:rFonts w:ascii="Arial" w:hAnsi="Arial" w:cs="Arial"/>
          <w:sz w:val="24"/>
          <w:sz-cs w:val="24"/>
          <w:b/>
          <w:position w:val="4"/>
        </w:rPr>
        <w:t xml:space="preserve">-</w:t>
      </w:r>
      <w:r>
        <w:rPr>
          <w:rFonts w:ascii="Times New Roman" w:hAnsi="Times New Roman" w:cs="Times New Roman"/>
          <w:sz w:val="24"/>
          <w:sz-cs w:val="24"/>
        </w:rPr>
        <w:t xml:space="preserve">הענייני' האמור מתבטא אפוא בסיפוק הדרישות הנורמאטיביות להתהוות 'עבירת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התנאי' על ידי נתונים המצויים במבנה ההתנהגות הענישה הנוספת כפי שבוצע על ידי הנידון, הודות לעודף הנתונים שבהתנהגות זו בהשוואה לדרישות ההן; או ביתר פשטות, יחס החפיפה בין שתי העבירות בא על סיפוקו ב'היבלעות' עבירת</w:t>
      </w:r>
      <w:r>
        <w:rPr>
          <w:rFonts w:ascii="Arial" w:hAnsi="Arial" w:cs="Arial"/>
          <w:sz w:val="24"/>
          <w:sz-cs w:val="24"/>
          <w:b/>
          <w:position w:val="4"/>
        </w:rPr>
        <w:t xml:space="preserve">-</w:t>
      </w:r>
      <w:r>
        <w:rPr>
          <w:rFonts w:ascii="Times New Roman" w:hAnsi="Times New Roman" w:cs="Times New Roman"/>
          <w:sz w:val="24"/>
          <w:sz-cs w:val="24"/>
        </w:rPr>
        <w:t xml:space="preserve">התנאי כפי שהיא מוגדרת בחוק בתוך העבירה הנוספת כפי שהיא נעברה בפועל, אף כי הן שתי עבירות שונות, לפי ספר החוקים" (ש"ז </w:t>
      </w:r>
      <w:r>
        <w:rPr>
          <w:rFonts w:ascii="Times New Roman" w:hAnsi="Times New Roman" w:cs="Times New Roman"/>
          <w:sz w:val="24"/>
          <w:sz-cs w:val="24"/>
          <w:u w:val="single"/>
          <w:color w:val="0000FF"/>
        </w:rPr>
        <w:t xml:space="preserve"> HYPERLINK "http://www.nevo.co.il/safrut/book/6449" פלר "האמנם שונה נפקותו של </w:t>
      </w:r>
      <w:r>
        <w:rPr>
          <w:rFonts w:ascii="Times New Roman" w:hAnsi="Times New Roman" w:cs="Times New Roman"/>
          <w:sz w:val="24"/>
          <w:sz-cs w:val="24"/>
          <w:color w:val="000000"/>
        </w:rPr>
        <w:t xml:space="preserve"> נסיון לבצע 'עבירת-תנאי' מזו של ב</w:t>
      </w:r>
      <w:r>
        <w:rPr>
          <w:rFonts w:ascii="Times New Roman" w:hAnsi="Times New Roman" w:cs="Times New Roman"/>
          <w:sz w:val="24"/>
          <w:sz-cs w:val="24"/>
        </w:rPr>
        <w:t xml:space="preserve">יצועה המושלם?" [23], </w:t>
      </w:r>
      <w:r>
        <w:rPr>
          <w:rFonts w:ascii="Times New Roman" w:hAnsi="Times New Roman" w:cs="Times New Roman"/>
          <w:sz w:val="22"/>
          <w:sz-cs w:val="22"/>
        </w:rPr>
        <w:t xml:space="preserve">בעמ' 421</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באשר למקרה הנוכחי, כל פרשנות אחרת סותרת את קביעתו של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ב</w:t>
      </w:r>
      <w:r>
        <w:rPr>
          <w:rFonts w:ascii="Times New Roman" w:hAnsi="Times New Roman" w:cs="Times New Roman"/>
          <w:sz w:val="24"/>
          <w:sz-cs w:val="24"/>
          <w:u w:val="single"/>
          <w:color w:val="0000FF"/>
        </w:rPr>
        <w:t xml:space="preserve"> HYPERLINK "http://www.nevo.co.il/links/psika/?link=תפ 40409/99" </w:t>
      </w:r>
      <w:r>
        <w:rPr>
          <w:rFonts w:ascii="Times New Roman" w:hAnsi="Times New Roman" w:cs="Times New Roman"/>
          <w:sz w:val="24"/>
          <w:sz-cs w:val="24"/>
          <w:u w:val="single"/>
          <w:color w:val="0000FF"/>
        </w:rPr>
        <w:t xml:space="preserve">ת"פ 40409/99</w:t>
      </w:r>
      <w:r>
        <w:rPr>
          <w:rFonts w:ascii="Times New Roman" w:hAnsi="Times New Roman" w:cs="Times New Roman"/>
          <w:sz w:val="24"/>
          <w:sz-cs w:val="24"/>
        </w:rPr>
        <w:t xml:space="preserve"> ומרוקנת את עונש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הרחב שהטיל על המערער מתוכנו. </w:t>
      </w:r>
    </w:p>
    <w:p>
      <w:pPr>
        <w:jc w:val="both"/>
        <w:bidi/>
        <w:spacing w:after="240"/>
      </w:pPr>
      <w:r>
        <w:rPr>
          <w:rFonts w:ascii="Times New Roman" w:hAnsi="Times New Roman" w:cs="Times New Roman"/>
          <w:sz w:val="24"/>
          <w:sz-cs w:val="24"/>
        </w:rPr>
        <w:t xml:space="preserve">9.</w:t>
        <w:tab/>
        <w:t xml:space="preserve">באשר לקיום יסודותיה של העבירה לפי </w:t>
      </w:r>
      <w:r>
        <w:rPr>
          <w:rFonts w:ascii="Times New Roman" w:hAnsi="Times New Roman" w:cs="Times New Roman"/>
          <w:sz w:val="24"/>
          <w:sz-cs w:val="24"/>
          <w:u w:val="single"/>
          <w:color w:val="0000FF"/>
        </w:rPr>
        <w:t xml:space="preserve"> HYPERLINK "http://www.nevo.co.il/law/70301/329.a.2" סעיף 329(א)(2)</w:t>
      </w:r>
      <w:r>
        <w:rPr>
          <w:rFonts w:ascii="Times New Roman" w:hAnsi="Times New Roman" w:cs="Times New Roman"/>
          <w:sz w:val="24"/>
          <w:sz-cs w:val="24"/>
        </w:rPr>
        <w:t xml:space="preserve"> במקרה שלפנינו נוסיף ונציין כי בנסחו את הסעיף קבע המחוקק כי ה"ניסיון" לפגוע באחר, בנסיבות המנויות בסעיף, יהא חלק מהיסוד העובדתי של העבירה כך שלמעשה מדובר בביצוע של עבירה מוגמרת, ולא כ"ניסיון" בלבד, כהגדרתו </w:t>
      </w:r>
      <w:r>
        <w:rPr>
          <w:rFonts w:ascii="Times New Roman" w:hAnsi="Times New Roman" w:cs="Times New Roman"/>
          <w:sz w:val="24"/>
          <w:sz-cs w:val="24"/>
          <w:u w:val="single"/>
          <w:color w:val="0000FF"/>
        </w:rPr>
        <w:t xml:space="preserve"> HYPERLINK "http://www.nevo.co.il/law/70301/25" בסעיף 25</w:t>
      </w:r>
      <w:r>
        <w:rPr>
          <w:rFonts w:ascii="Times New Roman" w:hAnsi="Times New Roman" w:cs="Times New Roman"/>
          <w:sz w:val="24"/>
          <w:sz-cs w:val="24"/>
        </w:rPr>
        <w:t xml:space="preserve"> לחוק. באשר לעבירות מסוג זה, שבהן צורתן הנגזרת נטמעת בביצוע המושלם והופכת לחלק ממנו, כבר ציינתי במקום אחר, בהתייחסי לצורה נגזרת של "סיוע" בעבירה לפי </w:t>
      </w:r>
      <w:r>
        <w:rPr>
          <w:rFonts w:ascii="Times New Roman" w:hAnsi="Times New Roman" w:cs="Times New Roman"/>
          <w:sz w:val="24"/>
          <w:sz-cs w:val="24"/>
          <w:u w:val="single"/>
          <w:color w:val="0000FF"/>
        </w:rPr>
        <w:t xml:space="preserve"> HYPERLINK "http://www.nevo.co.il/law/4216/13" סעיף 13</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4"/>
          <w:sz-cs w:val="24"/>
        </w:rPr>
        <w:t xml:space="preserve"> [נוסח חדש], תשל"ג</w:t>
      </w:r>
      <w:r>
        <w:rPr>
          <w:rFonts w:ascii="Times New Roman" w:hAnsi="Times New Roman" w:cs="Times New Roman"/>
          <w:sz w:val="22"/>
          <w:sz-cs w:val="22"/>
        </w:rPr>
        <w:t xml:space="preserve">-</w:t>
      </w:r>
      <w:r>
        <w:rPr>
          <w:rFonts w:ascii="Times New Roman" w:hAnsi="Times New Roman" w:cs="Times New Roman"/>
          <w:sz w:val="24"/>
          <w:sz-cs w:val="24"/>
        </w:rPr>
        <w:t xml:space="preserve">1973, כי "עצם מעשה של... 'סיוע' די בו כשלעצמו לשם הרשעתו של ה'מסייע' בעבירה, ואין כל דרישה להמתין כי יתרחשו עבירה מוגמרת או ניסיון לעבור עבירה מוגמרת כדי שיהיה ניתן להעמיד לדין את המסייע ולהרשיעו" (</w:t>
      </w:r>
      <w:r>
        <w:rPr>
          <w:rFonts w:ascii="Times New Roman" w:hAnsi="Times New Roman" w:cs="Times New Roman"/>
          <w:sz w:val="22"/>
          <w:sz-cs w:val="22"/>
          <w:u w:val="single"/>
          <w:color w:val="0000FF"/>
        </w:rPr>
        <w:t xml:space="preserve">HYPERLINK "http://www.nevo.co.il/case/5736485"</w:t>
      </w:r>
      <w:r>
        <w:rPr>
          <w:rFonts w:ascii="Times New Roman" w:hAnsi="Times New Roman" w:cs="Times New Roman"/>
          <w:sz w:val="22"/>
          <w:sz-cs w:val="22"/>
          <w:u w:val="single"/>
          <w:color w:val="0000FF"/>
        </w:rPr>
        <w:t xml:space="preserve">ע"פ 946/04</w:t>
      </w:r>
      <w:r>
        <w:rPr>
          <w:rFonts w:ascii="Times New Roman" w:hAnsi="Times New Roman" w:cs="Times New Roman"/>
          <w:sz w:val="22"/>
          <w:sz-cs w:val="22"/>
        </w:rPr>
        <w:t xml:space="preserve"> מדינת ישראל נ' עובד [5]</w:t>
      </w:r>
      <w:r>
        <w:rPr>
          <w:rFonts w:ascii="Times New Roman" w:hAnsi="Times New Roman" w:cs="Times New Roman"/>
          <w:sz w:val="24"/>
          <w:sz-cs w:val="24"/>
        </w:rPr>
        <w:t xml:space="preserve">, </w:t>
      </w:r>
      <w:r>
        <w:rPr>
          <w:rFonts w:ascii="Times New Roman" w:hAnsi="Times New Roman" w:cs="Times New Roman"/>
          <w:sz w:val="22"/>
          <w:sz-cs w:val="22"/>
        </w:rPr>
        <w:t xml:space="preserve">בעמ' 959</w:t>
      </w:r>
      <w:r>
        <w:rPr>
          <w:rFonts w:ascii="Times New Roman" w:hAnsi="Times New Roman" w:cs="Times New Roman"/>
          <w:sz w:val="24"/>
          <w:sz-cs w:val="24"/>
        </w:rPr>
        <w:t xml:space="preserve"> וראו בסוגיה זו גם את דבריו של פרופ' פלר בספרו הנ"ל (כרך ב) </w:t>
      </w:r>
      <w:r>
        <w:rPr>
          <w:rFonts w:ascii="Times New Roman" w:hAnsi="Times New Roman" w:cs="Times New Roman"/>
          <w:sz w:val="22"/>
          <w:sz-cs w:val="22"/>
        </w:rPr>
        <w:t xml:space="preserve">[20]</w:t>
      </w:r>
      <w:r>
        <w:rPr>
          <w:rFonts w:ascii="Times New Roman" w:hAnsi="Times New Roman" w:cs="Times New Roman"/>
          <w:sz w:val="24"/>
          <w:sz-cs w:val="24"/>
        </w:rPr>
        <w:t xml:space="preserve">, </w:t>
      </w:r>
      <w:r>
        <w:rPr>
          <w:rFonts w:ascii="Times New Roman" w:hAnsi="Times New Roman" w:cs="Times New Roman"/>
          <w:sz w:val="22"/>
          <w:sz-cs w:val="22"/>
        </w:rPr>
        <w:t xml:space="preserve">בעמ' 238</w:t>
      </w:r>
      <w:r>
        <w:rPr>
          <w:rFonts w:ascii="Times New Roman" w:hAnsi="Times New Roman" w:cs="Times New Roman"/>
          <w:sz w:val="24"/>
          <w:sz-cs w:val="24"/>
        </w:rPr>
        <w:t xml:space="preserve">). אוסיף ואציין כי הגדרתו של "ניסיון" לבצע עבירה כעבירה מוגמרת אינה ייחודית </w:t>
      </w:r>
      <w:r>
        <w:rPr>
          <w:rFonts w:ascii="Times New Roman" w:hAnsi="Times New Roman" w:cs="Times New Roman"/>
          <w:sz w:val="24"/>
          <w:sz-cs w:val="24"/>
          <w:u w:val="single"/>
          <w:color w:val="0000FF"/>
        </w:rPr>
        <w:t xml:space="preserve"> HYPERLINK "http://www.nevo.co.il/law/70301/329.a.2" לסעיף 329(א)(2)</w:t>
      </w:r>
      <w:r>
        <w:rPr>
          <w:rFonts w:ascii="Times New Roman" w:hAnsi="Times New Roman" w:cs="Times New Roman"/>
          <w:sz w:val="24"/>
          <w:sz-cs w:val="24"/>
        </w:rPr>
        <w:t xml:space="preserve"> לחוק, והיא מאפיינת עבירות נוספות </w:t>
      </w:r>
      <w:r>
        <w:rPr>
          <w:rFonts w:ascii="Times New Roman" w:hAnsi="Times New Roman" w:cs="Times New Roman"/>
          <w:sz w:val="24"/>
          <w:sz-cs w:val="24"/>
          <w:u w:val="single"/>
          <w:color w:val="0000FF"/>
        </w:rPr>
        <w:t xml:space="preserve"> HYPERLINK "http://www.nevo.co.il/law/70301/dSjC" </w:t>
      </w:r>
      <w:r>
        <w:rPr>
          <w:rFonts w:ascii="Times New Roman" w:hAnsi="Times New Roman" w:cs="Times New Roman"/>
          <w:sz w:val="24"/>
          <w:sz-cs w:val="24"/>
          <w:u w:val="single"/>
          <w:color w:val="0000FF"/>
        </w:rPr>
        <w:t xml:space="preserve">בסימן ד' לפרק י'</w:t>
      </w:r>
      <w:r>
        <w:rPr>
          <w:rFonts w:ascii="Times New Roman" w:hAnsi="Times New Roman" w:cs="Times New Roman"/>
          <w:sz w:val="24"/>
          <w:sz-cs w:val="24"/>
        </w:rPr>
        <w:t xml:space="preserve"> של </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כך היא העבירה לפי </w:t>
      </w:r>
      <w:r>
        <w:rPr>
          <w:rFonts w:ascii="Times New Roman" w:hAnsi="Times New Roman" w:cs="Times New Roman"/>
          <w:sz w:val="24"/>
          <w:sz-cs w:val="24"/>
          <w:u w:val="single"/>
          <w:color w:val="0000FF"/>
        </w:rPr>
        <w:t xml:space="preserve"> HYPERLINK "http://www.nevo.co.il/law/70301/ 327" סעיף 327</w:t>
      </w:r>
      <w:r>
        <w:rPr>
          <w:rFonts w:ascii="Times New Roman" w:hAnsi="Times New Roman" w:cs="Times New Roman"/>
          <w:sz w:val="24"/>
          <w:sz-cs w:val="24"/>
        </w:rPr>
        <w:t xml:space="preserve">, הקובע כי "השולל מאדם או מנסה לשלול ממנו את כושר התנגדותו... </w:t>
      </w:r>
    </w:p>
    <w:p>
      <w:pPr>
        <w:jc w:val="both"/>
        <w:bidi/>
        <w:spacing w:after="240"/>
      </w:pPr>
      <w:r>
        <w:rPr>
          <w:rFonts w:ascii="Times New Roman" w:hAnsi="Times New Roman" w:cs="Times New Roman"/>
          <w:sz w:val="24"/>
          <w:sz-cs w:val="24"/>
        </w:rPr>
        <w:t xml:space="preserve"/>
        <w:br w:type="page"/>
        <w:t xml:space="preserve">בכוונה לבצע פשע או עוון או להקל על ביצועם... דינו – מאסר עשרים שנים" (ההדגשה שלי – א' א' ל'). כזו היא גם העבירה לפי </w:t>
      </w:r>
      <w:r>
        <w:rPr>
          <w:rFonts w:ascii="Times New Roman" w:hAnsi="Times New Roman" w:cs="Times New Roman"/>
          <w:sz w:val="24"/>
          <w:sz-cs w:val="24"/>
          <w:u w:val="single"/>
          <w:color w:val="0000FF"/>
        </w:rPr>
        <w:t xml:space="preserve"> HYPERLINK "http://www.nevo.co.il/law/70301/330" סעיף 330</w:t>
      </w:r>
      <w:r>
        <w:rPr>
          <w:rFonts w:ascii="Times New Roman" w:hAnsi="Times New Roman" w:cs="Times New Roman"/>
          <w:sz w:val="24"/>
          <w:sz-cs w:val="24"/>
        </w:rPr>
        <w:t xml:space="preserve">, שכותרתו "נסיון לחבול בחומר נפיץ" (ההדגשה שלי – א' א' ל'). העולה מכך הוא כי העבירה הקבועה </w:t>
      </w:r>
      <w:r>
        <w:rPr>
          <w:rFonts w:ascii="Times New Roman" w:hAnsi="Times New Roman" w:cs="Times New Roman"/>
          <w:sz w:val="24"/>
          <w:sz-cs w:val="24"/>
          <w:u w:val="single"/>
          <w:color w:val="0000FF"/>
        </w:rPr>
        <w:t xml:space="preserve"> HYPERLINK "http://www.nevo.co.il/law/70301/ 329.a.2" בסעיף 329(א)(2)</w:t>
      </w:r>
      <w:r>
        <w:rPr>
          <w:rFonts w:ascii="Times New Roman" w:hAnsi="Times New Roman" w:cs="Times New Roman"/>
          <w:sz w:val="24"/>
          <w:sz-cs w:val="24"/>
        </w:rPr>
        <w:t xml:space="preserve"> אינה נטע זר בתחום התנאי שהגדיר בית</w:t>
      </w:r>
      <w:r>
        <w:rPr>
          <w:rFonts w:ascii="Arial" w:hAnsi="Arial" w:cs="Arial"/>
          <w:sz w:val="24"/>
          <w:sz-cs w:val="24"/>
          <w:b/>
          <w:position w:val="4"/>
        </w:rPr>
        <w:t xml:space="preserve">-</w:t>
      </w:r>
      <w:r>
        <w:rPr>
          <w:rFonts w:ascii="Times New Roman" w:hAnsi="Times New Roman" w:cs="Times New Roman"/>
          <w:sz w:val="24"/>
          <w:sz-cs w:val="24"/>
        </w:rPr>
        <w:t xml:space="preserve">המשפט בהליך הקודם (</w:t>
      </w:r>
      <w:r>
        <w:rPr>
          <w:rFonts w:ascii="Times New Roman" w:hAnsi="Times New Roman" w:cs="Times New Roman"/>
          <w:sz w:val="24"/>
          <w:sz-cs w:val="24"/>
          <w:u w:val="single"/>
          <w:color w:val="0000FF"/>
        </w:rPr>
        <w:t xml:space="preserve"> HYPERLINK "http://www.nevo.co.il/law/70301/dSjC" </w:t>
      </w:r>
      <w:r>
        <w:rPr>
          <w:rFonts w:ascii="Times New Roman" w:hAnsi="Times New Roman" w:cs="Times New Roman"/>
          <w:sz w:val="24"/>
          <w:sz-cs w:val="24"/>
          <w:u w:val="single"/>
          <w:color w:val="0000FF"/>
        </w:rPr>
        <w:t xml:space="preserve">סימן ד' של פרק י'</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10.</w:t>
        <w:tab/>
        <w:t xml:space="preserve">לא נעלמה מעיניי הדרישה הנוספת הכלולה </w:t>
      </w:r>
      <w:r>
        <w:rPr>
          <w:rFonts w:ascii="Times New Roman" w:hAnsi="Times New Roman" w:cs="Times New Roman"/>
          <w:sz w:val="24"/>
          <w:sz-cs w:val="24"/>
          <w:u w:val="single"/>
          <w:color w:val="0000FF"/>
        </w:rPr>
        <w:t xml:space="preserve"> HYPERLINK "http://www.nevo.co.il/law/70301/329.a.2" בסעיף 329(א)(2)</w:t>
      </w:r>
      <w:r>
        <w:rPr>
          <w:rFonts w:ascii="Times New Roman" w:hAnsi="Times New Roman" w:cs="Times New Roman"/>
          <w:sz w:val="24"/>
          <w:sz-cs w:val="24"/>
        </w:rPr>
        <w:t xml:space="preserve"> לעניין היסוד הנפשי, היינו ה"כוונה... לגרום לחבלה חמורה", וסבורני כי אף היא התקיימה בעניינו של המערער. לעניין זה אין טוב מדבריו של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בהכרעת</w:t>
      </w:r>
      <w:r>
        <w:rPr>
          <w:rFonts w:ascii="Arial" w:hAnsi="Arial" w:cs="Arial"/>
          <w:sz w:val="24"/>
          <w:sz-cs w:val="24"/>
          <w:b/>
          <w:position w:val="4"/>
        </w:rPr>
        <w:t xml:space="preserve">-</w:t>
      </w:r>
      <w:r>
        <w:rPr>
          <w:rFonts w:ascii="Times New Roman" w:hAnsi="Times New Roman" w:cs="Times New Roman"/>
          <w:sz w:val="24"/>
          <w:sz-cs w:val="24"/>
        </w:rPr>
        <w:t xml:space="preserve">דינו, לאמור: "הנאשם [המערער] התכוון לפגוע בחוסאם, ואולי גם בריאד, בכך שירה לעברם מטווח קצר ביותר. את הכוונה ניתן להסיק מכלל הנסיבות, ומי שיורה לעבר אדם בנסיבות בהן בוצע הירי, חזקה כי הוא מתכוון לתוצאות הטבעיות של מעשהו" (עמ' 117 בהכרעת</w:t>
      </w:r>
      <w:r>
        <w:rPr>
          <w:rFonts w:ascii="Arial" w:hAnsi="Arial" w:cs="Arial"/>
          <w:sz w:val="24"/>
          <w:sz-cs w:val="24"/>
          <w:b/>
          <w:position w:val="4"/>
        </w:rPr>
        <w:t xml:space="preserve">-</w:t>
      </w:r>
      <w:r>
        <w:rPr>
          <w:rFonts w:ascii="Times New Roman" w:hAnsi="Times New Roman" w:cs="Times New Roman"/>
          <w:sz w:val="24"/>
          <w:sz-cs w:val="24"/>
        </w:rPr>
        <w:t xml:space="preserve">הדין). </w:t>
      </w:r>
    </w:p>
    <w:p>
      <w:pPr>
        <w:jc w:val="both"/>
        <w:bidi/>
        <w:spacing w:after="240"/>
      </w:pPr>
      <w:r>
        <w:rPr>
          <w:rFonts w:ascii="Times New Roman" w:hAnsi="Times New Roman" w:cs="Times New Roman"/>
          <w:sz w:val="24"/>
          <w:sz-cs w:val="24"/>
        </w:rPr>
        <w:t xml:space="preserve">למעלה מן הדרוש אוסיף כי לאור העובדות המתוארות בכתב</w:t>
      </w:r>
      <w:r>
        <w:rPr>
          <w:rFonts w:ascii="Arial" w:hAnsi="Arial" w:cs="Arial"/>
          <w:sz w:val="24"/>
          <w:sz-cs w:val="24"/>
          <w:b/>
          <w:position w:val="4"/>
        </w:rPr>
        <w:t xml:space="preserve">-</w:t>
      </w:r>
      <w:r>
        <w:rPr>
          <w:rFonts w:ascii="Times New Roman" w:hAnsi="Times New Roman" w:cs="Times New Roman"/>
          <w:sz w:val="24"/>
          <w:sz-cs w:val="24"/>
        </w:rPr>
        <w:t xml:space="preserve">האישום ובהכרעת</w:t>
      </w:r>
      <w:r>
        <w:rPr>
          <w:rFonts w:ascii="Arial" w:hAnsi="Arial" w:cs="Arial"/>
          <w:sz w:val="24"/>
          <w:sz-cs w:val="24"/>
          <w:b/>
          <w:position w:val="4"/>
        </w:rPr>
        <w:t xml:space="preserve">-</w:t>
      </w:r>
      <w:r>
        <w:rPr>
          <w:rFonts w:ascii="Times New Roman" w:hAnsi="Times New Roman" w:cs="Times New Roman"/>
          <w:sz w:val="24"/>
          <w:sz-cs w:val="24"/>
        </w:rPr>
        <w:t xml:space="preserve">הדין נראה כי בעניינו של המערער התקיימו גם יסודותיה של עבירה נוספת מבין אלה המנויות </w:t>
      </w:r>
      <w:r>
        <w:rPr>
          <w:rFonts w:ascii="Times New Roman" w:hAnsi="Times New Roman" w:cs="Times New Roman"/>
          <w:sz w:val="24"/>
          <w:sz-cs w:val="24"/>
          <w:u w:val="single"/>
          <w:color w:val="0000FF"/>
        </w:rPr>
        <w:t xml:space="preserve"> HYPERLINK "http://www.nevo.co.il/law/70301/dSjC" בסימן ד' של פרק י'</w:t>
      </w:r>
      <w:r>
        <w:rPr>
          <w:rFonts w:ascii="Times New Roman" w:hAnsi="Times New Roman" w:cs="Times New Roman"/>
          <w:sz w:val="24"/>
          <w:sz-cs w:val="24"/>
        </w:rPr>
        <w:t xml:space="preserve"> ב</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והכוונה </w:t>
      </w:r>
      <w:r>
        <w:rPr>
          <w:rFonts w:ascii="Times New Roman" w:hAnsi="Times New Roman" w:cs="Times New Roman"/>
          <w:sz w:val="24"/>
          <w:sz-cs w:val="24"/>
          <w:u w:val="single"/>
          <w:color w:val="0000FF"/>
        </w:rPr>
        <w:t xml:space="preserve"> HYPERLINK "http://www.nevo.co.il/law/70301/340a" לסעיף 340א</w:t>
      </w:r>
      <w:r>
        <w:rPr>
          <w:rFonts w:ascii="Times New Roman" w:hAnsi="Times New Roman" w:cs="Times New Roman"/>
          <w:sz w:val="24"/>
          <w:sz-cs w:val="24"/>
        </w:rPr>
        <w:t xml:space="preserve"> העוסק ב"יריות באזור מגורים".</w:t>
      </w:r>
    </w:p>
    <w:p>
      <w:pPr>
        <w:jc w:val="both"/>
        <w:bidi/>
        <w:spacing w:after="240"/>
      </w:pPr>
      <w:r>
        <w:rPr>
          <w:rFonts w:ascii="Times New Roman" w:hAnsi="Times New Roman" w:cs="Times New Roman"/>
          <w:sz w:val="24"/>
          <w:sz-cs w:val="24"/>
        </w:rPr>
        <w:t xml:space="preserve">11.</w:t>
        <w:tab/>
        <w:t xml:space="preserve">העולה מכל האמור לעיל הוא שהדיון בדבר "ניסיון" לבצע עבירת תנאי מתייתר, אולם ראיתי לנכון לשוב ולהדגיש את ההלכה הנוהגת עמנו הרבה שנים, ולפיה המבחן להפרתה של עבירת התנאי הוא מהותי ולא טכני</w:t>
      </w:r>
      <w:r>
        <w:rPr>
          <w:rFonts w:ascii="Arial" w:hAnsi="Arial" w:cs="Arial"/>
          <w:sz w:val="24"/>
          <w:sz-cs w:val="24"/>
          <w:b/>
          <w:position w:val="4"/>
        </w:rPr>
        <w:t xml:space="preserve">-</w:t>
      </w:r>
      <w:r>
        <w:rPr>
          <w:rFonts w:ascii="Times New Roman" w:hAnsi="Times New Roman" w:cs="Times New Roman"/>
          <w:sz w:val="24"/>
          <w:sz-cs w:val="24"/>
        </w:rPr>
        <w:t xml:space="preserve">פורמאלי. ההשוואה הראויה היא בין יסודותיה של עבירת התנאי, כפי שהן מופיעות בחוק, לבין היסודות אשר התקיימו בהתנהגותו של הנאשם. לפיכך העונש המותנה יופעל לעתים גם כאשר לא נמצאה זהות "טכנית" בין העבירה שבוצעה לעבירת התנאי (</w:t>
      </w:r>
      <w:r>
        <w:rPr>
          <w:rFonts w:ascii="Times New Roman" w:hAnsi="Times New Roman" w:cs="Times New Roman"/>
          <w:sz w:val="22"/>
          <w:sz-cs w:val="22"/>
          <w:u w:val="single"/>
          <w:color w:val="0000FF"/>
        </w:rPr>
        <w:t xml:space="preserve">HYPERLINK "http://www.nevo.co.il/case/17942576"ע"פ 49/80</w:t>
      </w:r>
      <w:r>
        <w:rPr>
          <w:rFonts w:ascii="Times New Roman" w:hAnsi="Times New Roman" w:cs="Times New Roman"/>
          <w:sz w:val="22"/>
          <w:sz-cs w:val="22"/>
        </w:rPr>
        <w:t xml:space="preserve"> הנ</w:t>
      </w:r>
      <w:r>
        <w:rPr>
          <w:rFonts w:ascii="Times New Roman" w:hAnsi="Times New Roman" w:cs="Times New Roman"/>
          <w:sz w:val="24"/>
          <w:sz-cs w:val="24"/>
        </w:rPr>
        <w:t xml:space="preserve">"ל [3], </w:t>
      </w:r>
      <w:r>
        <w:rPr>
          <w:rFonts w:ascii="Times New Roman" w:hAnsi="Times New Roman" w:cs="Times New Roman"/>
          <w:sz w:val="22"/>
          <w:sz-cs w:val="22"/>
          <w:u w:val="single"/>
          <w:color w:val="0000FF"/>
        </w:rPr>
        <w:t xml:space="preserve">HYPERLINK "http://www.nevo.co.il/case/17929037"ע"פ 624/75</w:t>
      </w:r>
      <w:r>
        <w:rPr>
          <w:rFonts w:ascii="Times New Roman" w:hAnsi="Times New Roman" w:cs="Times New Roman"/>
          <w:sz w:val="22"/>
          <w:sz-cs w:val="22"/>
        </w:rPr>
        <w:t xml:space="preserve"> גלאגל נ' מדינת ישראל [6]</w:t>
      </w:r>
      <w:r>
        <w:rPr>
          <w:rFonts w:ascii="Times New Roman" w:hAnsi="Times New Roman" w:cs="Times New Roman"/>
          <w:sz w:val="24"/>
          <w:sz-cs w:val="24"/>
        </w:rPr>
        <w:t xml:space="preserve">, </w:t>
      </w:r>
      <w:r>
        <w:rPr>
          <w:rFonts w:ascii="Times New Roman" w:hAnsi="Times New Roman" w:cs="Times New Roman"/>
          <w:sz w:val="22"/>
          <w:sz-cs w:val="22"/>
        </w:rPr>
        <w:t xml:space="preserve">בעמ' 224</w:t>
      </w:r>
      <w:r>
        <w:rPr>
          <w:rFonts w:ascii="Times New Roman" w:hAnsi="Times New Roman" w:cs="Times New Roman"/>
          <w:sz w:val="24"/>
          <w:sz-cs w:val="24"/>
        </w:rPr>
        <w:t xml:space="preserve">). הלכה זו אמנם נקבעה במצב שבו העבירה שבוצעה טומנת בחובה את כל יסודותיה של עבירת התנאי, אולם להשקפתי, השוואה כזו מתקיימת, מבחינה מהותית, גם שעה שהנאשם מבצע ניסיון שלם מבחינתו להפר את עבירת התנאי, וכל שמפריד בין התנהגותו לבין ביצועה המושלם של העבירה היא התקיימותה של תוצאה או נסיבה, אשר ממילא אינן בשליטתו. מעשיו של המערער הם התנהגות מן הסוג הזה, באשר הוא הספיק לירות כדורים מספר לעברו של חוסאם, ואפשר שאת מטרתו היה משיג לולא המעצור שאירע בנשק. העולה מכך הוא כי בנסיבותיו של ערעור זה היה די בעבירת ה"ניסיון" כשלעצמה כדי להפעיל את התנאי גם ללא ההפניה לסעיף </w:t>
      </w:r>
      <w:r>
        <w:rPr>
          <w:rFonts w:ascii="Times New Roman" w:hAnsi="Times New Roman" w:cs="Times New Roman"/>
          <w:sz w:val="24"/>
          <w:sz-cs w:val="24"/>
          <w:u w:val="single"/>
          <w:color w:val="0000FF"/>
        </w:rPr>
        <w:t xml:space="preserve"> HYPERLINK "http://www.nevo.co.il/law/70301/329.a.2" 329(א)(2)</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2"/>
          <w:sz-cs w:val="22"/>
        </w:rPr>
        <w:t xml:space="preserve"/>
        <w:br w:type="page"/>
        <w:t xml:space="preserve">הפעלת המאסרים המותנים במצטבר</w:t>
      </w:r>
    </w:p>
    <w:p>
      <w:pPr>
        <w:jc w:val="both"/>
        <w:bidi/>
        <w:spacing w:after="240"/>
      </w:pPr>
      <w:r>
        <w:rPr>
          <w:rFonts w:ascii="Times New Roman" w:hAnsi="Times New Roman" w:cs="Times New Roman"/>
          <w:sz w:val="22"/>
          <w:sz-cs w:val="22"/>
        </w:rPr>
        <w:t xml:space="preserve">12.</w:t>
        <w:tab/>
        <w:t xml:space="preserve"/>
      </w:r>
      <w:r>
        <w:rPr>
          <w:rFonts w:ascii="Times New Roman" w:hAnsi="Times New Roman" w:cs="Times New Roman"/>
          <w:sz w:val="24"/>
          <w:sz-cs w:val="24"/>
        </w:rPr>
        <w:t xml:space="preserve">בא</w:t>
      </w:r>
      <w:r>
        <w:rPr>
          <w:rFonts w:ascii="Arial" w:hAnsi="Arial" w:cs="Arial"/>
          <w:sz w:val="24"/>
          <w:sz-cs w:val="24"/>
          <w:b/>
          <w:position w:val="4"/>
        </w:rPr>
        <w:t xml:space="preserve">-</w:t>
      </w:r>
      <w:r>
        <w:rPr>
          <w:rFonts w:ascii="Times New Roman" w:hAnsi="Times New Roman" w:cs="Times New Roman"/>
          <w:sz w:val="24"/>
          <w:sz-cs w:val="24"/>
        </w:rPr>
        <w:t xml:space="preserve">כוחו המלומד של המערער סבור כי לאור הכלל שלפיו על מעשה אחד ניתן להטיל עונש אחד, לא ניתן להפעיל את שני עונשי המאסר המותנים במצטבר, והפעלתו של עונש המאסר בן 12 החודשים שללה את האפשרות להפעיל את המאסר הנוסף, בן 18 החודשים. אין בידי להצטרף למסקנה זו. הכלל שאליו מכוון בא</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כוחו של המערער הוא הכלל המעוגן </w:t>
      </w:r>
      <w:r>
        <w:rPr>
          <w:rFonts w:ascii="Times New Roman" w:hAnsi="Times New Roman" w:cs="Times New Roman"/>
          <w:sz w:val="24"/>
          <w:sz-cs w:val="24"/>
          <w:u w:val="single"/>
          <w:color w:val="0000FF"/>
        </w:rPr>
        <w:t xml:space="preserve"> HYPERLINK "http://www.nevo.co.il/law/74903/186" בסעיף 186</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"http://www.nevo.co.il/law/74903" חוק סדר הדין הפלילי</w:t>
      </w:r>
      <w:r>
        <w:rPr>
          <w:rFonts w:ascii="Times New Roman" w:hAnsi="Times New Roman" w:cs="Times New Roman"/>
          <w:sz w:val="24"/>
          <w:sz-cs w:val="24"/>
        </w:rPr>
        <w:t xml:space="preserve"> [נוסח משולב], תשמ"ב</w:t>
      </w:r>
      <w:r>
        <w:rPr>
          <w:rFonts w:ascii="Times New Roman" w:hAnsi="Times New Roman" w:cs="Times New Roman"/>
          <w:sz w:val="22"/>
          <w:sz-cs w:val="22"/>
        </w:rPr>
        <w:t xml:space="preserve">-</w:t>
      </w:r>
      <w:r>
        <w:rPr>
          <w:rFonts w:ascii="Times New Roman" w:hAnsi="Times New Roman" w:cs="Times New Roman"/>
          <w:sz w:val="24"/>
          <w:sz-cs w:val="24"/>
        </w:rPr>
        <w:t xml:space="preserve">1982, הקובע כך:</w:t>
      </w:r>
    </w:p>
    <w:p>
      <w:pPr>
        <w:jc w:val="both"/>
        <w:bidi/>
        <w:spacing w:before="40"/>
      </w:pPr>
      <w:r>
        <w:rPr>
          <w:rFonts w:ascii="Times New Roman" w:hAnsi="Times New Roman" w:cs="Times New Roman"/>
          <w:sz w:val="22"/>
          <w:sz-cs w:val="22"/>
        </w:rPr>
        <w:t xml:space="preserve">"</w:t>
      </w:r>
      <w:r>
        <w:rPr>
          <w:rFonts w:ascii="Times New Roman" w:hAnsi="Times New Roman" w:cs="Times New Roman"/>
          <w:sz w:val="18"/>
          <w:sz-cs w:val="18"/>
        </w:rPr>
        <w:t xml:space="preserve">הרשעה  בעבירות אחדות </w:t>
      </w:r>
    </w:p>
    <w:p>
      <w:pPr>
        <w:jc w:val="both"/>
        <w:bidi/>
        <w:spacing w:before="40"/>
      </w:pPr>
      <w:r>
        <w:rPr>
          <w:rFonts w:ascii="Times New Roman" w:hAnsi="Times New Roman" w:cs="Times New Roman"/>
          <w:sz w:val="18"/>
          <w:sz-cs w:val="18"/>
        </w:rPr>
        <w:t xml:space="preserve"/>
      </w:r>
    </w:p>
    <w:p>
      <w:pPr>
        <w:jc w:val="both"/>
        <w:bidi/>
        <w:ind w:left="459" w:right="459" w:first-line="-459"/>
        <w:spacing w:after="240"/>
      </w:pPr>
      <w:r>
        <w:rPr>
          <w:rFonts w:ascii="Times New Roman" w:hAnsi="Times New Roman" w:cs="Times New Roman"/>
          <w:sz w:val="24"/>
          <w:sz-cs w:val="24"/>
        </w:rPr>
        <w:t xml:space="preserve">186.  בית המשפט רשאי להרשיע נאשם בשל כל אחת מן העבירות שאשמתו בהן נתגלתה מן העובדות שהוכחו לפניו, אך לא יענישנו יותר מפעם אחת בשל אותו מעשה".</w:t>
      </w:r>
      <w:r>
        <w:rPr>
          <w:rFonts w:ascii="Times New Roman" w:hAnsi="Times New Roman" w:cs="Times New Roman"/>
          <w:sz w:val="28"/>
          <w:sz-cs w:val="28"/>
        </w:rPr>
        <w:t xml:space="preserve"/>
      </w:r>
    </w:p>
    <w:p>
      <w:pPr>
        <w:jc w:val="both"/>
        <w:bidi/>
        <w:spacing w:after="240"/>
      </w:pPr>
      <w:r>
        <w:rPr>
          <w:rFonts w:ascii="Times New Roman" w:hAnsi="Times New Roman" w:cs="Times New Roman"/>
          <w:sz w:val="24"/>
          <w:sz-cs w:val="24"/>
        </w:rPr>
        <w:t xml:space="preserve">השאלה מהו "מעשה אחד" שבגינו אין להעניש פעמיים, נדונה פעמים רבות בבית</w:t>
      </w:r>
      <w:r>
        <w:rPr>
          <w:rFonts w:ascii="Arial" w:hAnsi="Arial" w:cs="Arial"/>
          <w:sz w:val="24"/>
          <w:sz-cs w:val="24"/>
          <w:b/>
          <w:position w:val="4"/>
        </w:rPr>
        <w:t xml:space="preserve">-</w:t>
      </w:r>
      <w:r>
        <w:rPr>
          <w:rFonts w:ascii="Times New Roman" w:hAnsi="Times New Roman" w:cs="Times New Roman"/>
          <w:sz w:val="24"/>
          <w:sz-cs w:val="24"/>
        </w:rPr>
        <w:t xml:space="preserve">משפט זה. לגבי מושג זה נקבע כי "אין לפרשו כמסב עצמו אך</w:t>
      </w:r>
      <w:r>
        <w:rPr>
          <w:rFonts w:ascii="Arial" w:hAnsi="Arial" w:cs="Arial"/>
          <w:sz w:val="24"/>
          <w:sz-cs w:val="24"/>
          <w:b/>
          <w:position w:val="4"/>
        </w:rPr>
        <w:t xml:space="preserve"> </w:t>
      </w:r>
      <w:r>
        <w:rPr>
          <w:rFonts w:ascii="Times New Roman" w:hAnsi="Times New Roman" w:cs="Times New Roman"/>
          <w:sz w:val="24"/>
          <w:sz-cs w:val="24"/>
        </w:rPr>
        <w:t xml:space="preserve">ורק על המעשה הפיזי שעשה הנאשם. הביטוי 'אותו מעשה' ביטוי נורמטיבי הוא, ועד שנסיק אם בנסיבותיו של אירוע פלוני היה זה – או לא היה זה – 'אותו מעשה', שומה עלינו לאסוף אל חיקנו את מכלול הנסיבות של האירוע" (</w:t>
      </w:r>
      <w:r>
        <w:rPr>
          <w:rFonts w:ascii="Times New Roman" w:hAnsi="Times New Roman" w:cs="Times New Roman"/>
          <w:sz w:val="22"/>
          <w:sz-cs w:val="22"/>
          <w:u w:val="single"/>
          <w:color w:val="0000FF"/>
        </w:rPr>
        <w:t xml:space="preserve">HYPERLINK "http://www.nevo.co.il/case/5881062"</w:t>
      </w:r>
      <w:r>
        <w:rPr>
          <w:rFonts w:ascii="Times New Roman" w:hAnsi="Times New Roman" w:cs="Times New Roman"/>
          <w:sz w:val="22"/>
          <w:sz-cs w:val="22"/>
          <w:u w:val="single"/>
          <w:color w:val="0000FF"/>
        </w:rPr>
        <w:t xml:space="preserve">ע"פ 6141/01</w:t>
      </w:r>
      <w:r>
        <w:rPr>
          <w:rFonts w:ascii="Times New Roman" w:hAnsi="Times New Roman" w:cs="Times New Roman"/>
          <w:sz w:val="22"/>
          <w:sz-cs w:val="22"/>
        </w:rPr>
        <w:t xml:space="preserve"> ג'בארין</w:t>
      </w:r>
      <w:r>
        <w:rPr>
          <w:rFonts w:ascii="Times New Roman" w:hAnsi="Times New Roman" w:cs="Times New Roman"/>
          <w:sz w:val="24"/>
          <w:sz-cs w:val="24"/>
        </w:rPr>
        <w:t xml:space="preserve"> נ' מדינת ישראל [7]</w:t>
      </w:r>
      <w:r>
        <w:rPr>
          <w:rFonts w:ascii="Times New Roman" w:hAnsi="Times New Roman" w:cs="Times New Roman"/>
          <w:sz w:val="22"/>
          <w:sz-cs w:val="22"/>
        </w:rPr>
        <w:t xml:space="preserve">, בעמ' 659</w:t>
      </w:r>
      <w:r>
        <w:rPr>
          <w:rFonts w:ascii="Times New Roman" w:hAnsi="Times New Roman" w:cs="Times New Roman"/>
          <w:sz w:val="24"/>
          <w:sz-cs w:val="24"/>
        </w:rPr>
        <w:t xml:space="preserve">). לשם הבחנה זו אף נקבעו מבחנים (</w:t>
      </w:r>
      <w:r>
        <w:rPr>
          <w:rFonts w:ascii="Times New Roman" w:hAnsi="Times New Roman" w:cs="Times New Roman"/>
          <w:sz w:val="22"/>
          <w:sz-cs w:val="22"/>
          <w:u w:val="single"/>
          <w:color w:val="0000FF"/>
        </w:rPr>
        <w:t xml:space="preserve">HYPERLINK "http://www.nevo.co.il/case/5875565"</w:t>
      </w:r>
      <w:r>
        <w:rPr>
          <w:rFonts w:ascii="Times New Roman" w:hAnsi="Times New Roman" w:cs="Times New Roman"/>
          <w:sz w:val="22"/>
          <w:sz-cs w:val="22"/>
          <w:u w:val="single"/>
          <w:color w:val="0000FF"/>
        </w:rPr>
        <w:t xml:space="preserve">ע"פ 3503/01</w:t>
      </w:r>
      <w:r>
        <w:rPr>
          <w:rFonts w:ascii="Times New Roman" w:hAnsi="Times New Roman" w:cs="Times New Roman"/>
          <w:sz w:val="22"/>
          <w:sz-cs w:val="22"/>
        </w:rPr>
        <w:t xml:space="preserve"> </w:t>
      </w:r>
      <w:r>
        <w:rPr>
          <w:rFonts w:ascii="Times New Roman" w:hAnsi="Times New Roman" w:cs="Times New Roman"/>
          <w:sz w:val="24"/>
          <w:sz-cs w:val="24"/>
        </w:rPr>
        <w:t xml:space="preserve">תפאל נ' מדינת ישראל [8]). מבחן אחד הוא המבחן המהותי</w:t>
      </w:r>
      <w:r>
        <w:rPr>
          <w:rFonts w:ascii="Arial" w:hAnsi="Arial" w:cs="Arial"/>
          <w:sz w:val="24"/>
          <w:sz-cs w:val="24"/>
          <w:b/>
          <w:position w:val="4"/>
        </w:rPr>
        <w:t xml:space="preserve">-</w:t>
      </w:r>
      <w:r>
        <w:rPr>
          <w:rFonts w:ascii="Times New Roman" w:hAnsi="Times New Roman" w:cs="Times New Roman"/>
          <w:sz w:val="24"/>
          <w:sz-cs w:val="24"/>
        </w:rPr>
        <w:t xml:space="preserve">מוסרי. מבחן זה ישים בעיקר בעבירות מרובות קורבנות, ולפיו בקביעת מספר העונשים שיוטלו על נאשם יש להתחשב במספר האנשים שנפגעו כתוצאה ממעשיו (ראו </w:t>
      </w:r>
      <w:r>
        <w:rPr>
          <w:rFonts w:ascii="Times New Roman" w:hAnsi="Times New Roman" w:cs="Times New Roman"/>
          <w:sz w:val="22"/>
          <w:sz-cs w:val="22"/>
          <w:u w:val="single"/>
          <w:color w:val="0000FF"/>
        </w:rPr>
        <w:t xml:space="preserve">HYPERLINK "http://www.nevo.co.il/case/6159983"</w:t>
      </w:r>
      <w:r>
        <w:rPr>
          <w:rFonts w:ascii="Times New Roman" w:hAnsi="Times New Roman" w:cs="Times New Roman"/>
          <w:sz w:val="22"/>
          <w:sz-cs w:val="22"/>
          <w:u w:val="single"/>
          <w:color w:val="0000FF"/>
        </w:rPr>
        <w:t xml:space="preserve">ע"פ 9804/02</w:t>
      </w:r>
      <w:r>
        <w:rPr>
          <w:rFonts w:ascii="Times New Roman" w:hAnsi="Times New Roman" w:cs="Times New Roman"/>
          <w:sz w:val="22"/>
          <w:sz-cs w:val="22"/>
        </w:rPr>
        <w:t xml:space="preserve"> שר נ' מדינת ישראל [9]</w:t>
      </w:r>
      <w:r>
        <w:rPr>
          <w:rFonts w:ascii="Times New Roman" w:hAnsi="Times New Roman" w:cs="Times New Roman"/>
          <w:sz w:val="24"/>
          <w:sz-cs w:val="24"/>
        </w:rPr>
        <w:t xml:space="preserve">). מבחן שני הוא המבחן הצורני</w:t>
      </w:r>
      <w:r>
        <w:rPr>
          <w:rFonts w:ascii="Arial" w:hAnsi="Arial" w:cs="Arial"/>
          <w:sz w:val="24"/>
          <w:sz-cs w:val="24"/>
          <w:b/>
          <w:position w:val="4"/>
        </w:rPr>
        <w:t xml:space="preserve">-</w:t>
      </w:r>
      <w:r>
        <w:rPr>
          <w:rFonts w:ascii="Times New Roman" w:hAnsi="Times New Roman" w:cs="Times New Roman"/>
          <w:sz w:val="24"/>
          <w:sz-cs w:val="24"/>
        </w:rPr>
        <w:t xml:space="preserve">עובדתי. מבחן זה מציע לבדוק אם ניתן להפריד, מבחינה עובדתית, בין פעולותיו של הנאשם, או שמא התנהגותו מהווה רצף של פעולות שאינו ניתן להפרדה. מבחן שלישי אשר הוצע בהקשר זה הוא מבחן ההרתעה, ולפיו יש לבחון מה ההשפעה, מבחינה הרתעתית, של התבוננות על האירוע כ"מעשה אחד" (</w:t>
      </w:r>
      <w:r>
        <w:rPr>
          <w:rFonts w:ascii="Times New Roman" w:hAnsi="Times New Roman" w:cs="Times New Roman"/>
          <w:sz w:val="22"/>
          <w:sz-cs w:val="22"/>
          <w:u w:val="single"/>
          <w:color w:val="0000FF"/>
        </w:rPr>
        <w:t xml:space="preserve">HYPERLINK "http://www.nevo.co.il/case/5788915"</w:t>
      </w:r>
      <w:r>
        <w:rPr>
          <w:rFonts w:ascii="Times New Roman" w:hAnsi="Times New Roman" w:cs="Times New Roman"/>
          <w:sz w:val="22"/>
          <w:sz-cs w:val="22"/>
          <w:u w:val="single"/>
          <w:color w:val="0000FF"/>
        </w:rPr>
        <w:t xml:space="preserve">ע"פ 1742/91</w:t>
      </w:r>
      <w:r>
        <w:rPr>
          <w:rFonts w:ascii="Times New Roman" w:hAnsi="Times New Roman" w:cs="Times New Roman"/>
          <w:sz w:val="22"/>
          <w:sz-cs w:val="22"/>
        </w:rPr>
        <w:t xml:space="preserve"> פופר נ' מדינת ישראל [10]</w:t>
      </w:r>
      <w:r>
        <w:rPr>
          <w:rFonts w:ascii="Times New Roman" w:hAnsi="Times New Roman" w:cs="Times New Roman"/>
          <w:sz w:val="24"/>
          <w:sz-cs w:val="24"/>
        </w:rPr>
        <w:t xml:space="preserve">, </w:t>
      </w:r>
      <w:r>
        <w:rPr>
          <w:rFonts w:ascii="Times New Roman" w:hAnsi="Times New Roman" w:cs="Times New Roman"/>
          <w:sz w:val="22"/>
          <w:sz-cs w:val="22"/>
        </w:rPr>
        <w:t xml:space="preserve">בעמ'</w:t>
      </w:r>
      <w:r>
        <w:rPr>
          <w:rFonts w:ascii="Times New Roman" w:hAnsi="Times New Roman" w:cs="Times New Roman"/>
          <w:sz w:val="24"/>
          <w:sz-cs w:val="24"/>
        </w:rPr>
        <w:t xml:space="preserve"> </w:t>
      </w:r>
      <w:r>
        <w:rPr>
          <w:rFonts w:ascii="Times New Roman" w:hAnsi="Times New Roman" w:cs="Times New Roman"/>
          <w:sz w:val="22"/>
          <w:sz-cs w:val="22"/>
        </w:rPr>
        <w:t xml:space="preserve">303</w:t>
      </w:r>
      <w:r>
        <w:rPr>
          <w:rFonts w:ascii="Times New Roman" w:hAnsi="Times New Roman" w:cs="Times New Roman"/>
          <w:sz w:val="24"/>
          <w:sz-cs w:val="24"/>
        </w:rPr>
        <w:t xml:space="preserve">). מבחן אחרון זה מקבל משנה תוקף שעה שמדובר במאסר על</w:t>
      </w:r>
      <w:r>
        <w:rPr>
          <w:rFonts w:ascii="Arial" w:hAnsi="Arial" w:cs="Arial"/>
          <w:sz w:val="24"/>
          <w:sz-cs w:val="24"/>
          <w:b/>
          <w:position w:val="4"/>
        </w:rPr>
        <w:t xml:space="preserve">-</w:t>
      </w:r>
      <w:r>
        <w:rPr>
          <w:rFonts w:ascii="Times New Roman" w:hAnsi="Times New Roman" w:cs="Times New Roman"/>
          <w:sz w:val="24"/>
          <w:sz-cs w:val="24"/>
        </w:rPr>
        <w:t xml:space="preserve">תנאי, שבבסיסו ניצבים שיקולי הרתעה.</w:t>
      </w:r>
    </w:p>
    <w:p>
      <w:pPr>
        <w:jc w:val="both"/>
        <w:bidi/>
        <w:spacing w:after="240"/>
      </w:pPr>
      <w:r>
        <w:rPr>
          <w:rFonts w:ascii="Times New Roman" w:hAnsi="Times New Roman" w:cs="Times New Roman"/>
          <w:sz w:val="24"/>
          <w:sz-cs w:val="24"/>
        </w:rPr>
        <w:t xml:space="preserve">13.</w:t>
        <w:tab/>
        <w:t xml:space="preserve">במקרה שלפנינו די ביישומו של המבחן העובדתי כדי להבין כי שני המאסרים על</w:t>
      </w:r>
      <w:r>
        <w:rPr>
          <w:rFonts w:ascii="Arial" w:hAnsi="Arial" w:cs="Arial"/>
          <w:sz w:val="24"/>
          <w:sz-cs w:val="24"/>
          <w:b/>
          <w:position w:val="4"/>
        </w:rPr>
        <w:t xml:space="preserve">-</w:t>
      </w:r>
      <w:r>
        <w:rPr>
          <w:rFonts w:ascii="Times New Roman" w:hAnsi="Times New Roman" w:cs="Times New Roman"/>
          <w:sz w:val="24"/>
          <w:sz-cs w:val="24"/>
        </w:rPr>
        <w:t xml:space="preserve">תנאי שהוטלו על המערער אינם בבחינת ענישה כפולה בשל "אותו מעשה". במעשיו קיים המערער את יסודותיהן של שתי עבירות נפרדות: האחת – נשיאת נשק בלא היתר, והשנייה – ניסיון לחבלה בנסיבות מחמירות או בלבוש המשפטי שבו בחרו </w:t>
      </w:r>
    </w:p>
    <w:p>
      <w:pPr>
        <w:jc w:val="both"/>
        <w:bidi/>
        <w:spacing w:after="240"/>
      </w:pPr>
      <w:r>
        <w:rPr>
          <w:rFonts w:ascii="Times New Roman" w:hAnsi="Times New Roman" w:cs="Times New Roman"/>
          <w:sz w:val="24"/>
          <w:sz-cs w:val="24"/>
        </w:rPr>
        <w:t xml:space="preserve"/>
        <w:br w:type="page"/>
        <w:t xml:space="preserve">הצדדים – ניסיון לפצוע בנסיבות מחמירות. נכון הוא שאת הירי שבאמצעותו ניסה המערער לפגוע בחוסאם הוא ביצע באמצעות הנשק שנשא שלא כדין, אולם כל אחד ממעשים אלה הוא בבחינת מסכת עובדתית נפרדת ועצמאית. טול לעצמך דוגמה שלבעל הנשק יש היתר לשאת אותו, ולפיכך הוא אינו מפר את האיסור הקבוע </w:t>
      </w:r>
      <w:r>
        <w:rPr>
          <w:rFonts w:ascii="Times New Roman" w:hAnsi="Times New Roman" w:cs="Times New Roman"/>
          <w:sz w:val="24"/>
          <w:sz-cs w:val="24"/>
          <w:u w:val="single"/>
          <w:color w:val="0000FF"/>
        </w:rPr>
        <w:t xml:space="preserve"> HYPERLINK "http://www.nevo.co.il/law/70301/ 144" בסעיף 144</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אין זה מן הנמנע כי במצב כזה הוא יחוב באחריות כמי שביצע עבירה, דוגמת העבירה המצויה </w:t>
      </w:r>
      <w:r>
        <w:rPr>
          <w:rFonts w:ascii="Times New Roman" w:hAnsi="Times New Roman" w:cs="Times New Roman"/>
          <w:sz w:val="24"/>
          <w:sz-cs w:val="24"/>
          <w:u w:val="single"/>
          <w:color w:val="0000FF"/>
        </w:rPr>
        <w:t xml:space="preserve"> HYPERLINK "http://www.nevo.co.il/law/70301/335" בסעיף 335</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בשל אופן השימוש בנשק, ומכאן שאין השמטתה של עבירה אחת מובילה להשמטתה של האחרת. גם אין לומר כלל ועיקר כי היסוד העובדתי של העבירה האחת מכיל בתוכו ו"בולע" את יסודותיה העובדתיים של האחרת. זאת ועוד, כפי שאין זה מן הנמנע כי התנהגות אחת תצמיח עבירות מספר ועונשים בהתאם למספר העבירות, כך גם ייתכן שהתנהגות אחת תגרום להפעלתם של שני עונשי מאסר על</w:t>
      </w:r>
      <w:r>
        <w:rPr>
          <w:rFonts w:ascii="Arial" w:hAnsi="Arial" w:cs="Arial"/>
          <w:sz w:val="24"/>
          <w:sz-cs w:val="24"/>
          <w:b/>
          <w:position w:val="4"/>
        </w:rPr>
        <w:t xml:space="preserve">-</w:t>
      </w:r>
      <w:r>
        <w:rPr>
          <w:rFonts w:ascii="Times New Roman" w:hAnsi="Times New Roman" w:cs="Times New Roman"/>
          <w:sz w:val="24"/>
          <w:sz-cs w:val="24"/>
        </w:rPr>
        <w:t xml:space="preserve">תנאי, אם היא מקיימת הלכה למעשה את ה"תנאים" השונים, וכזה הוא המקרה שבפנינו.</w:t>
      </w:r>
    </w:p>
    <w:p>
      <w:pPr>
        <w:jc w:val="both"/>
        <w:bidi/>
        <w:spacing w:after="240"/>
      </w:pPr>
      <w:r>
        <w:rPr>
          <w:rFonts w:ascii="Times New Roman" w:hAnsi="Times New Roman" w:cs="Times New Roman"/>
          <w:sz w:val="24"/>
          <w:sz-cs w:val="24"/>
        </w:rPr>
        <w:t xml:space="preserve">העולה מכל האמור הוא כי אירוע הירי הנוכחי, שבגינו הועמד המערער לדין והורשע, הפעיל את שני המאסרים על</w:t>
      </w:r>
      <w:r>
        <w:rPr>
          <w:rFonts w:ascii="Arial" w:hAnsi="Arial" w:cs="Arial"/>
          <w:sz w:val="24"/>
          <w:sz-cs w:val="24"/>
          <w:b/>
          <w:position w:val="4"/>
        </w:rPr>
        <w:t xml:space="preserve">-</w:t>
      </w:r>
      <w:r>
        <w:rPr>
          <w:rFonts w:ascii="Times New Roman" w:hAnsi="Times New Roman" w:cs="Times New Roman"/>
          <w:sz w:val="24"/>
          <w:sz-cs w:val="24"/>
        </w:rPr>
        <w:t xml:space="preserve">תנאי שרבצו לפתחו, ונותרה השאלה אם ראוי כי נעשה שימוש בסמכותנו ונורה על חפיפה בין העונשים או בחלקם. </w:t>
      </w:r>
    </w:p>
    <w:p>
      <w:pPr>
        <w:jc w:val="both"/>
        <w:bidi/>
        <w:spacing w:after="240"/>
      </w:pPr>
      <w:r>
        <w:rPr>
          <w:rFonts w:ascii="Times New Roman" w:hAnsi="Times New Roman" w:cs="Times New Roman"/>
          <w:sz w:val="24"/>
          <w:sz-cs w:val="24"/>
        </w:rPr>
        <w:t xml:space="preserve">14.</w:t>
        <w:tab/>
        <w:t xml:space="preserve">הכלל שנקבע </w:t>
      </w:r>
      <w:r>
        <w:rPr>
          <w:rFonts w:ascii="Times New Roman" w:hAnsi="Times New Roman" w:cs="Times New Roman"/>
          <w:sz w:val="24"/>
          <w:sz-cs w:val="24"/>
          <w:u w:val="single"/>
          <w:color w:val="0000FF"/>
        </w:rPr>
        <w:t xml:space="preserve"> HYPERLINK "http://www.nevo.co.il/law/70301/45" בסעיף 45</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הוא כי באין קביעה מפורשת אחרת יישא הנאשם בעונשים שהוטלו עליו בחופף: </w:t>
      </w:r>
    </w:p>
    <w:p>
      <w:pPr>
        <w:jc w:val="both"/>
        <w:bidi/>
        <w:ind w:left="680" w:right="680" w:first-line="-680"/>
        <w:spacing w:after="120"/>
      </w:pPr>
      <w:r>
        <w:rPr>
          <w:rFonts w:ascii="Times New Roman" w:hAnsi="Times New Roman" w:cs="Times New Roman"/>
          <w:sz w:val="22"/>
          <w:sz-cs w:val="22"/>
        </w:rPr>
        <w:t xml:space="preserve">"</w:t>
      </w:r>
      <w:r>
        <w:rPr>
          <w:rFonts w:ascii="Times New Roman" w:hAnsi="Times New Roman" w:cs="Times New Roman"/>
          <w:sz w:val="18"/>
          <w:sz-cs w:val="18"/>
        </w:rPr>
        <w:t xml:space="preserve">מאסר חופף</w:t>
      </w:r>
    </w:p>
    <w:p>
      <w:pPr>
        <w:jc w:val="both"/>
        <w:bidi/>
        <w:ind w:left="680" w:right="680" w:first-line="-680"/>
        <w:spacing w:after="120"/>
      </w:pPr>
      <w:r>
        <w:rPr>
          <w:rFonts w:ascii="Times New Roman" w:hAnsi="Times New Roman" w:cs="Times New Roman"/>
          <w:sz w:val="24"/>
          <w:sz-cs w:val="24"/>
        </w:rPr>
        <w:t xml:space="preserve">45. (א)  מי שנידון במשפט אחד לענשי מאסר בשל עבירות שונות, ולא הורה בית המשפט שישאם, כולם או מקצתם, בזה אחר זה, לא ישא אלא את עונש המאסר של התקופה הארוכה ביותר. </w:t>
      </w:r>
    </w:p>
    <w:p>
      <w:pPr>
        <w:jc w:val="both"/>
        <w:bidi/>
        <w:ind w:left="601" w:right="601" w:first-line="-283"/>
        <w:spacing w:after="120"/>
      </w:pPr>
      <w:r>
        <w:rPr>
          <w:rFonts w:ascii="Times New Roman" w:hAnsi="Times New Roman" w:cs="Times New Roman"/>
          <w:sz w:val="24"/>
          <w:sz-cs w:val="24"/>
        </w:rPr>
        <w:t xml:space="preserve">(ב)   ... </w:t>
      </w:r>
    </w:p>
    <w:p>
      <w:pPr>
        <w:jc w:val="both"/>
        <w:bidi/>
        <w:ind w:left="715" w:right="715" w:first-line="-397"/>
        <w:spacing w:after="240"/>
      </w:pPr>
      <w:r>
        <w:rPr>
          <w:rFonts w:ascii="Times New Roman" w:hAnsi="Times New Roman" w:cs="Times New Roman"/>
          <w:sz w:val="24"/>
          <w:sz-cs w:val="24"/>
        </w:rPr>
        <w:t xml:space="preserve">(ג)   מי שנידון לשתי תקופות מאסר או יותר שאחת מהן חופפת בחלקה את האחרת, אין עליו, לאחר שנשא תקופת המאסר האחת, אלא שארית תקופת המאסר האחרת שאינה חופפת".</w:t>
      </w:r>
    </w:p>
    <w:p>
      <w:pPr>
        <w:jc w:val="both"/>
        <w:bidi/>
        <w:spacing w:after="240"/>
      </w:pPr>
      <w:r>
        <w:rPr>
          <w:rFonts w:ascii="Times New Roman" w:hAnsi="Times New Roman" w:cs="Times New Roman"/>
          <w:sz w:val="24"/>
          <w:sz-cs w:val="24"/>
        </w:rPr>
        <w:t xml:space="preserve">כלל זה הינו כלל של פרשנות. הוא נועד להקל עם נאשם שעה שמתעוררים ספקות באשר ליחס בין העונשים שהוטלו עליו. ודוק: מקובלת עליי העמדה כי </w:t>
      </w:r>
      <w:r>
        <w:rPr>
          <w:rFonts w:ascii="Times New Roman" w:hAnsi="Times New Roman" w:cs="Times New Roman"/>
          <w:sz w:val="24"/>
          <w:sz-cs w:val="24"/>
          <w:u w:val="single"/>
          <w:color w:val="0000FF"/>
        </w:rPr>
        <w:t xml:space="preserve"> HYPERLINK "http://www.nevo.co.il/law/70301/45" סעיף 45</w:t>
      </w:r>
      <w:r>
        <w:rPr>
          <w:rFonts w:ascii="Times New Roman" w:hAnsi="Times New Roman" w:cs="Times New Roman"/>
          <w:sz w:val="24"/>
          <w:sz-cs w:val="24"/>
        </w:rPr>
        <w:t xml:space="preserve"> אינו קובע הכרעה ערכית כלשהי באשר לשאלה אם ראוי, ככלל, כי נאשם שהושתו עליו </w:t>
      </w:r>
    </w:p>
    <w:p>
      <w:pPr>
        <w:jc w:val="both"/>
        <w:bidi/>
        <w:spacing w:after="240"/>
      </w:pPr>
      <w:r>
        <w:rPr>
          <w:rFonts w:ascii="Times New Roman" w:hAnsi="Times New Roman" w:cs="Times New Roman"/>
          <w:sz w:val="24"/>
          <w:sz-cs w:val="24"/>
        </w:rPr>
        <w:t xml:space="preserve"/>
        <w:br w:type="page"/>
        <w:t xml:space="preserve">עונשים מספר יישא אותם במצטבר או בחופף. כל שסעיף </w:t>
      </w:r>
      <w:r>
        <w:rPr>
          <w:rFonts w:ascii="Times New Roman" w:hAnsi="Times New Roman" w:cs="Times New Roman"/>
          <w:sz w:val="24"/>
          <w:sz-cs w:val="24"/>
          <w:u w:val="single"/>
          <w:color w:val="0000FF"/>
        </w:rPr>
        <w:t xml:space="preserve"> HYPERLINK "http://www.nevo.co.il/law/70301/45" 45</w:t>
      </w:r>
      <w:r>
        <w:rPr>
          <w:rFonts w:ascii="Times New Roman" w:hAnsi="Times New Roman" w:cs="Times New Roman"/>
          <w:sz w:val="24"/>
          <w:sz-cs w:val="24"/>
        </w:rPr>
        <w:t xml:space="preserve"> קובע הוא שבאין קביעה מפורשת יישא הנאשם בעונשים בחופף. זהו אפוא כלל פרשני ניטרלי (ראו: </w:t>
      </w:r>
      <w:r>
        <w:rPr>
          <w:rFonts w:ascii="Times New Roman" w:hAnsi="Times New Roman" w:cs="Times New Roman"/>
          <w:sz w:val="22"/>
          <w:sz-cs w:val="22"/>
          <w:u w:val="single"/>
          <w:color w:val="0000FF"/>
        </w:rPr>
        <w:t xml:space="preserve">HYPERLINK "http://www.nevo.co.il/case/6070684"</w:t>
      </w:r>
      <w:r>
        <w:rPr>
          <w:rFonts w:ascii="Times New Roman" w:hAnsi="Times New Roman" w:cs="Times New Roman"/>
          <w:sz w:val="22"/>
          <w:sz-cs w:val="22"/>
          <w:u w:val="single"/>
          <w:color w:val="0000FF"/>
        </w:rPr>
        <w:t xml:space="preserve">ע"פ 6535/01</w:t>
      </w:r>
      <w:r>
        <w:rPr>
          <w:rFonts w:ascii="Times New Roman" w:hAnsi="Times New Roman" w:cs="Times New Roman"/>
          <w:sz w:val="22"/>
          <w:sz-cs w:val="22"/>
        </w:rPr>
        <w:t xml:space="preserve"> </w:t>
      </w:r>
      <w:r>
        <w:rPr>
          <w:rFonts w:ascii="Times New Roman" w:hAnsi="Times New Roman" w:cs="Times New Roman"/>
          <w:sz w:val="24"/>
          <w:sz-cs w:val="24"/>
        </w:rPr>
        <w:t xml:space="preserve">קוזירוב נ' מדינת ישראל [11], </w:t>
      </w:r>
      <w:r>
        <w:rPr>
          <w:rFonts w:ascii="Times New Roman" w:hAnsi="Times New Roman" w:cs="Times New Roman"/>
          <w:sz w:val="22"/>
          <w:sz-cs w:val="22"/>
        </w:rPr>
        <w:t xml:space="preserve">בעמ' 568</w:t>
      </w:r>
      <w:r>
        <w:rPr>
          <w:rFonts w:ascii="Times New Roman" w:hAnsi="Times New Roman" w:cs="Times New Roman"/>
          <w:sz w:val="24"/>
          <w:sz-cs w:val="24"/>
        </w:rPr>
        <w:t xml:space="preserve">; </w:t>
      </w:r>
      <w:r>
        <w:rPr>
          <w:rFonts w:ascii="Times New Roman" w:hAnsi="Times New Roman" w:cs="Times New Roman"/>
          <w:sz w:val="22"/>
          <w:sz-cs w:val="22"/>
          <w:u w:val="single"/>
          <w:color w:val="0000FF"/>
        </w:rPr>
        <w:t xml:space="preserve">HYPERLINK "http://www.nevo.co.il/case/5981628"</w:t>
      </w:r>
      <w:r>
        <w:rPr>
          <w:rFonts w:ascii="Times New Roman" w:hAnsi="Times New Roman" w:cs="Times New Roman"/>
          <w:sz w:val="22"/>
          <w:sz-cs w:val="22"/>
          <w:u w:val="single"/>
          <w:color w:val="0000FF"/>
        </w:rPr>
        <w:t xml:space="preserve">ע"פ 5023/99</w:t>
      </w:r>
      <w:r>
        <w:rPr>
          <w:rFonts w:ascii="Times New Roman" w:hAnsi="Times New Roman" w:cs="Times New Roman"/>
          <w:sz w:val="22"/>
          <w:sz-cs w:val="22"/>
        </w:rPr>
        <w:t xml:space="preserve"> חכמי נ' מדינת </w:t>
      </w:r>
      <w:r>
        <w:rPr>
          <w:rFonts w:ascii="Times New Roman" w:hAnsi="Times New Roman" w:cs="Times New Roman"/>
          <w:sz w:val="24"/>
          <w:sz-cs w:val="24"/>
        </w:rPr>
        <w:t xml:space="preserve">ישראל [12], </w:t>
      </w:r>
      <w:r>
        <w:rPr>
          <w:rFonts w:ascii="Times New Roman" w:hAnsi="Times New Roman" w:cs="Times New Roman"/>
          <w:sz w:val="22"/>
          <w:sz-cs w:val="22"/>
        </w:rPr>
        <w:t xml:space="preserve">בעמ' 418</w:t>
      </w:r>
      <w:r>
        <w:rPr>
          <w:rFonts w:ascii="Times New Roman" w:hAnsi="Times New Roman" w:cs="Times New Roman"/>
          <w:sz w:val="24"/>
          <w:sz-cs w:val="24"/>
        </w:rPr>
        <w:t xml:space="preserve">). כך או אחרת – וכפי שאבהיר בהמשך – לדעתי בעניין שלפנינו אין קיימת קביעה מפורשת אחרת, כלשונו של </w:t>
      </w:r>
      <w:r>
        <w:rPr>
          <w:rFonts w:ascii="Times New Roman" w:hAnsi="Times New Roman" w:cs="Times New Roman"/>
          <w:sz w:val="24"/>
          <w:sz-cs w:val="24"/>
          <w:u w:val="single"/>
          <w:color w:val="0000FF"/>
        </w:rPr>
        <w:t xml:space="preserve"> HYPERLINK "http://www.nevo.co.il/law/70301/45" סעיף 45</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יש להדגיש כי במקרה של עונש מסוג מאסר על</w:t>
      </w:r>
      <w:r>
        <w:rPr>
          <w:rFonts w:ascii="Arial" w:hAnsi="Arial" w:cs="Arial"/>
          <w:sz w:val="24"/>
          <w:sz-cs w:val="24"/>
          <w:b/>
          <w:position w:val="4"/>
        </w:rPr>
        <w:t xml:space="preserve">-</w:t>
      </w:r>
      <w:r>
        <w:rPr>
          <w:rFonts w:ascii="Times New Roman" w:hAnsi="Times New Roman" w:cs="Times New Roman"/>
          <w:sz w:val="24"/>
          <w:sz-cs w:val="24"/>
        </w:rPr>
        <w:t xml:space="preserve">תנאי נקבע סייג לכלל הקבוע </w:t>
      </w:r>
      <w:r>
        <w:rPr>
          <w:rFonts w:ascii="Times New Roman" w:hAnsi="Times New Roman" w:cs="Times New Roman"/>
          <w:sz w:val="24"/>
          <w:sz-cs w:val="24"/>
          <w:u w:val="single"/>
          <w:color w:val="0000FF"/>
        </w:rPr>
        <w:t xml:space="preserve"> HYPERLINK "http://www.nevo.co.il/law/70301/45" בסעיף 45</w:t>
      </w:r>
      <w:r>
        <w:rPr>
          <w:rFonts w:ascii="Times New Roman" w:hAnsi="Times New Roman" w:cs="Times New Roman"/>
          <w:sz w:val="24"/>
          <w:sz-cs w:val="24"/>
        </w:rPr>
        <w:t xml:space="preserve">, שאז קובע </w:t>
      </w:r>
      <w:r>
        <w:rPr>
          <w:rFonts w:ascii="Times New Roman" w:hAnsi="Times New Roman" w:cs="Times New Roman"/>
          <w:sz w:val="24"/>
          <w:sz-cs w:val="24"/>
          <w:u w:val="single"/>
          <w:color w:val="0000FF"/>
        </w:rPr>
        <w:t xml:space="preserve"> HYPERLINK "http://www.nevo.co.il/law/70301/58" סעיף 58</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ברירת מחדל הפוכה, ולפיה:</w:t>
      </w:r>
    </w:p>
    <w:p>
      <w:pPr>
        <w:jc w:val="both"/>
        <w:bidi/>
        <w:spacing w:before="40"/>
      </w:pPr>
      <w:r>
        <w:rPr>
          <w:rFonts w:ascii="Times New Roman" w:hAnsi="Times New Roman" w:cs="Times New Roman"/>
          <w:sz w:val="22"/>
          <w:sz-cs w:val="22"/>
        </w:rPr>
        <w:t xml:space="preserve">"</w:t>
      </w:r>
      <w:r>
        <w:rPr>
          <w:rFonts w:ascii="Times New Roman" w:hAnsi="Times New Roman" w:cs="Times New Roman"/>
          <w:sz w:val="18"/>
          <w:sz-cs w:val="18"/>
        </w:rPr>
        <w:t xml:space="preserve">תקופות מאסר   בזו אחר זו</w:t>
      </w:r>
    </w:p>
    <w:p>
      <w:pPr>
        <w:jc w:val="both"/>
        <w:bidi/>
        <w:ind w:left="459" w:right="459" w:first-line="-459"/>
        <w:spacing w:after="240"/>
      </w:pPr>
      <w:r>
        <w:rPr>
          <w:rFonts w:ascii="Times New Roman" w:hAnsi="Times New Roman" w:cs="Times New Roman"/>
          <w:sz w:val="24"/>
          <w:sz-cs w:val="24"/>
        </w:rPr>
        <w:t xml:space="preserve">58.   מי שהוטל עליו עונש מאסר בשל עבירה נוספת והופעל נגדו עונש המאסר על תנאי, ישא, על אף האמור בסעיף 45, את שתי תקופות המאסר בזו אחר זו, זולת אם בית המשפט שהרשיעו בשל העבירה הנוספת ציווה, מטעמים שיירשמו, ששתי התקופות כולן או מקצתן יהיו חופפות".</w:t>
      </w:r>
    </w:p>
    <w:p>
      <w:pPr>
        <w:jc w:val="both"/>
        <w:bidi/>
        <w:spacing w:after="240"/>
      </w:pPr>
      <w:r>
        <w:rPr>
          <w:rFonts w:ascii="Times New Roman" w:hAnsi="Times New Roman" w:cs="Times New Roman"/>
          <w:sz w:val="24"/>
          <w:sz-cs w:val="24"/>
        </w:rPr>
        <w:t xml:space="preserve">הנה</w:t>
      </w:r>
      <w:r>
        <w:rPr>
          <w:rFonts w:ascii="Arial" w:hAnsi="Arial" w:cs="Arial"/>
          <w:sz w:val="24"/>
          <w:sz-cs w:val="24"/>
          <w:b/>
          <w:position w:val="4"/>
        </w:rPr>
        <w:t xml:space="preserve">-</w:t>
      </w:r>
      <w:r>
        <w:rPr>
          <w:rFonts w:ascii="Times New Roman" w:hAnsi="Times New Roman" w:cs="Times New Roman"/>
          <w:sz w:val="24"/>
          <w:sz-cs w:val="24"/>
        </w:rPr>
        <w:t xml:space="preserve">כי</w:t>
      </w:r>
      <w:r>
        <w:rPr>
          <w:rFonts w:ascii="Arial" w:hAnsi="Arial" w:cs="Arial"/>
          <w:sz w:val="24"/>
          <w:sz-cs w:val="24"/>
          <w:b/>
          <w:position w:val="4"/>
        </w:rPr>
        <w:t xml:space="preserve">-</w:t>
      </w:r>
      <w:r>
        <w:rPr>
          <w:rFonts w:ascii="Times New Roman" w:hAnsi="Times New Roman" w:cs="Times New Roman"/>
          <w:sz w:val="24"/>
          <w:sz-cs w:val="24"/>
        </w:rPr>
        <w:t xml:space="preserve">כן, לאור ההוראה הקבועה </w:t>
      </w:r>
      <w:r>
        <w:rPr>
          <w:rFonts w:ascii="Times New Roman" w:hAnsi="Times New Roman" w:cs="Times New Roman"/>
          <w:sz w:val="24"/>
          <w:sz-cs w:val="24"/>
          <w:u w:val="single"/>
          <w:color w:val="0000FF"/>
        </w:rPr>
        <w:t xml:space="preserve"> HYPERLINK "http://www.nevo.co.il/law/70301/58" בסעיף 58</w:t>
      </w:r>
      <w:r>
        <w:rPr>
          <w:rFonts w:ascii="Times New Roman" w:hAnsi="Times New Roman" w:cs="Times New Roman"/>
          <w:sz w:val="24"/>
          <w:sz-cs w:val="24"/>
        </w:rPr>
        <w:t xml:space="preserve"> ברור כי היחס בין עונש המאסר בפועל בגין ההליך הנוכחי לבין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שנגזר בהליך הקודם, ושהומר עתה למאסר בפועל, הוא יחס של "הצטברות עונשים". יש להדגיש, ענישה מצטברת היא ענישה המדגישה מדיניות הרתעתית (ראו מאמרה של ר' </w:t>
      </w:r>
      <w:r>
        <w:rPr>
          <w:rFonts w:ascii="Times New Roman" w:hAnsi="Times New Roman" w:cs="Times New Roman"/>
          <w:sz w:val="24"/>
          <w:sz-cs w:val="24"/>
          <w:u w:val="single"/>
          <w:color w:val="0000FF"/>
        </w:rPr>
        <w:t xml:space="preserve"> HYPERLINK "http://www.nevo.co.il/safrut/book/5507" </w:t>
      </w:r>
      <w:r>
        <w:rPr>
          <w:rFonts w:ascii="Times New Roman" w:hAnsi="Times New Roman" w:cs="Times New Roman"/>
          <w:sz w:val="24"/>
          <w:sz-cs w:val="24"/>
          <w:u w:val="single"/>
          <w:color w:val="0000FF"/>
        </w:rPr>
        <w:t xml:space="preserve">קנאי "הנחיות לקביעת גזר-הדין בפסיקת </w:t>
      </w:r>
      <w:r>
        <w:rPr>
          <w:rFonts w:ascii="Times New Roman" w:hAnsi="Times New Roman" w:cs="Times New Roman"/>
          <w:sz w:val="24"/>
          <w:sz-cs w:val="24"/>
        </w:rPr>
        <w:t xml:space="preserve"> בית</w:t>
      </w:r>
      <w:r>
        <w:rPr>
          <w:rFonts w:ascii="Arial" w:hAnsi="Arial" w:cs="Arial"/>
          <w:sz w:val="24"/>
          <w:sz-cs w:val="24"/>
          <w:b/>
          <w:position w:val="4"/>
        </w:rPr>
        <w:t xml:space="preserve">-</w:t>
      </w:r>
      <w:r>
        <w:rPr>
          <w:rFonts w:ascii="Times New Roman" w:hAnsi="Times New Roman" w:cs="Times New Roman"/>
          <w:sz w:val="24"/>
          <w:sz-cs w:val="24"/>
        </w:rPr>
        <w:t xml:space="preserve">המשפט העליון" [24], </w:t>
      </w:r>
      <w:r>
        <w:rPr>
          <w:rFonts w:ascii="Times New Roman" w:hAnsi="Times New Roman" w:cs="Times New Roman"/>
          <w:sz w:val="22"/>
          <w:sz-cs w:val="22"/>
        </w:rPr>
        <w:t xml:space="preserve">בעמ' 127</w:t>
      </w:r>
      <w:r>
        <w:rPr>
          <w:rFonts w:ascii="Times New Roman" w:hAnsi="Times New Roman" w:cs="Times New Roman"/>
          <w:sz w:val="24"/>
          <w:sz-cs w:val="24"/>
        </w:rPr>
        <w:t xml:space="preserve">), ומדיניות זו הולמת מקרה של עבריין מועד ששב ומבצע עבירות שבגינן כבר הורשע בעבר.</w:t>
      </w:r>
    </w:p>
    <w:p>
      <w:pPr>
        <w:jc w:val="both"/>
        <w:bidi/>
        <w:spacing w:after="240"/>
      </w:pPr>
      <w:r>
        <w:rPr>
          <w:rFonts w:ascii="Times New Roman" w:hAnsi="Times New Roman" w:cs="Times New Roman"/>
          <w:sz w:val="24"/>
          <w:sz-cs w:val="24"/>
        </w:rPr>
        <w:t xml:space="preserve">עם זאת </w:t>
      </w:r>
      <w:r>
        <w:rPr>
          <w:rFonts w:ascii="Times New Roman" w:hAnsi="Times New Roman" w:cs="Times New Roman"/>
          <w:sz w:val="24"/>
          <w:sz-cs w:val="24"/>
          <w:u w:val="single"/>
          <w:color w:val="0000FF"/>
        </w:rPr>
        <w:t xml:space="preserve"> HYPERLINK "http://www.nevo.co.il/law/70301/58" סעיף 58</w:t>
      </w:r>
      <w:r>
        <w:rPr>
          <w:rFonts w:ascii="Times New Roman" w:hAnsi="Times New Roman" w:cs="Times New Roman"/>
          <w:sz w:val="24"/>
          <w:sz-cs w:val="24"/>
        </w:rPr>
        <w:t xml:space="preserve"> אינו מעניק לנו פתרון באשר לשאלת היחס בין שני המאסרים המותנים, אשר הפכו לבני הפעלה לנוכח הפרת ה"תנאים" שנקבעו להם. השאלה היא אפוא אם מאסרים אלה, האחד בן 12 החודשים, והאחר בן 18 החודשים, יחפפו זה את זה כך שתקופת המאסר הארוכה מבין השתיים תבלע את הקצרה, כהוראתו של </w:t>
      </w:r>
      <w:r>
        <w:rPr>
          <w:rFonts w:ascii="Times New Roman" w:hAnsi="Times New Roman" w:cs="Times New Roman"/>
          <w:sz w:val="24"/>
          <w:sz-cs w:val="24"/>
          <w:u w:val="single"/>
          <w:color w:val="0000FF"/>
        </w:rPr>
        <w:t xml:space="preserve"> HYPERLINK "http://www.nevo.co.il/law/70301/ 45.c" סעיף 45(ג)</w:t>
      </w:r>
      <w:r>
        <w:rPr>
          <w:rFonts w:ascii="Times New Roman" w:hAnsi="Times New Roman" w:cs="Times New Roman"/>
          <w:sz w:val="24"/>
          <w:sz-cs w:val="24"/>
        </w:rPr>
        <w:t xml:space="preserve">, או שמא תקופות המאסר יצטברו זו לזו ויתווספו למאסר בשל ההליך הנוכחי, כבקשת המשיבה. פתרון לשאלה זו שומה עלינו לחפש בגדרו של </w:t>
      </w:r>
      <w:r>
        <w:rPr>
          <w:rFonts w:ascii="Times New Roman" w:hAnsi="Times New Roman" w:cs="Times New Roman"/>
          <w:sz w:val="24"/>
          <w:sz-cs w:val="24"/>
          <w:u w:val="single"/>
          <w:color w:val="0000FF"/>
        </w:rPr>
        <w:t xml:space="preserve"> HYPERLINK "http://www.nevo.co.il/law/70301/45" סעיף 45</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כאמור, סעיף זה קובע כלל של ברירת מחדל, ולפיו בהיעדר קביעה מפורשת אחרת יישא הנאשם את העונשים שהוטלו עליו בחופף. עיון בגזר</w:t>
      </w:r>
      <w:r>
        <w:rPr>
          <w:rFonts w:ascii="Arial" w:hAnsi="Arial" w:cs="Arial"/>
          <w:sz w:val="24"/>
          <w:sz-cs w:val="24"/>
          <w:b/>
          <w:position w:val="4"/>
        </w:rPr>
        <w:t xml:space="preserve">-</w:t>
      </w:r>
      <w:r>
        <w:rPr>
          <w:rFonts w:ascii="Times New Roman" w:hAnsi="Times New Roman" w:cs="Times New Roman"/>
          <w:sz w:val="24"/>
          <w:sz-cs w:val="24"/>
        </w:rPr>
        <w:t xml:space="preserve">דינו של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בהליך הראשון מעלה כי אין קיימת בו "קביעה מפורשת" שלפיה העונשים המותנים יופעלו במצטבר זה לזה, וכי כוונתו הייתה להרתיע את המערער מפני ההתנהגות שבעטייה הוא הועמד לדין באותו הליך, קרי זו המשלבת בתוכה נשיאת </w:t>
      </w:r>
    </w:p>
    <w:p>
      <w:pPr>
        <w:jc w:val="both"/>
        <w:bidi/>
        <w:spacing w:after="240"/>
      </w:pPr>
      <w:r>
        <w:rPr>
          <w:rFonts w:ascii="Times New Roman" w:hAnsi="Times New Roman" w:cs="Times New Roman"/>
          <w:sz w:val="24"/>
          <w:sz-cs w:val="24"/>
        </w:rPr>
        <w:t xml:space="preserve"/>
        <w:br w:type="page"/>
        <w:t xml:space="preserve">נשק ללא היתר וירי ממנו לעבר אדם. אך גם אם תאמר כי לא זו הייתה כוונתו של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דעתי היא כי חפיפתם של המאסרים היא הפתרון ההולם את נסיבותיו של המקרה הנוכחי.  </w:t>
      </w:r>
    </w:p>
    <w:p>
      <w:pPr>
        <w:jc w:val="both"/>
        <w:bidi/>
        <w:spacing w:after="240"/>
      </w:pPr>
      <w:r>
        <w:rPr>
          <w:rFonts w:ascii="Times New Roman" w:hAnsi="Times New Roman" w:cs="Times New Roman"/>
          <w:sz w:val="24"/>
          <w:sz-cs w:val="24"/>
        </w:rPr>
        <w:t xml:space="preserve">אכן, צבירתם של עונשים מספר תתאים בעיקר לסיטואציה שבה אין כל זיקה בין כמה עבירות, או כאשר חומרתן המופלגת של העבירות מחייבת כי העונשים ירוצו במצטבר. אולם מקום שבו יש לראות בכמה עבירות כמשתייכות למסכת עבריינית אחת, כי אז הכלל הוא כי העונשים בגינן יחפפו זה את זה (ראו </w:t>
      </w:r>
      <w:r>
        <w:rPr>
          <w:rFonts w:ascii="Times New Roman" w:hAnsi="Times New Roman" w:cs="Times New Roman"/>
          <w:sz w:val="22"/>
          <w:sz-cs w:val="22"/>
          <w:u w:val="single"/>
          <w:color w:val="0000FF"/>
        </w:rPr>
        <w:t xml:space="preserve">HYPERLINK "http://www.nevo.co.il/case/16998969"</w:t>
      </w:r>
      <w:r>
        <w:rPr>
          <w:rFonts w:ascii="Times New Roman" w:hAnsi="Times New Roman" w:cs="Times New Roman"/>
          <w:sz w:val="22"/>
          <w:sz-cs w:val="22"/>
          <w:u w:val="single"/>
          <w:color w:val="0000FF"/>
        </w:rPr>
        <w:t xml:space="preserve">ע"פ 269/78</w:t>
      </w:r>
      <w:r>
        <w:rPr>
          <w:rFonts w:ascii="Times New Roman" w:hAnsi="Times New Roman" w:cs="Times New Roman"/>
          <w:sz w:val="22"/>
          <w:sz-cs w:val="22"/>
        </w:rPr>
        <w:t xml:space="preserve"> חליוואה נ' מדינת ישראל [13]</w:t>
      </w:r>
      <w:r>
        <w:rPr>
          <w:rFonts w:ascii="Times New Roman" w:hAnsi="Times New Roman" w:cs="Times New Roman"/>
          <w:sz w:val="24"/>
          <w:sz-cs w:val="24"/>
        </w:rPr>
        <w:t xml:space="preserve">, </w:t>
      </w:r>
      <w:r>
        <w:rPr>
          <w:rFonts w:ascii="Times New Roman" w:hAnsi="Times New Roman" w:cs="Times New Roman"/>
          <w:sz w:val="22"/>
          <w:sz-cs w:val="22"/>
        </w:rPr>
        <w:t xml:space="preserve">בעמ' 402-401</w:t>
      </w:r>
      <w:r>
        <w:rPr>
          <w:rFonts w:ascii="Times New Roman" w:hAnsi="Times New Roman" w:cs="Times New Roman"/>
          <w:sz w:val="24"/>
          <w:sz-cs w:val="24"/>
        </w:rPr>
        <w:t xml:space="preserve">). כזה הוא המקרה שבפנינו, שבו לעבירה בדבר נשיאתו של הנשק ללא היתר זיקה של ממש לביצועה של העבירה האחרת שבה הורשע המערער שעה שניסה לפגוע מאותו נשק בחוסאם. </w:t>
      </w:r>
    </w:p>
    <w:p>
      <w:pPr>
        <w:jc w:val="both"/>
        <w:bidi/>
        <w:spacing w:after="240"/>
      </w:pPr>
      <w:r>
        <w:rPr>
          <w:rFonts w:ascii="Times New Roman" w:hAnsi="Times New Roman" w:cs="Times New Roman"/>
          <w:sz w:val="24"/>
          <w:sz-cs w:val="24"/>
        </w:rPr>
        <w:t xml:space="preserve">15.</w:t>
        <w:tab/>
        <w:t xml:space="preserve">באשר לטענותיו של בא</w:t>
      </w:r>
      <w:r>
        <w:rPr>
          <w:rFonts w:ascii="Arial" w:hAnsi="Arial" w:cs="Arial"/>
          <w:sz w:val="24"/>
          <w:sz-cs w:val="24"/>
          <w:b/>
          <w:position w:val="4"/>
        </w:rPr>
        <w:t xml:space="preserve">-</w:t>
      </w:r>
      <w:r>
        <w:rPr>
          <w:rFonts w:ascii="Times New Roman" w:hAnsi="Times New Roman" w:cs="Times New Roman"/>
          <w:sz w:val="24"/>
          <w:sz-cs w:val="24"/>
        </w:rPr>
        <w:t xml:space="preserve">כוח המערער כנגד חומרת העונש לא מצאתי באלו ממש. בית</w:t>
      </w:r>
      <w:r>
        <w:rPr>
          <w:rFonts w:ascii="Arial" w:hAnsi="Arial" w:cs="Arial"/>
          <w:sz w:val="24"/>
          <w:sz-cs w:val="24"/>
          <w:b/>
          <w:position w:val="4"/>
        </w:rPr>
        <w:t xml:space="preserve">-</w:t>
      </w:r>
      <w:r>
        <w:rPr>
          <w:rFonts w:ascii="Times New Roman" w:hAnsi="Times New Roman" w:cs="Times New Roman"/>
          <w:sz w:val="24"/>
          <w:sz-cs w:val="24"/>
        </w:rPr>
        <w:t xml:space="preserve">משפט קמא נתן את דעתו על נסיבותיו האישיות של המערער, כמו גם על נסיבותיהן החמורות של העבירות שבהן חטא, ובמרכזן העובדה כי זו הפעם השנייה שבה המערער מעורב בהתנהגות עבריינית מאותו סוג ממש. לעניין זה מקובלת עליי השקפתו של השופט המלומד של בית</w:t>
      </w:r>
      <w:r>
        <w:rPr>
          <w:rFonts w:ascii="Arial" w:hAnsi="Arial" w:cs="Arial"/>
          <w:sz w:val="24"/>
          <w:sz-cs w:val="24"/>
          <w:b/>
          <w:position w:val="4"/>
        </w:rPr>
        <w:t xml:space="preserve">-</w:t>
      </w:r>
      <w:r>
        <w:rPr>
          <w:rFonts w:ascii="Times New Roman" w:hAnsi="Times New Roman" w:cs="Times New Roman"/>
          <w:sz w:val="24"/>
          <w:sz-cs w:val="24"/>
        </w:rPr>
        <w:t xml:space="preserve">משפט קמא (ראו עמ' 127 לפרוטוקול) כי "עבירות הכרוכות בשימוש בנשק, הן מטבע ברייתן חמורות ביותר, בשל הסיכון הגלום בהן לשלום הציבור ובטחונו. זאת, בין אם מדובר בנשק המשמש עבריינים פליליים ובין אם במסגרת עבריינות על רקע בטחוני. בשל כך, נקבעה רמת ענישה גבוהה במיוחד כאשר עסקינן בעבירות של החזקת כלי ירייה, שימוש בנשק שלא כדין, ובעיקר כאשר מדובר בירי לעבר אדם מתוך כוונה לפגוע בו. על אחת כמה וכמה חמורים הם פני הדברים, כאשר מדובר במי שהורשע בעבר בעבירה דומה, אשר הסתיימה בפציעתו של אדם". ובהמשך: "העובדה כי הפעלת הנשק נעשתה בתגובה לירי שהופנה כלפי הנאשם ובני משפחתו, אין בה כדי להקהות את מידת חומרתה של העבירה".</w:t>
      </w:r>
    </w:p>
    <w:p>
      <w:pPr>
        <w:jc w:val="both"/>
        <w:bidi/>
        <w:spacing w:after="240"/>
      </w:pPr>
      <w:r>
        <w:rPr>
          <w:rFonts w:ascii="Times New Roman" w:hAnsi="Times New Roman" w:cs="Times New Roman"/>
          <w:sz w:val="24"/>
          <w:sz-cs w:val="24"/>
        </w:rPr>
        <w:t xml:space="preserve"/>
        <w:br w:type="page"/>
        <w:t xml:space="preserve">16.</w:t>
        <w:tab/>
        <w:t xml:space="preserve">התוצאה היא אפוא כי ערעורו של המערער (</w:t>
      </w:r>
      <w:r>
        <w:rPr>
          <w:rFonts w:ascii="Times New Roman" w:hAnsi="Times New Roman" w:cs="Times New Roman"/>
          <w:sz w:val="24"/>
          <w:sz-cs w:val="24"/>
          <w:u w:val="single"/>
          <w:color w:val="0000FF"/>
        </w:rPr>
        <w:t xml:space="preserve">HYPERLINK "http://www.nevo.co.il/case/5962012"ע"פ 4517/04</w:t>
      </w:r>
      <w:r>
        <w:rPr>
          <w:rFonts w:ascii="Times New Roman" w:hAnsi="Times New Roman" w:cs="Times New Roman"/>
          <w:sz w:val="24"/>
          <w:sz-cs w:val="24"/>
        </w:rPr>
        <w:t xml:space="preserve">) נדחה, ומתקבל ערעור המדינה (</w:t>
      </w:r>
      <w:r>
        <w:rPr>
          <w:rFonts w:ascii="Times New Roman" w:hAnsi="Times New Roman" w:cs="Times New Roman"/>
          <w:sz w:val="24"/>
          <w:sz-cs w:val="24"/>
          <w:u w:val="single"/>
          <w:color w:val="0000FF"/>
        </w:rPr>
        <w:t xml:space="preserve">HYPERLINK "http://www.nevo.co.il/case/5962013"ע"פ 4571/04</w:t>
      </w:r>
      <w:r>
        <w:rPr>
          <w:rFonts w:ascii="Times New Roman" w:hAnsi="Times New Roman" w:cs="Times New Roman"/>
          <w:sz w:val="24"/>
          <w:sz-cs w:val="24"/>
        </w:rPr>
        <w:t xml:space="preserve">). אנו מורים על הפעלתו של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בן 18 החודשים שנגזר למערער ב</w:t>
      </w:r>
      <w:r>
        <w:rPr>
          <w:rFonts w:ascii="Times New Roman" w:hAnsi="Times New Roman" w:cs="Times New Roman"/>
          <w:sz w:val="24"/>
          <w:sz-cs w:val="24"/>
          <w:u w:val="single"/>
          <w:color w:val="0000FF"/>
        </w:rPr>
        <w:t xml:space="preserve"> HYPERLINK "http://www.nevo.co.il/links/psika/?link=תפ 40409/99" ת"פ 40409/99</w:t>
      </w:r>
      <w:r>
        <w:rPr>
          <w:rFonts w:ascii="Times New Roman" w:hAnsi="Times New Roman" w:cs="Times New Roman"/>
          <w:sz w:val="24"/>
          <w:sz-cs w:val="24"/>
        </w:rPr>
        <w:t xml:space="preserve"> של 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בתל</w:t>
      </w:r>
      <w:r>
        <w:rPr>
          <w:rFonts w:ascii="Arial" w:hAnsi="Arial" w:cs="Arial"/>
          <w:sz w:val="24"/>
          <w:sz-cs w:val="24"/>
          <w:b/>
          <w:position w:val="4"/>
        </w:rPr>
        <w:t xml:space="preserve">-</w:t>
      </w:r>
      <w:r>
        <w:rPr>
          <w:rFonts w:ascii="Times New Roman" w:hAnsi="Times New Roman" w:cs="Times New Roman"/>
          <w:sz w:val="24"/>
          <w:sz-cs w:val="24"/>
        </w:rPr>
        <w:t xml:space="preserve">אביב</w:t>
      </w:r>
      <w:r>
        <w:rPr>
          <w:rFonts w:ascii="Arial" w:hAnsi="Arial" w:cs="Arial"/>
          <w:sz w:val="24"/>
          <w:sz-cs w:val="24"/>
          <w:b/>
          <w:position w:val="4"/>
        </w:rPr>
        <w:t xml:space="preserve">-</w:t>
      </w:r>
      <w:r>
        <w:rPr>
          <w:rFonts w:ascii="Times New Roman" w:hAnsi="Times New Roman" w:cs="Times New Roman"/>
          <w:sz w:val="24"/>
          <w:sz-cs w:val="24"/>
        </w:rPr>
        <w:t xml:space="preserve">יפו, נוסף על עונש המאסר על</w:t>
      </w:r>
      <w:r>
        <w:rPr>
          <w:rFonts w:ascii="Arial" w:hAnsi="Arial" w:cs="Arial"/>
          <w:sz w:val="24"/>
          <w:sz-cs w:val="24"/>
          <w:b/>
          <w:position w:val="4"/>
        </w:rPr>
        <w:t xml:space="preserve">-</w:t>
      </w:r>
      <w:r>
        <w:rPr>
          <w:rFonts w:ascii="Times New Roman" w:hAnsi="Times New Roman" w:cs="Times New Roman"/>
          <w:sz w:val="24"/>
          <w:sz-cs w:val="24"/>
        </w:rPr>
        <w:t xml:space="preserve">תנאי בן 12 החודשים אשר הופעל על</w:t>
      </w:r>
      <w:r>
        <w:rPr>
          <w:rFonts w:ascii="Arial" w:hAnsi="Arial" w:cs="Arial"/>
          <w:sz w:val="24"/>
          <w:sz-cs w:val="24"/>
          <w:b/>
          <w:position w:val="4"/>
        </w:rPr>
        <w:t xml:space="preserve">-</w:t>
      </w:r>
      <w:r>
        <w:rPr>
          <w:rFonts w:ascii="Times New Roman" w:hAnsi="Times New Roman" w:cs="Times New Roman"/>
          <w:sz w:val="24"/>
          <w:sz-cs w:val="24"/>
        </w:rPr>
        <w:t xml:space="preserve">ידי בית</w:t>
      </w:r>
      <w:r>
        <w:rPr>
          <w:rFonts w:ascii="Arial" w:hAnsi="Arial" w:cs="Arial"/>
          <w:sz w:val="24"/>
          <w:sz-cs w:val="24"/>
          <w:b/>
          <w:position w:val="4"/>
        </w:rPr>
        <w:t xml:space="preserve">-</w:t>
      </w:r>
      <w:r>
        <w:rPr>
          <w:rFonts w:ascii="Times New Roman" w:hAnsi="Times New Roman" w:cs="Times New Roman"/>
          <w:sz w:val="24"/>
          <w:sz-cs w:val="24"/>
        </w:rPr>
        <w:t xml:space="preserve">משפט קמא. במאסרים המותנים יישא המערער בחופף ביניהם, והם יצטברו לעונש שנגזר בתיק הנוכחי כך שהמערער יישא בתקופת מאסר כוללת של שש שנים וחצי.</w:t>
      </w:r>
    </w:p>
    <w:p>
      <w:pPr>
        <w:jc w:val="both"/>
        <w:bidi/>
        <w:spacing w:before="240"/>
      </w:pPr>
      <w:r>
        <w:rPr>
          <w:rFonts w:ascii="Arial" w:hAnsi="Arial" w:cs="Arial"/>
          <w:sz w:val="24"/>
          <w:sz-cs w:val="24"/>
        </w:rPr>
        <w:t xml:space="preserve"/>
        <w:br w:type="page"/>
        <w:t xml:space="preserve">השופט י' עדיאל</w:t>
      </w:r>
    </w:p>
    <w:p>
      <w:pPr>
        <w:jc w:val="both"/>
        <w:bidi/>
        <w:spacing w:after="240"/>
      </w:pPr>
      <w:r>
        <w:rPr>
          <w:rFonts w:ascii="Times New Roman" w:hAnsi="Times New Roman" w:cs="Times New Roman"/>
          <w:sz w:val="24"/>
          <w:sz-cs w:val="24"/>
        </w:rPr>
        <w:t xml:space="preserve">1.</w:t>
        <w:tab/>
        <w:t xml:space="preserve">אני מסכים לתוצאה העולה מחוות</w:t>
      </w:r>
      <w:r>
        <w:rPr>
          <w:rFonts w:ascii="Arial" w:hAnsi="Arial" w:cs="Arial"/>
          <w:sz w:val="24"/>
          <w:sz-cs w:val="24"/>
          <w:b/>
          <w:position w:val="4"/>
        </w:rPr>
        <w:t xml:space="preserve">-</w:t>
      </w:r>
      <w:r>
        <w:rPr>
          <w:rFonts w:ascii="Times New Roman" w:hAnsi="Times New Roman" w:cs="Times New Roman"/>
          <w:sz w:val="24"/>
          <w:sz-cs w:val="24"/>
        </w:rPr>
        <w:t xml:space="preserve">הדעת של חברי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הטעמים לכך, לשיטתי, שונים בחלקם מאלו שנזכרו בחוות</w:t>
      </w:r>
      <w:r>
        <w:rPr>
          <w:rFonts w:ascii="Arial" w:hAnsi="Arial" w:cs="Arial"/>
          <w:sz w:val="24"/>
          <w:sz-cs w:val="24"/>
          <w:b/>
          <w:position w:val="4"/>
        </w:rPr>
        <w:t xml:space="preserve">-</w:t>
      </w:r>
      <w:r>
        <w:rPr>
          <w:rFonts w:ascii="Times New Roman" w:hAnsi="Times New Roman" w:cs="Times New Roman"/>
          <w:sz w:val="24"/>
          <w:sz-cs w:val="24"/>
        </w:rPr>
        <w:t xml:space="preserve">הדעת של חברי, ואתייחס אליהם בקצרה. </w:t>
      </w:r>
    </w:p>
    <w:p>
      <w:pPr>
        <w:jc w:val="both"/>
        <w:bidi/>
        <w:spacing w:after="240"/>
      </w:pPr>
      <w:r>
        <w:rPr>
          <w:rFonts w:ascii="Times New Roman" w:hAnsi="Times New Roman" w:cs="Times New Roman"/>
          <w:sz w:val="24"/>
          <w:sz-cs w:val="24"/>
        </w:rPr>
        <w:t xml:space="preserve">2.</w:t>
        <w:tab/>
        <w:t xml:space="preserve"/>
      </w:r>
      <w:r>
        <w:rPr>
          <w:rFonts w:ascii="Times New Roman" w:hAnsi="Times New Roman" w:cs="Times New Roman"/>
          <w:sz w:val="24"/>
          <w:sz-cs w:val="24"/>
          <w:u w:val="single"/>
          <w:color w:val="0000FF"/>
        </w:rPr>
        <w:t xml:space="preserve"> HYPERLINK "http://www.nevo.co.il/law/70301/52.b.1" סעיף 52(ב)(1)</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(להלן – החוק או חוק העונשין) קובע כי "מי שנידון למאסר על תנאי לא ישא את ענשו אלא אם עבר – תוך תקופה שנקבעה בגזר דינו... אחת העבירות שנקבעו בגזר הדין והורשע בשל עבירה כזאת... תוך תקופת התנאי או לאחריה".</w:t>
      </w:r>
    </w:p>
    <w:p>
      <w:pPr>
        <w:jc w:val="both"/>
        <w:bidi/>
        <w:spacing w:after="240"/>
      </w:pPr>
      <w:r>
        <w:rPr>
          <w:rFonts w:ascii="Times New Roman" w:hAnsi="Times New Roman" w:cs="Times New Roman"/>
          <w:sz w:val="24"/>
          <w:sz-cs w:val="24"/>
        </w:rPr>
        <w:t xml:space="preserve">3.</w:t>
        <w:tab/>
        <w:t xml:space="preserve">חברי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מציע להפעיל את עונש המאסר שהותנה בביצוע ובהרשעה בעבירה לפי </w:t>
      </w:r>
      <w:r>
        <w:rPr>
          <w:rFonts w:ascii="Times New Roman" w:hAnsi="Times New Roman" w:cs="Times New Roman"/>
          <w:sz w:val="24"/>
          <w:sz-cs w:val="24"/>
          <w:u w:val="single"/>
          <w:color w:val="0000FF"/>
        </w:rPr>
        <w:t xml:space="preserve"> HYPERLINK "http://www.nevo.co.il/law/70301/dSjC" סימן ד' לפרק י'</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אף שהמערער לא הורשע בעבירה הנמנית על סימן זה, משום "שהמבחן להפעלת התנאי אינו מבחן טכני</w:t>
      </w:r>
      <w:r>
        <w:rPr>
          <w:rFonts w:ascii="Arial" w:hAnsi="Arial" w:cs="Arial"/>
          <w:sz w:val="24"/>
          <w:sz-cs w:val="24"/>
          <w:b/>
          <w:position w:val="4"/>
        </w:rPr>
        <w:t xml:space="preserve">-</w:t>
      </w:r>
      <w:r>
        <w:rPr>
          <w:rFonts w:ascii="Times New Roman" w:hAnsi="Times New Roman" w:cs="Times New Roman"/>
          <w:sz w:val="24"/>
          <w:sz-cs w:val="24"/>
        </w:rPr>
        <w:t xml:space="preserve">פורמלי אלא מבחן מהותי</w:t>
      </w:r>
      <w:r>
        <w:rPr>
          <w:rFonts w:ascii="Arial" w:hAnsi="Arial" w:cs="Arial"/>
          <w:sz w:val="24"/>
          <w:sz-cs w:val="24"/>
          <w:b/>
          <w:position w:val="4"/>
        </w:rPr>
        <w:t xml:space="preserve">-</w:t>
      </w:r>
      <w:r>
        <w:rPr>
          <w:rFonts w:ascii="Times New Roman" w:hAnsi="Times New Roman" w:cs="Times New Roman"/>
          <w:sz w:val="24"/>
          <w:sz-cs w:val="24"/>
        </w:rPr>
        <w:t xml:space="preserve">ענייני", ומשום שהתנהגותו הפלילית של המערער, שהתבטאה בניסיון לפגוע בחוסאם באמצעות ירי מאקדחו, מקיימת את יסודותיה של עבירת ה"חבלה בכוונה מחמירה", הקבועה </w:t>
      </w:r>
      <w:r>
        <w:rPr>
          <w:rFonts w:ascii="Times New Roman" w:hAnsi="Times New Roman" w:cs="Times New Roman"/>
          <w:sz w:val="24"/>
          <w:sz-cs w:val="24"/>
          <w:u w:val="single"/>
          <w:color w:val="0000FF"/>
        </w:rPr>
        <w:t xml:space="preserve"> HYPERLINK "http://www.nevo.co.il/law/70301/329.a.2" בסעיף 329(א)(2)</w:t>
      </w:r>
      <w:r>
        <w:rPr>
          <w:rFonts w:ascii="Times New Roman" w:hAnsi="Times New Roman" w:cs="Times New Roman"/>
          <w:sz w:val="24"/>
          <w:sz-cs w:val="24"/>
        </w:rPr>
        <w:t xml:space="preserve"> לחוק העונשין, הנמנית עם עבירות התנאי שנקבעו בגזר</w:t>
      </w:r>
      <w:r>
        <w:rPr>
          <w:rFonts w:ascii="Arial" w:hAnsi="Arial" w:cs="Arial"/>
          <w:sz w:val="24"/>
          <w:sz-cs w:val="24"/>
          <w:b/>
          <w:position w:val="4"/>
        </w:rPr>
        <w:t xml:space="preserve">-</w:t>
      </w:r>
      <w:r>
        <w:rPr>
          <w:rFonts w:ascii="Times New Roman" w:hAnsi="Times New Roman" w:cs="Times New Roman"/>
          <w:sz w:val="24"/>
          <w:sz-cs w:val="24"/>
        </w:rPr>
        <w:t xml:space="preserve">הדין הקודם. </w:t>
      </w:r>
    </w:p>
    <w:p>
      <w:pPr>
        <w:jc w:val="both"/>
        <w:bidi/>
        <w:spacing w:after="240"/>
      </w:pPr>
      <w:r>
        <w:rPr>
          <w:rFonts w:ascii="Times New Roman" w:hAnsi="Times New Roman" w:cs="Times New Roman"/>
          <w:sz w:val="24"/>
          <w:sz-cs w:val="24"/>
        </w:rPr>
        <w:t xml:space="preserve">4.</w:t>
        <w:tab/>
        <w:t xml:space="preserve">גם אם אניח, כפי שסובר חברי, שהתנהגותו של המערער אכן מקיימת את יסודותיה של העבירה לפי </w:t>
      </w:r>
      <w:r>
        <w:rPr>
          <w:rFonts w:ascii="Times New Roman" w:hAnsi="Times New Roman" w:cs="Times New Roman"/>
          <w:sz w:val="24"/>
          <w:sz-cs w:val="24"/>
          <w:u w:val="single"/>
          <w:color w:val="0000FF"/>
        </w:rPr>
        <w:t xml:space="preserve"> HYPERLINK "http://www.nevo.co.il/law/70301/329.a.2" סעיף 329(א)(2)</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ספק בעיניי אם ניתן להפעיל את התנאי משהמערער לא הורשע בעבירה זו. שהרי לפי לשונו של </w:t>
      </w:r>
      <w:r>
        <w:rPr>
          <w:rFonts w:ascii="Times New Roman" w:hAnsi="Times New Roman" w:cs="Times New Roman"/>
          <w:sz w:val="24"/>
          <w:sz-cs w:val="24"/>
          <w:u w:val="single"/>
          <w:color w:val="0000FF"/>
        </w:rPr>
        <w:t xml:space="preserve"> HYPERLINK "http://www.nevo.co.il/law/70301/52.b.1" סעיף 52(ב)(1)</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ביצוע עבירת התנאי הוא רק אחד מהתנאים להפעלת התנאי. תנאי נוסף הנדרש לצורך כך, במצטבר, הוא הרשעה. כלשון </w:t>
      </w:r>
      <w:r>
        <w:rPr>
          <w:rFonts w:ascii="Times New Roman" w:hAnsi="Times New Roman" w:cs="Times New Roman"/>
          <w:sz w:val="24"/>
          <w:sz-cs w:val="24"/>
          <w:u w:val="single"/>
          <w:color w:val="0000FF"/>
        </w:rPr>
        <w:t xml:space="preserve"> HYPERLINK "http://www.nevo.co.il/law/70301/52.b.1" סעיף 52(ב)(1)</w:t>
      </w:r>
      <w:r>
        <w:rPr>
          <w:rFonts w:ascii="Times New Roman" w:hAnsi="Times New Roman" w:cs="Times New Roman"/>
          <w:sz w:val="24"/>
          <w:sz-cs w:val="24"/>
        </w:rPr>
        <w:t xml:space="preserve">: "...והורשע בשל עבירה כזאת... תוך תקופת התנאי או לאחריה" (ההדגשה שלי – י' ע'). אמנם, אמירת אגב של </w:t>
      </w:r>
      <w:r>
        <w:rPr>
          <w:rFonts w:ascii="Times New Roman" w:hAnsi="Times New Roman" w:cs="Times New Roman"/>
          <w:sz w:val="22"/>
          <w:sz-cs w:val="22"/>
        </w:rPr>
        <w:t xml:space="preserve">השופט</w:t>
      </w:r>
      <w:r>
        <w:rPr>
          <w:rFonts w:ascii="Times New Roman" w:hAnsi="Times New Roman" w:cs="Times New Roman"/>
          <w:sz w:val="24"/>
          <w:sz-cs w:val="24"/>
        </w:rPr>
        <w:t xml:space="preserve"> (כתוארו אז) </w:t>
      </w:r>
      <w:r>
        <w:rPr>
          <w:rFonts w:ascii="Times New Roman" w:hAnsi="Times New Roman" w:cs="Times New Roman"/>
          <w:sz w:val="22"/>
          <w:sz-cs w:val="22"/>
        </w:rPr>
        <w:t xml:space="preserve">ברק</w:t>
      </w:r>
      <w:r>
        <w:rPr>
          <w:rFonts w:ascii="Times New Roman" w:hAnsi="Times New Roman" w:cs="Times New Roman"/>
          <w:sz w:val="24"/>
          <w:sz-cs w:val="24"/>
        </w:rPr>
        <w:t xml:space="preserve"> בפרשת </w:t>
      </w:r>
      <w:r>
        <w:rPr>
          <w:rFonts w:ascii="Times New Roman" w:hAnsi="Times New Roman" w:cs="Times New Roman"/>
          <w:sz w:val="28"/>
          <w:sz-cs w:val="28"/>
        </w:rPr>
        <w:t xml:space="preserve">מסילתי </w:t>
      </w:r>
      <w:r>
        <w:rPr>
          <w:rFonts w:ascii="Times New Roman" w:hAnsi="Times New Roman" w:cs="Times New Roman"/>
          <w:sz w:val="24"/>
          <w:sz-cs w:val="24"/>
        </w:rPr>
        <w:t xml:space="preserve">(</w:t>
      </w:r>
      <w:r>
        <w:rPr>
          <w:rFonts w:ascii="Times New Roman" w:hAnsi="Times New Roman" w:cs="Times New Roman"/>
          <w:sz w:val="22"/>
          <w:sz-cs w:val="22"/>
          <w:u w:val="single"/>
          <w:color w:val="0000FF"/>
        </w:rPr>
        <w:t xml:space="preserve">HYPERLINK "http://www.nevo.co.il/case/17942576"ע"פ 49/80</w:t>
      </w:r>
      <w:r>
        <w:rPr>
          <w:rFonts w:ascii="Times New Roman" w:hAnsi="Times New Roman" w:cs="Times New Roman"/>
          <w:sz w:val="24"/>
          <w:sz-cs w:val="24"/>
        </w:rPr>
        <w:t xml:space="preserve"> </w:t>
      </w:r>
      <w:r>
        <w:rPr>
          <w:rFonts w:ascii="Times New Roman" w:hAnsi="Times New Roman" w:cs="Times New Roman"/>
          <w:sz w:val="28"/>
          <w:sz-cs w:val="28"/>
        </w:rPr>
        <w:t xml:space="preserve">הנ"ל [3]</w:t>
      </w:r>
      <w:r>
        <w:rPr>
          <w:rFonts w:ascii="Times New Roman" w:hAnsi="Times New Roman" w:cs="Times New Roman"/>
          <w:sz w:val="22"/>
          <w:sz-cs w:val="22"/>
        </w:rPr>
        <w:t xml:space="preserve">)</w:t>
      </w:r>
      <w:r>
        <w:rPr>
          <w:rFonts w:ascii="Times New Roman" w:hAnsi="Times New Roman" w:cs="Times New Roman"/>
          <w:sz w:val="24"/>
          <w:sz-cs w:val="24"/>
        </w:rPr>
        <w:t xml:space="preserve">, </w:t>
      </w:r>
      <w:r>
        <w:rPr>
          <w:rFonts w:ascii="Times New Roman" w:hAnsi="Times New Roman" w:cs="Times New Roman"/>
          <w:sz w:val="22"/>
          <w:sz-cs w:val="22"/>
        </w:rPr>
        <w:t xml:space="preserve">בעמ' 811 מול אות השוליים ד</w:t>
      </w:r>
      <w:r>
        <w:rPr>
          <w:rFonts w:ascii="Times New Roman" w:hAnsi="Times New Roman" w:cs="Times New Roman"/>
          <w:sz w:val="24"/>
          <w:sz-cs w:val="24"/>
        </w:rPr>
        <w:t xml:space="preserve">)</w:t>
      </w:r>
      <w:r>
        <w:rPr>
          <w:rFonts w:ascii="Times New Roman" w:hAnsi="Times New Roman" w:cs="Times New Roman"/>
          <w:sz w:val="28"/>
          <w:sz-cs w:val="28"/>
        </w:rPr>
        <w:t xml:space="preserve"> </w:t>
      </w:r>
      <w:r>
        <w:rPr>
          <w:rFonts w:ascii="Times New Roman" w:hAnsi="Times New Roman" w:cs="Times New Roman"/>
          <w:sz w:val="24"/>
          <w:sz-cs w:val="24"/>
        </w:rPr>
        <w:t xml:space="preserve">עשויה להתפרש כתומכת בגישתו של חברי, אולם דברים אלו של </w:t>
      </w:r>
      <w:r>
        <w:rPr>
          <w:rFonts w:ascii="Times New Roman" w:hAnsi="Times New Roman" w:cs="Times New Roman"/>
          <w:sz w:val="22"/>
          <w:sz-cs w:val="22"/>
        </w:rPr>
        <w:t xml:space="preserve">השופט ברק</w:t>
      </w:r>
      <w:r>
        <w:rPr>
          <w:rFonts w:ascii="Times New Roman" w:hAnsi="Times New Roman" w:cs="Times New Roman"/>
          <w:sz w:val="24"/>
          <w:sz-cs w:val="24"/>
        </w:rPr>
        <w:t xml:space="preserve"> פורשו בפסיקה גם בצורה שונה. כך ציינה </w:t>
      </w:r>
      <w:r>
        <w:rPr>
          <w:rFonts w:ascii="Times New Roman" w:hAnsi="Times New Roman" w:cs="Times New Roman"/>
          <w:sz w:val="22"/>
          <w:sz-cs w:val="22"/>
        </w:rPr>
        <w:t xml:space="preserve">השופטת בן</w:t>
      </w:r>
      <w:r>
        <w:rPr>
          <w:rFonts w:ascii="Times New Roman" w:hAnsi="Times New Roman" w:cs="Times New Roman"/>
          <w:sz w:val="22"/>
          <w:sz-cs w:val="22"/>
          <w:position w:val="4"/>
        </w:rPr>
        <w:t xml:space="preserve">-</w:t>
      </w:r>
      <w:r>
        <w:rPr>
          <w:rFonts w:ascii="Times New Roman" w:hAnsi="Times New Roman" w:cs="Times New Roman"/>
          <w:sz w:val="22"/>
          <w:sz-cs w:val="22"/>
        </w:rPr>
        <w:t xml:space="preserve">פורת</w:t>
      </w:r>
      <w:r>
        <w:rPr>
          <w:rFonts w:ascii="Times New Roman" w:hAnsi="Times New Roman" w:cs="Times New Roman"/>
          <w:sz w:val="24"/>
          <w:sz-cs w:val="24"/>
        </w:rPr>
        <w:t xml:space="preserve"> בהתייחסה לדבריו האמורים של </w:t>
      </w:r>
      <w:r>
        <w:rPr>
          <w:rFonts w:ascii="Times New Roman" w:hAnsi="Times New Roman" w:cs="Times New Roman"/>
          <w:sz w:val="22"/>
          <w:sz-cs w:val="22"/>
        </w:rPr>
        <w:t xml:space="preserve">השופט ברק</w:t>
      </w:r>
      <w:r>
        <w:rPr>
          <w:rFonts w:ascii="Times New Roman" w:hAnsi="Times New Roman" w:cs="Times New Roman"/>
          <w:sz w:val="24"/>
          <w:sz-cs w:val="24"/>
        </w:rPr>
        <w:t xml:space="preserve">: </w:t>
      </w:r>
    </w:p>
    <w:p>
      <w:pPr>
        <w:jc w:val="both"/>
        <w:bidi/>
        <w:ind w:left="454" w:right="454"/>
        <w:spacing w:after="240"/>
      </w:pPr>
      <w:r>
        <w:rPr>
          <w:rFonts w:ascii="Times New Roman" w:hAnsi="Times New Roman" w:cs="Times New Roman"/>
          <w:sz w:val="24"/>
          <w:sz-cs w:val="24"/>
        </w:rPr>
        <w:t xml:space="preserve">"אולם, לדעתי, אין לתת לכלל האמור פירוש מרחיב, היינו, שמותר להפעיל את עבירת התנאי, גם כאשר ההרשעה היא בעבירה קלה יותר, אלא </w:t>
      </w:r>
      <w:r>
        <w:rPr>
          <w:rFonts w:ascii="Times New Roman" w:hAnsi="Times New Roman" w:cs="Times New Roman"/>
          <w:sz w:val="22"/>
          <w:sz-cs w:val="22"/>
        </w:rPr>
        <w:t xml:space="preserve">שבעובדות, המפורטות בכתב האישום</w:t>
      </w:r>
      <w:r>
        <w:rPr>
          <w:rFonts w:ascii="Times New Roman" w:hAnsi="Times New Roman" w:cs="Times New Roman"/>
          <w:sz w:val="24"/>
          <w:sz-cs w:val="24"/>
        </w:rPr>
        <w:t xml:space="preserve">, מתוארת התנהגות, שעל יסודה ניתן היה להאשים ולהרשיע בעבירה החמורה. נניח שתיאור העובדות הוא של חבלה חמורה, אך משום מה נתבקש בית המשפט בטור 'הוראות החוק' </w:t>
      </w:r>
    </w:p>
    <w:p>
      <w:pPr>
        <w:jc w:val="both"/>
        <w:bidi/>
        <w:ind w:left="454" w:right="454"/>
        <w:spacing w:after="240"/>
      </w:pPr>
      <w:r>
        <w:rPr>
          <w:rFonts w:ascii="Times New Roman" w:hAnsi="Times New Roman" w:cs="Times New Roman"/>
          <w:sz w:val="24"/>
          <w:sz-cs w:val="24"/>
        </w:rPr>
        <w:t xml:space="preserve"/>
        <w:br w:type="page"/>
        <w:t xml:space="preserve">להרשיע רק בתקיפה סתם, והנאשם הורשע בהתאם. בשלב הדיון בעונש מבקשת התביעה להפעיל מאסר, שריצויו הותנה בביצוע עבירה של חבלה חמורה. לדעתי ברור, שבנסיבות האמורות אין להפעיל את המאסר</w:t>
      </w:r>
      <w:r>
        <w:rPr>
          <w:rFonts w:ascii="Arial" w:hAnsi="Arial" w:cs="Arial"/>
          <w:sz w:val="24"/>
          <w:sz-cs w:val="24"/>
          <w:b/>
          <w:position w:val="4"/>
        </w:rPr>
        <w:t xml:space="preserve">-</w:t>
      </w:r>
      <w:r>
        <w:rPr>
          <w:rFonts w:ascii="Times New Roman" w:hAnsi="Times New Roman" w:cs="Times New Roman"/>
          <w:sz w:val="24"/>
          <w:sz-cs w:val="24"/>
        </w:rPr>
        <w:t xml:space="preserve">על</w:t>
      </w:r>
      <w:r>
        <w:rPr>
          <w:rFonts w:ascii="Arial" w:hAnsi="Arial" w:cs="Arial"/>
          <w:sz w:val="24"/>
          <w:sz-cs w:val="24"/>
          <w:b/>
          <w:position w:val="4"/>
        </w:rPr>
        <w:t xml:space="preserve">-</w:t>
      </w:r>
      <w:r>
        <w:rPr>
          <w:rFonts w:ascii="Times New Roman" w:hAnsi="Times New Roman" w:cs="Times New Roman"/>
          <w:sz w:val="24"/>
          <w:sz-cs w:val="24"/>
        </w:rPr>
        <w:t xml:space="preserve">תנאי" (</w:t>
      </w:r>
      <w:r>
        <w:rPr>
          <w:rFonts w:ascii="Times New Roman" w:hAnsi="Times New Roman" w:cs="Times New Roman"/>
          <w:sz w:val="22"/>
          <w:sz-cs w:val="22"/>
          <w:u w:val="single"/>
          <w:color w:val="0000FF"/>
        </w:rPr>
        <w:t xml:space="preserve">HYPERLINK "http://www.nevo.co.il/case/17928774"המ' 612/80</w:t>
      </w:r>
      <w:r>
        <w:rPr>
          <w:rFonts w:ascii="Times New Roman" w:hAnsi="Times New Roman" w:cs="Times New Roman"/>
          <w:sz w:val="22"/>
          <w:sz-cs w:val="22"/>
        </w:rPr>
        <w:t xml:space="preserve"> פז נ' מדינת ישראל [14]</w:t>
      </w:r>
      <w:r>
        <w:rPr>
          <w:rFonts w:ascii="Times New Roman" w:hAnsi="Times New Roman" w:cs="Times New Roman"/>
          <w:sz w:val="24"/>
          <w:sz-cs w:val="24"/>
        </w:rPr>
        <w:t xml:space="preserve">, </w:t>
      </w:r>
      <w:r>
        <w:rPr>
          <w:rFonts w:ascii="Times New Roman" w:hAnsi="Times New Roman" w:cs="Times New Roman"/>
          <w:sz w:val="22"/>
          <w:sz-cs w:val="22"/>
        </w:rPr>
        <w:t xml:space="preserve">בעמ' 360-359</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5.</w:t>
        <w:tab/>
        <w:t xml:space="preserve">בענייננו אני סבור שאין צורך להכריע בסוגיה זו, משום שבנסיבות המקרה אין מקום לדעתי להפעיל בכל מקרה את התנאי על יסוד ביצועה של העבירה לפי </w:t>
      </w:r>
      <w:r>
        <w:rPr>
          <w:rFonts w:ascii="Times New Roman" w:hAnsi="Times New Roman" w:cs="Times New Roman"/>
          <w:sz w:val="24"/>
          <w:sz-cs w:val="24"/>
          <w:u w:val="single"/>
          <w:color w:val="0000FF"/>
        </w:rPr>
        <w:t xml:space="preserve"> HYPERLINK "http://www.nevo.co.il/law/70301/ 329.a.2" סעיף 329(א)(2)</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לעניין זה יש להביא בחשבון את העובדות האלה: ראשית, המערער לא הואשם בעבירה לפי סעיף </w:t>
      </w:r>
      <w:r>
        <w:rPr>
          <w:rFonts w:ascii="Times New Roman" w:hAnsi="Times New Roman" w:cs="Times New Roman"/>
          <w:sz w:val="24"/>
          <w:sz-cs w:val="24"/>
          <w:u w:val="single"/>
          <w:color w:val="0000FF"/>
        </w:rPr>
        <w:t xml:space="preserve"> HYPERLINK "http://www.nevo.co.il/law/70301/329.a.2" 329(א)(2)</w:t>
      </w:r>
      <w:r>
        <w:rPr>
          <w:rFonts w:ascii="Times New Roman" w:hAnsi="Times New Roman" w:cs="Times New Roman"/>
          <w:sz w:val="24"/>
          <w:sz-cs w:val="24"/>
        </w:rPr>
        <w:t xml:space="preserve">. שנית, העבירה לפי </w:t>
      </w:r>
      <w:r>
        <w:rPr>
          <w:rFonts w:ascii="Times New Roman" w:hAnsi="Times New Roman" w:cs="Times New Roman"/>
          <w:sz w:val="24"/>
          <w:sz-cs w:val="24"/>
          <w:u w:val="single"/>
          <w:color w:val="0000FF"/>
        </w:rPr>
        <w:t xml:space="preserve"> HYPERLINK "http://www.nevo.co.il/law/70301/ 329.a.2" סעיף 329(א)(2)</w:t>
      </w:r>
      <w:r>
        <w:rPr>
          <w:rFonts w:ascii="Times New Roman" w:hAnsi="Times New Roman" w:cs="Times New Roman"/>
          <w:sz w:val="24"/>
          <w:sz-cs w:val="24"/>
        </w:rPr>
        <w:t xml:space="preserve"> היא עבירה חמורה מהעבירה שבה הורשע המערער, שהעונש המרבי בגינה עומד על 20 שנות מאסר, בעוד שהעונש הקבוע ב</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לעבירה של ניסיון לבצע עבירה לפי סעיפים </w:t>
      </w:r>
      <w:r>
        <w:rPr>
          <w:rFonts w:ascii="Times New Roman" w:hAnsi="Times New Roman" w:cs="Times New Roman"/>
          <w:sz w:val="24"/>
          <w:sz-cs w:val="24"/>
          <w:u w:val="single"/>
          <w:color w:val="0000FF"/>
        </w:rPr>
        <w:t xml:space="preserve"> HYPERLINK "http://www.nevo.co.il/law/70301/335.a" 335(א),</w:t>
      </w:r>
      <w:r>
        <w:rPr>
          <w:rFonts w:ascii="Times New Roman" w:hAnsi="Times New Roman" w:cs="Times New Roman"/>
          <w:sz w:val="24"/>
          <w:sz-cs w:val="24"/>
        </w:rPr>
        <w:t xml:space="preserve"> + </w:t>
      </w:r>
      <w:r>
        <w:rPr>
          <w:rFonts w:ascii="Times New Roman" w:hAnsi="Times New Roman" w:cs="Times New Roman"/>
          <w:sz w:val="24"/>
          <w:sz-cs w:val="24"/>
          <w:u w:val="single"/>
          <w:color w:val="0000FF"/>
        </w:rPr>
        <w:t xml:space="preserve"> HYPERLINK "http://www.nevo.co.il/law/70301/334" </w:t>
      </w:r>
      <w:r>
        <w:rPr>
          <w:rFonts w:ascii="Times New Roman" w:hAnsi="Times New Roman" w:cs="Times New Roman"/>
          <w:sz w:val="24"/>
          <w:sz-cs w:val="24"/>
          <w:u w:val="single"/>
          <w:color w:val="0000FF"/>
        </w:rPr>
        <w:t xml:space="preserve">334</w:t>
      </w:r>
      <w:r>
        <w:rPr>
          <w:rFonts w:ascii="Times New Roman" w:hAnsi="Times New Roman" w:cs="Times New Roman"/>
          <w:sz w:val="24"/>
          <w:sz-cs w:val="24"/>
        </w:rPr>
        <w:t xml:space="preserve"> שבה המערער הורשע, עומד על שש שנות מאסר בלבד. שלישית, המחשבה הפלילית הנדרשת להרשעה בעבירה לפי סעיף </w:t>
      </w:r>
      <w:r>
        <w:rPr>
          <w:rFonts w:ascii="Times New Roman" w:hAnsi="Times New Roman" w:cs="Times New Roman"/>
          <w:sz w:val="24"/>
          <w:sz-cs w:val="24"/>
          <w:u w:val="single"/>
          <w:color w:val="0000FF"/>
        </w:rPr>
        <w:t xml:space="preserve"> HYPERLINK "http://www.nevo.co.il/law/70301/329.a.2" 329(א)(2)</w:t>
      </w:r>
      <w:r>
        <w:rPr>
          <w:rFonts w:ascii="Times New Roman" w:hAnsi="Times New Roman" w:cs="Times New Roman"/>
          <w:sz w:val="24"/>
          <w:sz-cs w:val="24"/>
        </w:rPr>
        <w:t xml:space="preserve"> מצריכה כוונה מיוחדת, שאינה נדרשת בעבירה שבה הורשע המערער. רביעית, המאשימה לא טענה בשום שלב, לא בבית</w:t>
      </w:r>
      <w:r>
        <w:rPr>
          <w:rFonts w:ascii="Arial" w:hAnsi="Arial" w:cs="Arial"/>
          <w:sz w:val="24"/>
          <w:sz-cs w:val="24"/>
          <w:b/>
          <w:position w:val="4"/>
        </w:rPr>
        <w:t xml:space="preserve">-</w:t>
      </w:r>
      <w:r>
        <w:rPr>
          <w:rFonts w:ascii="Times New Roman" w:hAnsi="Times New Roman" w:cs="Times New Roman"/>
          <w:sz w:val="24"/>
          <w:sz-cs w:val="24"/>
        </w:rPr>
        <w:t xml:space="preserve">המשפט המחוזי וגם לא בפנינו, שהמערער ביצע עבירה לפי </w:t>
      </w:r>
      <w:r>
        <w:rPr>
          <w:rFonts w:ascii="Times New Roman" w:hAnsi="Times New Roman" w:cs="Times New Roman"/>
          <w:sz w:val="24"/>
          <w:sz-cs w:val="24"/>
          <w:u w:val="single"/>
          <w:color w:val="0000FF"/>
        </w:rPr>
        <w:t xml:space="preserve"> HYPERLINK "http://www.nevo.co.il/law/70301/329.a.2" סעיף 329(א)(2)</w:t>
      </w:r>
      <w:r>
        <w:rPr>
          <w:rFonts w:ascii="Times New Roman" w:hAnsi="Times New Roman" w:cs="Times New Roman"/>
          <w:sz w:val="24"/>
          <w:sz-cs w:val="24"/>
        </w:rPr>
        <w:t xml:space="preserve">, ולא ביקשה, מסיבה זו, להפעיל נגדו את המאסר המותנה. בנסיבות אלו אני סבור שלמערער לא ניתנה הזדמנות נאותה להתגונן מפני הפעלת המאסר המותנה על יסוד ביצועה של עבירה זו, ולא יהא זה ראוי להפעיל נגדו את המאסר המותנה משיקול זה. </w:t>
      </w:r>
    </w:p>
    <w:p>
      <w:pPr>
        <w:jc w:val="both"/>
        <w:bidi/>
        <w:spacing w:after="240"/>
      </w:pPr>
      <w:r>
        <w:rPr>
          <w:rFonts w:ascii="Times New Roman" w:hAnsi="Times New Roman" w:cs="Times New Roman"/>
          <w:sz w:val="24"/>
          <w:sz-cs w:val="24"/>
        </w:rPr>
        <w:t xml:space="preserve">6.</w:t>
        <w:tab/>
        <w:t xml:space="preserve">שאלה אחרת היא אם ניסיון לבצע עבירה שכעבירה מושלמת נמנית עם עבירות התנאי, יכול שיביא להפעלת התנאי גם כאשר מדובר בניסיון בלבד לבצע את העבירה המושלמת. </w:t>
      </w:r>
    </w:p>
    <w:p>
      <w:pPr>
        <w:jc w:val="both"/>
        <w:bidi/>
        <w:spacing w:after="240"/>
      </w:pPr>
      <w:r>
        <w:rPr>
          <w:rFonts w:ascii="Times New Roman" w:hAnsi="Times New Roman" w:cs="Times New Roman"/>
          <w:sz w:val="24"/>
          <w:sz-cs w:val="24"/>
        </w:rPr>
        <w:t xml:space="preserve">7.</w:t>
        <w:tab/>
        <w:t xml:space="preserve">מבחינת התכלית ההרתעתית שבקביעת עונש מאסר מותנה נראה כי ראוי להפעיל את התנאי גם בעבירת ניסיון לבצע את עבירת התנאי המושלמת. התייחס לכך פרופ' פלר, במאמרו הנ"ל </w:t>
      </w:r>
      <w:r>
        <w:rPr>
          <w:rFonts w:ascii="Times New Roman" w:hAnsi="Times New Roman" w:cs="Times New Roman"/>
          <w:sz w:val="22"/>
          <w:sz-cs w:val="22"/>
        </w:rPr>
        <w:t xml:space="preserve">[23]</w:t>
      </w:r>
      <w:r>
        <w:rPr>
          <w:rFonts w:ascii="Times New Roman" w:hAnsi="Times New Roman" w:cs="Times New Roman"/>
          <w:sz w:val="24"/>
          <w:sz-cs w:val="24"/>
        </w:rPr>
        <w:t xml:space="preserve">, שבו הוא מתח ביקורת על פסק</w:t>
      </w:r>
      <w:r>
        <w:rPr>
          <w:rFonts w:ascii="Arial" w:hAnsi="Arial" w:cs="Arial"/>
          <w:sz w:val="24"/>
          <w:sz-cs w:val="24"/>
          <w:b/>
          <w:position w:val="4"/>
        </w:rPr>
        <w:t xml:space="preserve">-</w:t>
      </w:r>
      <w:r>
        <w:rPr>
          <w:rFonts w:ascii="Times New Roman" w:hAnsi="Times New Roman" w:cs="Times New Roman"/>
          <w:sz w:val="24"/>
          <w:sz-cs w:val="24"/>
        </w:rPr>
        <w:t xml:space="preserve">הדין </w:t>
      </w:r>
      <w:r>
        <w:rPr>
          <w:rFonts w:ascii="Times New Roman" w:hAnsi="Times New Roman" w:cs="Times New Roman"/>
          <w:sz w:val="24"/>
          <w:sz-cs w:val="24"/>
          <w:u w:val="single"/>
          <w:color w:val="0000FF"/>
        </w:rPr>
        <w:t xml:space="preserve"> HYPERLINK "http://www.nevo.co.il/links/psika/?link=ברע 334/83" </w:t>
      </w:r>
      <w:r>
        <w:rPr>
          <w:rFonts w:ascii="Times New Roman" w:hAnsi="Times New Roman" w:cs="Times New Roman"/>
          <w:sz w:val="22"/>
          <w:sz-cs w:val="22"/>
          <w:u w:val="single"/>
          <w:color w:val="0000FF"/>
        </w:rPr>
        <w:t xml:space="preserve">בר"ע 334/83</w:t>
      </w:r>
      <w:r>
        <w:rPr>
          <w:rFonts w:ascii="Times New Roman" w:hAnsi="Times New Roman" w:cs="Times New Roman"/>
          <w:sz w:val="22"/>
          <w:sz-cs w:val="22"/>
        </w:rPr>
        <w:t xml:space="preserve"> מדינת ישראל נ' ביטון (להלן – </w:t>
      </w:r>
      <w:r>
        <w:rPr>
          <w:rFonts w:ascii="Times New Roman" w:hAnsi="Times New Roman" w:cs="Times New Roman"/>
          <w:sz w:val="24"/>
          <w:sz-cs w:val="24"/>
        </w:rPr>
        <w:t xml:space="preserve">עניין </w:t>
      </w:r>
      <w:r>
        <w:rPr>
          <w:rFonts w:ascii="Times New Roman" w:hAnsi="Times New Roman" w:cs="Times New Roman"/>
          <w:sz w:val="28"/>
          <w:sz-cs w:val="28"/>
        </w:rPr>
        <w:t xml:space="preserve">ביטון</w:t>
      </w:r>
      <w:r>
        <w:rPr>
          <w:rFonts w:ascii="Times New Roman" w:hAnsi="Times New Roman" w:cs="Times New Roman"/>
          <w:sz w:val="24"/>
          <w:sz-cs w:val="24"/>
        </w:rPr>
        <w:t xml:space="preserve"> </w:t>
      </w:r>
      <w:r>
        <w:rPr>
          <w:rFonts w:ascii="Times New Roman" w:hAnsi="Times New Roman" w:cs="Times New Roman"/>
          <w:sz w:val="22"/>
          <w:sz-cs w:val="22"/>
        </w:rPr>
        <w:t xml:space="preserve">[15]</w:t>
      </w:r>
      <w:r>
        <w:rPr>
          <w:rFonts w:ascii="Times New Roman" w:hAnsi="Times New Roman" w:cs="Times New Roman"/>
          <w:sz w:val="24"/>
          <w:sz-cs w:val="24"/>
        </w:rPr>
        <w:t xml:space="preserve">). באותו מקרה התנאי שנקבע היה שהמשיב לא יעבור עבירה מן העבירות הנקובות </w:t>
      </w:r>
      <w:r>
        <w:rPr>
          <w:rFonts w:ascii="Times New Roman" w:hAnsi="Times New Roman" w:cs="Times New Roman"/>
          <w:sz w:val="24"/>
          <w:sz-cs w:val="24"/>
          <w:u w:val="single"/>
          <w:color w:val="0000FF"/>
        </w:rPr>
        <w:t xml:space="preserve"> HYPERLINK "http://www.nevo.co.il/law/70301/383" בסעיפים 383</w:t>
      </w:r>
      <w:r>
        <w:rPr>
          <w:rFonts w:ascii="Times New Roman" w:hAnsi="Times New Roman" w:cs="Times New Roman"/>
          <w:sz w:val="24"/>
          <w:sz-cs w:val="24"/>
        </w:rPr>
        <w:t xml:space="preserve"> עד </w:t>
      </w:r>
      <w:r>
        <w:rPr>
          <w:rFonts w:ascii="Times New Roman" w:hAnsi="Times New Roman" w:cs="Times New Roman"/>
          <w:sz w:val="24"/>
          <w:sz-cs w:val="24"/>
          <w:u w:val="single"/>
          <w:color w:val="0000FF"/>
        </w:rPr>
        <w:t xml:space="preserve"> HYPERLINK "http://www.nevo.co.il/law/70301/412" 412</w:t>
      </w:r>
      <w:r>
        <w:rPr>
          <w:rFonts w:ascii="Times New Roman" w:hAnsi="Times New Roman" w:cs="Times New Roman"/>
          <w:sz w:val="24"/>
          <w:sz-cs w:val="24"/>
        </w:rPr>
        <w:t xml:space="preserve"> של </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שאחת מהן היא העבירה של כניסה למקום המשמש למגורי אדם בכוונה לבצע גניבה. בתקופת הניסיון עבר המשיב עבירה של ניסיון כניסה למקום המשמש למגורי אדם בכוונה לבצע גניבה, אולם נקבע, על</w:t>
      </w:r>
      <w:r>
        <w:rPr>
          <w:rFonts w:ascii="Arial" w:hAnsi="Arial" w:cs="Arial"/>
          <w:sz w:val="24"/>
          <w:sz-cs w:val="24"/>
          <w:b/>
          <w:position w:val="4"/>
        </w:rPr>
        <w:t xml:space="preserve">-</w:t>
      </w:r>
      <w:r>
        <w:rPr>
          <w:rFonts w:ascii="Times New Roman" w:hAnsi="Times New Roman" w:cs="Times New Roman"/>
          <w:sz w:val="24"/>
          <w:sz-cs w:val="24"/>
        </w:rPr>
        <w:t xml:space="preserve">ידי </w:t>
      </w:r>
      <w:r>
        <w:rPr>
          <w:rFonts w:ascii="Times New Roman" w:hAnsi="Times New Roman" w:cs="Times New Roman"/>
          <w:sz w:val="22"/>
          <w:sz-cs w:val="22"/>
        </w:rPr>
        <w:t xml:space="preserve">הנשיא י' כהן</w:t>
      </w:r>
      <w:r>
        <w:rPr>
          <w:rFonts w:ascii="Times New Roman" w:hAnsi="Times New Roman" w:cs="Times New Roman"/>
          <w:sz w:val="24"/>
          <w:sz-cs w:val="24"/>
        </w:rPr>
        <w:t xml:space="preserve">, שבעבירת הניסיון לעבור את עבירה התנאי המושלמת לא היה כדי להפעיל את התנאי. </w:t>
      </w:r>
    </w:p>
    <w:p>
      <w:pPr>
        <w:jc w:val="both"/>
        <w:bidi/>
        <w:spacing w:after="240"/>
      </w:pPr>
      <w:r>
        <w:rPr>
          <w:rFonts w:ascii="Times New Roman" w:hAnsi="Times New Roman" w:cs="Times New Roman"/>
          <w:sz w:val="24"/>
          <w:sz-cs w:val="24"/>
        </w:rPr>
        <w:t xml:space="preserve"/>
        <w:br w:type="page"/>
        <w:t xml:space="preserve">כפי שציין פרופ' פלר, במאמרו הנזכר </w:t>
      </w:r>
      <w:r>
        <w:rPr>
          <w:rFonts w:ascii="Times New Roman" w:hAnsi="Times New Roman" w:cs="Times New Roman"/>
          <w:sz w:val="22"/>
          <w:sz-cs w:val="22"/>
        </w:rPr>
        <w:t xml:space="preserve">[23]</w:t>
      </w:r>
      <w:r>
        <w:rPr>
          <w:rFonts w:ascii="Times New Roman" w:hAnsi="Times New Roman" w:cs="Times New Roman"/>
          <w:sz w:val="24"/>
          <w:sz-cs w:val="24"/>
        </w:rPr>
        <w:t xml:space="preserve">, מבחינת התכלית ההרתעתית שבקביעת עונש המאסר המותנה היה ראוי להפעיל את התנאי גם בשל עבירת הניסיון. כדבריו: </w:t>
      </w:r>
    </w:p>
    <w:p>
      <w:pPr>
        <w:jc w:val="both"/>
        <w:bidi/>
        <w:ind w:left="454" w:right="454"/>
        <w:spacing w:after="120"/>
      </w:pPr>
      <w:r>
        <w:rPr>
          <w:rFonts w:ascii="Times New Roman" w:hAnsi="Times New Roman" w:cs="Times New Roman"/>
          <w:sz w:val="24"/>
          <w:sz-cs w:val="24"/>
        </w:rPr>
        <w:t xml:space="preserve">"ב</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ע"פ </w:t>
      </w:r>
      <w:r>
        <w:rPr>
          <w:rFonts w:ascii="Times New Roman" w:hAnsi="Times New Roman" w:cs="Times New Roman"/>
          <w:sz w:val="22"/>
          <w:sz-cs w:val="22"/>
        </w:rPr>
        <w:t xml:space="preserve">ביטון</w:t>
      </w:r>
      <w:r>
        <w:rPr>
          <w:rFonts w:ascii="Times New Roman" w:hAnsi="Times New Roman" w:cs="Times New Roman"/>
          <w:sz w:val="24"/>
          <w:sz-cs w:val="24"/>
        </w:rPr>
        <w:t xml:space="preserve">, היה המערער מודע, כי תלוי ועומד לגביו מאסר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כאשר בין עבירות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התנאי גם העבירה של כניסה לבית מגורים בכוונה לבצע גניבה או פשע, לפי </w:t>
      </w:r>
      <w:r>
        <w:rPr>
          <w:rFonts w:ascii="Times New Roman" w:hAnsi="Times New Roman" w:cs="Times New Roman"/>
          <w:sz w:val="24"/>
          <w:sz-cs w:val="24"/>
          <w:u w:val="single"/>
          <w:color w:val="0000FF"/>
        </w:rPr>
        <w:t xml:space="preserve"> HYPERLINK "http://www.nevo.co.il/law/70301/406.a" סעיף 406(א)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הוא גם ידע מה תהיה התוצאה המשפטית של הפרת התנאי, לבד מהאחריות בגין ביצוע העבירה הנוספת. על כל אלה הוא הוזהר מראש בדרך האישית, הבהירה והמפורטת ביותר בגזר הדין בו הוטל עליו המאסר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חרף זאת, הוא ניגש לביצוע, המושלם, כמובן, של עבירה לפי </w:t>
      </w:r>
      <w:r>
        <w:rPr>
          <w:rFonts w:ascii="Times New Roman" w:hAnsi="Times New Roman" w:cs="Times New Roman"/>
          <w:sz w:val="24"/>
          <w:sz-cs w:val="24"/>
          <w:u w:val="single"/>
          <w:color w:val="0000FF"/>
        </w:rPr>
        <w:t xml:space="preserve"> HYPERLINK "http://www.nevo.co.il/law/70301/406.a" סעיף 406(א)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במשך תקופת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התנאי. הוא התחיל את הביצוע, ואילו שיחק לו המזל ולא נתפס בשעת המעשה, הוא היה משלים את הביצוע; וכך הוא התחייב בנסיון לאותה עבירה. האם מתבקשת אזהרה מראש של הנידון – בחוק או בגזר הדין בו הוטל המאסר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 כך שגם הנסיון לבצע עבירת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ולא רק ביצועה המושלם, מהווה הפרת התנאי? </w:t>
      </w:r>
    </w:p>
    <w:p>
      <w:pPr>
        <w:jc w:val="both"/>
        <w:bidi/>
        <w:ind w:left="454" w:right="454"/>
        <w:spacing w:after="240"/>
      </w:pPr>
      <w:r>
        <w:rPr>
          <w:rFonts w:ascii="Times New Roman" w:hAnsi="Times New Roman" w:cs="Times New Roman"/>
          <w:sz w:val="24"/>
          <w:sz-cs w:val="24"/>
        </w:rPr>
        <w:t xml:space="preserve">היכן כאן הפגיעה בעקרון החוקיות, לפי משמעותו ומטרותיו האמורות – כאשר בית משפט השלום קבע כי ביטון הפר את התנאי להימנע מביצוע עבירה לפי </w:t>
      </w:r>
      <w:r>
        <w:rPr>
          <w:rFonts w:ascii="Times New Roman" w:hAnsi="Times New Roman" w:cs="Times New Roman"/>
          <w:sz w:val="24"/>
          <w:sz-cs w:val="24"/>
          <w:u w:val="single"/>
          <w:color w:val="0000FF"/>
        </w:rPr>
        <w:t xml:space="preserve"> HYPERLINK "http://www.nevo.co.il/law/70301/406.a" סעיף 406(א)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היכן ההפתעה? כל אזהרה נוספת כאמור, לגבי הנסיון, היא מיותרת ואף חסרת כל טעם. כאילו בלעדי האזהרה, פני הדברים יכלו להיות אחרים?!" (</w:t>
      </w:r>
      <w:r>
        <w:rPr>
          <w:rFonts w:ascii="Times New Roman" w:hAnsi="Times New Roman" w:cs="Times New Roman"/>
          <w:sz w:val="28"/>
          <w:sz-cs w:val="28"/>
        </w:rPr>
        <w:t xml:space="preserve">שם</w:t>
      </w:r>
      <w:r>
        <w:rPr>
          <w:rFonts w:ascii="Times New Roman" w:hAnsi="Times New Roman" w:cs="Times New Roman"/>
          <w:sz w:val="24"/>
          <w:sz-cs w:val="24"/>
        </w:rPr>
        <w:t xml:space="preserve">, </w:t>
      </w:r>
      <w:r>
        <w:rPr>
          <w:rFonts w:ascii="Times New Roman" w:hAnsi="Times New Roman" w:cs="Times New Roman"/>
          <w:sz w:val="22"/>
          <w:sz-cs w:val="22"/>
        </w:rPr>
        <w:t xml:space="preserve">בעמ' 426-425</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8.</w:t>
        <w:tab/>
        <w:t xml:space="preserve">הקושי בהפעלת התנאי במקרה זה נבע מכך שעבירת הניסיון אינה מקיימת את כל יסודותיה של העבירה המושלמת, שהיא עבירת התנאי. מסיבה זו, בהיעדר ביצוע של עבירת התנאי המושלמת, אלא ניסיון לבצעה בלבד, סירב בית</w:t>
      </w:r>
      <w:r>
        <w:rPr>
          <w:rFonts w:ascii="Arial" w:hAnsi="Arial" w:cs="Arial"/>
          <w:sz w:val="24"/>
          <w:sz-cs w:val="24"/>
          <w:b/>
          <w:position w:val="4"/>
        </w:rPr>
        <w:t xml:space="preserve">-</w:t>
      </w:r>
      <w:r>
        <w:rPr>
          <w:rFonts w:ascii="Times New Roman" w:hAnsi="Times New Roman" w:cs="Times New Roman"/>
          <w:sz w:val="24"/>
          <w:sz-cs w:val="24"/>
        </w:rPr>
        <w:t xml:space="preserve">המשפט העליון באותו מקרה להפעיל את התנאי. בעבירת הניסיון לעבור את עבירת התנאי המושלמת, קבע </w:t>
      </w:r>
      <w:r>
        <w:rPr>
          <w:rFonts w:ascii="Times New Roman" w:hAnsi="Times New Roman" w:cs="Times New Roman"/>
          <w:sz w:val="22"/>
          <w:sz-cs w:val="22"/>
        </w:rPr>
        <w:t xml:space="preserve">הנשיא י' כהן</w:t>
      </w:r>
      <w:r>
        <w:rPr>
          <w:rFonts w:ascii="Times New Roman" w:hAnsi="Times New Roman" w:cs="Times New Roman"/>
          <w:sz w:val="24"/>
          <w:sz-cs w:val="24"/>
        </w:rPr>
        <w:t xml:space="preserve">, לא היה כדי להפעיל את התנאי, משום ש"המשיב לא נכנס למקום המשמש למגורי אדם, מכיוון שמזימתו לא הושלמה. לפיכך, בהתנהגותו הפלילית לא נתקיימו כל יסודות המעשה הפלילי, הנחוצים לביצוע עבירה זו" (</w:t>
      </w:r>
      <w:r>
        <w:rPr>
          <w:rFonts w:ascii="Times New Roman" w:hAnsi="Times New Roman" w:cs="Times New Roman"/>
          <w:sz w:val="22"/>
          <w:sz-cs w:val="22"/>
        </w:rPr>
        <w:t xml:space="preserve">פרשת ביטון [15]</w:t>
      </w:r>
      <w:r>
        <w:rPr>
          <w:rFonts w:ascii="Times New Roman" w:hAnsi="Times New Roman" w:cs="Times New Roman"/>
          <w:sz w:val="24"/>
          <w:sz-cs w:val="24"/>
        </w:rPr>
        <w:t xml:space="preserve">, </w:t>
      </w:r>
      <w:r>
        <w:rPr>
          <w:rFonts w:ascii="Times New Roman" w:hAnsi="Times New Roman" w:cs="Times New Roman"/>
          <w:sz w:val="22"/>
          <w:sz-cs w:val="22"/>
        </w:rPr>
        <w:t xml:space="preserve">בעמ' 544)</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9.</w:t>
        <w:tab/>
        <w:t xml:space="preserve">על הלכה זו נמתחה כאמור ביקורת בספרות המשפטית. לשיטתו של </w:t>
        <w:br/>
        <w:t xml:space="preserve">פרופ' פלר:</w:t>
      </w:r>
    </w:p>
    <w:p>
      <w:pPr>
        <w:jc w:val="both"/>
        <w:bidi/>
        <w:ind w:left="454" w:right="454"/>
        <w:spacing w:after="240"/>
      </w:pPr>
      <w:r>
        <w:rPr>
          <w:rFonts w:ascii="Times New Roman" w:hAnsi="Times New Roman" w:cs="Times New Roman"/>
          <w:sz w:val="24"/>
          <w:sz-cs w:val="24"/>
        </w:rPr>
        <w:t xml:space="preserve"/>
        <w:br w:type="page"/>
        <w:t xml:space="preserve">"הזיקה </w:t>
      </w:r>
      <w:r>
        <w:rPr>
          <w:rFonts w:ascii="Times New Roman" w:hAnsi="Times New Roman" w:cs="Times New Roman"/>
          <w:sz w:val="22"/>
          <w:sz-cs w:val="22"/>
        </w:rPr>
        <w:t xml:space="preserve">המהותית</w:t>
      </w:r>
      <w:r>
        <w:rPr>
          <w:rFonts w:ascii="Times New Roman" w:hAnsi="Times New Roman" w:cs="Times New Roman"/>
          <w:sz w:val="24"/>
          <w:sz-cs w:val="24"/>
        </w:rPr>
        <w:t xml:space="preserve"> בין שתי ההתנהגויות הענישות [עבירת התנאי המושלמת ועבירת הניסיון לעבור עבירה זו – א' א' ל'] וזהותן המושגית הודות לצמידותן לאותה עבירה, מצמיחות את הכלל הרחב יותר, לפיו בהעדר הוראה מפורשת סותרת, דין הנסיון לעבירה כדין ביצועה המושלם של אותה עבירה. ובהעדר הוראה מפורשת סותרת לענין מבחן החפיפה בין 'העבירה הנוספת' לבין 'עבירת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התנאי', דין הנסיון לבצע עבירה מבין 'עבירות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התנאי' כדין ביצוע 'עבירה נוספת' מושלמת מבין עבירות אלה" (</w:t>
      </w:r>
      <w:r>
        <w:rPr>
          <w:rFonts w:ascii="Times New Roman" w:hAnsi="Times New Roman" w:cs="Times New Roman"/>
          <w:sz w:val="22"/>
          <w:sz-cs w:val="22"/>
        </w:rPr>
        <w:t xml:space="preserve">שם [23]</w:t>
      </w:r>
      <w:r>
        <w:rPr>
          <w:rFonts w:ascii="Times New Roman" w:hAnsi="Times New Roman" w:cs="Times New Roman"/>
          <w:sz w:val="24"/>
          <w:sz-cs w:val="24"/>
        </w:rPr>
        <w:t xml:space="preserve">, </w:t>
      </w:r>
      <w:r>
        <w:rPr>
          <w:rFonts w:ascii="Times New Roman" w:hAnsi="Times New Roman" w:cs="Times New Roman"/>
          <w:sz w:val="22"/>
          <w:sz-cs w:val="22"/>
        </w:rPr>
        <w:t xml:space="preserve">בעמ' 424</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אולם דעה זו לא התקבלה בפסיקה.</w:t>
      </w:r>
    </w:p>
    <w:p>
      <w:pPr>
        <w:jc w:val="both"/>
        <w:bidi/>
        <w:spacing w:after="240"/>
      </w:pPr>
      <w:r>
        <w:rPr>
          <w:rFonts w:ascii="Times New Roman" w:hAnsi="Times New Roman" w:cs="Times New Roman"/>
          <w:sz w:val="24"/>
          <w:sz-cs w:val="24"/>
        </w:rPr>
        <w:t xml:space="preserve">10.</w:t>
        <w:tab/>
        <w:t xml:space="preserve">מאז הילכת </w:t>
      </w:r>
      <w:r>
        <w:rPr>
          <w:rFonts w:ascii="Times New Roman" w:hAnsi="Times New Roman" w:cs="Times New Roman"/>
          <w:sz w:val="28"/>
          <w:sz-cs w:val="28"/>
        </w:rPr>
        <w:t xml:space="preserve">ביטון [15]</w:t>
      </w:r>
      <w:r>
        <w:rPr>
          <w:rFonts w:ascii="Times New Roman" w:hAnsi="Times New Roman" w:cs="Times New Roman"/>
          <w:sz w:val="24"/>
          <w:sz-cs w:val="24"/>
        </w:rPr>
        <w:t xml:space="preserve"> השתנה הדין, וכיום מורה </w:t>
      </w:r>
      <w:r>
        <w:rPr>
          <w:rFonts w:ascii="Times New Roman" w:hAnsi="Times New Roman" w:cs="Times New Roman"/>
          <w:sz w:val="24"/>
          <w:sz-cs w:val="24"/>
          <w:u w:val="single"/>
          <w:color w:val="0000FF"/>
        </w:rPr>
        <w:t xml:space="preserve"> HYPERLINK "http://www.nevo.co.il/law/70301/34d" סעיף 34ד</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שנחקק, כמו כל החלק הכללי של חוק העונשין, על</w:t>
      </w:r>
      <w:r>
        <w:rPr>
          <w:rFonts w:ascii="Arial" w:hAnsi="Arial" w:cs="Arial"/>
          <w:sz w:val="24"/>
          <w:sz-cs w:val="24"/>
          <w:b/>
          <w:position w:val="4"/>
        </w:rPr>
        <w:t xml:space="preserve">-</w:t>
      </w:r>
      <w:r>
        <w:rPr>
          <w:rFonts w:ascii="Times New Roman" w:hAnsi="Times New Roman" w:cs="Times New Roman"/>
          <w:sz w:val="24"/>
          <w:sz-cs w:val="24"/>
        </w:rPr>
        <w:t xml:space="preserve">פי הצעתם של פרופ' פלר </w:t>
        <w:br/>
        <w:t xml:space="preserve">ופרופ' קרמניצר, כי: </w:t>
      </w:r>
    </w:p>
    <w:p>
      <w:pPr>
        <w:jc w:val="both"/>
        <w:bidi/>
        <w:ind w:left="454" w:right="454"/>
        <w:spacing w:after="240"/>
      </w:pPr>
      <w:r>
        <w:rPr>
          <w:rFonts w:ascii="Times New Roman" w:hAnsi="Times New Roman" w:cs="Times New Roman"/>
          <w:sz w:val="24"/>
          <w:sz-cs w:val="24"/>
        </w:rPr>
        <w:t xml:space="preserve">"מלבד אם נאמר בחיקוק או משתמע ממנו אחרת, כל דין החל על הביצוע העיקרי של העבירה המושלמת חל גם על נסיון, שידול, נסיון לשידול או סיוע, לאותה עבירה". </w:t>
      </w:r>
    </w:p>
    <w:p>
      <w:pPr>
        <w:jc w:val="both"/>
        <w:bidi/>
        <w:spacing w:after="240"/>
      </w:pPr>
      <w:r>
        <w:rPr>
          <w:rFonts w:ascii="Times New Roman" w:hAnsi="Times New Roman" w:cs="Times New Roman"/>
          <w:sz w:val="24"/>
          <w:sz-cs w:val="24"/>
        </w:rPr>
        <w:t xml:space="preserve">פרופ' פלר התייחס לתיקון זה עוד במאמרו הנזכר לעיל </w:t>
      </w:r>
      <w:r>
        <w:rPr>
          <w:rFonts w:ascii="Times New Roman" w:hAnsi="Times New Roman" w:cs="Times New Roman"/>
          <w:sz w:val="22"/>
          <w:sz-cs w:val="22"/>
        </w:rPr>
        <w:t xml:space="preserve">[23] </w:t>
      </w:r>
      <w:r>
        <w:rPr>
          <w:rFonts w:ascii="Times New Roman" w:hAnsi="Times New Roman" w:cs="Times New Roman"/>
          <w:sz w:val="24"/>
          <w:sz-cs w:val="24"/>
        </w:rPr>
        <w:t xml:space="preserve">(שיצא לאור לפני </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(תיקון מס' 39) (חלק מקדמי וחלק כללי), תשנ"ד</w:t>
      </w:r>
      <w:r>
        <w:rPr>
          <w:rFonts w:ascii="Times New Roman" w:hAnsi="Times New Roman" w:cs="Times New Roman"/>
          <w:sz w:val="22"/>
          <w:sz-cs w:val="22"/>
        </w:rPr>
        <w:t xml:space="preserve">-</w:t>
      </w:r>
      <w:r>
        <w:rPr>
          <w:rFonts w:ascii="Times New Roman" w:hAnsi="Times New Roman" w:cs="Times New Roman"/>
          <w:sz w:val="24"/>
          <w:sz-cs w:val="24"/>
        </w:rPr>
        <w:t xml:space="preserve">1994) כאל תיקון המביא לידי ביטוי נורמטיבי את הרעיון כי לצורך הפעלת התנאי דין ביצוע עבירת ניסיון לעבור את עבירת התנאי המושלמת כדין ביצוע העבירה המושלמת. </w:t>
      </w:r>
    </w:p>
    <w:p>
      <w:pPr>
        <w:jc w:val="both"/>
        <w:bidi/>
        <w:spacing w:after="240"/>
      </w:pPr>
      <w:r>
        <w:rPr>
          <w:rFonts w:ascii="Times New Roman" w:hAnsi="Times New Roman" w:cs="Times New Roman"/>
          <w:sz w:val="24"/>
          <w:sz-cs w:val="24"/>
        </w:rPr>
        <w:t xml:space="preserve">ברוח דברים אלו נאמר לגבי סעיף זה בדברי ההסבר להצעת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(חלק מקדמי וחלק כללי), תשנ"ב</w:t>
      </w:r>
      <w:r>
        <w:rPr>
          <w:rFonts w:ascii="Times New Roman" w:hAnsi="Times New Roman" w:cs="Times New Roman"/>
          <w:sz w:val="22"/>
          <w:sz-cs w:val="22"/>
        </w:rPr>
        <w:t xml:space="preserve">-</w:t>
      </w:r>
      <w:r>
        <w:rPr>
          <w:rFonts w:ascii="Times New Roman" w:hAnsi="Times New Roman" w:cs="Times New Roman"/>
          <w:sz w:val="24"/>
          <w:sz-cs w:val="24"/>
        </w:rPr>
        <w:t xml:space="preserve">1992: </w:t>
      </w:r>
    </w:p>
    <w:p>
      <w:pPr>
        <w:jc w:val="both"/>
        <w:bidi/>
        <w:ind w:left="454" w:right="454"/>
        <w:spacing w:after="240"/>
      </w:pPr>
      <w:r>
        <w:rPr>
          <w:rFonts w:ascii="Times New Roman" w:hAnsi="Times New Roman" w:cs="Times New Roman"/>
          <w:sz w:val="24"/>
          <w:sz-cs w:val="24"/>
        </w:rPr>
        <w:t xml:space="preserve">"בסעיף 39 נקבע כלל משותף אחד לכל הצורות שפורטו בפרק 'עבירות נגזרות': בהעדר הוראה מפורשת או משמעות סותרת, כל דין, שחל על הביצוע העיקרי והמושלם של העבירה, חל גם על הצורות הנגזרות ממנה. לכלל זה יש משמעות לענין חנינה כללית, לענין סמכות שפיטה, הסגרה, התיישנות, השלכת ביצוע עבירה נוספת בתקופת התנאי של מאסר מותנה, וכיוצא באלה; זהו גם הכלל לענין פסלויות שונות, ותחולת דיני העונשין </w:t>
      </w:r>
    </w:p>
    <w:p>
      <w:pPr>
        <w:jc w:val="both"/>
        <w:bidi/>
        <w:ind w:left="454" w:right="454"/>
        <w:spacing w:after="240"/>
      </w:pPr>
      <w:r>
        <w:rPr>
          <w:rFonts w:ascii="Times New Roman" w:hAnsi="Times New Roman" w:cs="Times New Roman"/>
          <w:sz w:val="24"/>
          <w:sz-cs w:val="24"/>
        </w:rPr>
        <w:t xml:space="preserve"/>
        <w:br w:type="page"/>
        <w:t xml:space="preserve">לפי מקום ביצוע העבירה. לכלל זה יש איפוא משמעות כל אימת שהמחוקק משתמש במונח 'עבירה' ללא כל הבחנה" (ה"ח 115, 133). </w:t>
      </w:r>
    </w:p>
    <w:p>
      <w:pPr>
        <w:jc w:val="both"/>
        <w:bidi/>
        <w:spacing w:after="240"/>
      </w:pPr>
      <w:r>
        <w:rPr>
          <w:rFonts w:ascii="Times New Roman" w:hAnsi="Times New Roman" w:cs="Times New Roman"/>
          <w:sz w:val="24"/>
          <w:sz-cs w:val="24"/>
        </w:rPr>
        <w:t xml:space="preserve">11.</w:t>
        <w:tab/>
        <w:t xml:space="preserve">לפיכך במצב המשפטי דהיום אני סבור שלצורך הפעלת העונש המותנה דינה של עבירת ניסיון לעבור את עבירת התנאי המושלמת כדין ביצוע עבירת התנאי המושלמת עצמה, ודי בניסיון כדי להפעיל את התנאי. על</w:t>
      </w:r>
      <w:r>
        <w:rPr>
          <w:rFonts w:ascii="Arial" w:hAnsi="Arial" w:cs="Arial"/>
          <w:sz w:val="24"/>
          <w:sz-cs w:val="24"/>
          <w:b/>
          <w:position w:val="4"/>
        </w:rPr>
        <w:t xml:space="preserve">-</w:t>
      </w:r>
      <w:r>
        <w:rPr>
          <w:rFonts w:ascii="Times New Roman" w:hAnsi="Times New Roman" w:cs="Times New Roman"/>
          <w:sz w:val="24"/>
          <w:sz-cs w:val="24"/>
        </w:rPr>
        <w:t xml:space="preserve">כן מקובלת עליי מסקנתו של חברי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שהיה ראוי להפעיל במקרה זה את עונש המאסר המותנה. </w:t>
      </w:r>
    </w:p>
    <w:p>
      <w:pPr>
        <w:jc w:val="both"/>
        <w:bidi/>
        <w:spacing w:after="240"/>
      </w:pPr>
      <w:r>
        <w:rPr>
          <w:rFonts w:ascii="Times New Roman" w:hAnsi="Times New Roman" w:cs="Times New Roman"/>
          <w:sz w:val="24"/>
          <w:sz-cs w:val="24"/>
        </w:rPr>
        <w:t xml:space="preserve">12.</w:t>
        <w:tab/>
        <w:t xml:space="preserve">אני מסכים עם חברי גם כי הוראת </w:t>
      </w:r>
      <w:r>
        <w:rPr>
          <w:rFonts w:ascii="Times New Roman" w:hAnsi="Times New Roman" w:cs="Times New Roman"/>
          <w:sz w:val="24"/>
          <w:sz-cs w:val="24"/>
          <w:u w:val="single"/>
          <w:color w:val="0000FF"/>
        </w:rPr>
        <w:t xml:space="preserve"> HYPERLINK "http://www.nevo.co.il/law/74903/186" סעיף 186</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Times New Roman" w:hAnsi="Times New Roman" w:cs="Times New Roman"/>
          <w:sz w:val="24"/>
          <w:sz-cs w:val="24"/>
        </w:rPr>
        <w:t xml:space="preserve"> [נוסח משולב] אינה מונעת הפעלה של שני עונשי המאסר המותנים במצטבר, משום שנשיאת הנשק ללא היתר והניסיון לחבלה בנסיבות מחמירות הם מעשים שונים לעניין סעיף זה. </w:t>
      </w:r>
    </w:p>
    <w:p>
      <w:pPr>
        <w:jc w:val="both"/>
        <w:bidi/>
        <w:spacing w:after="240"/>
      </w:pPr>
      <w:r>
        <w:rPr>
          <w:rFonts w:ascii="Times New Roman" w:hAnsi="Times New Roman" w:cs="Times New Roman"/>
          <w:sz w:val="24"/>
          <w:sz-cs w:val="24"/>
        </w:rPr>
        <w:t xml:space="preserve"/>
        <w:br w:type="page"/>
        <w:t xml:space="preserve">מעבר לנדרש אוסיף שלדעתי, בהוראת </w:t>
      </w:r>
      <w:r>
        <w:rPr>
          <w:rFonts w:ascii="Times New Roman" w:hAnsi="Times New Roman" w:cs="Times New Roman"/>
          <w:sz w:val="24"/>
          <w:sz-cs w:val="24"/>
          <w:u w:val="single"/>
          <w:color w:val="0000FF"/>
        </w:rPr>
        <w:t xml:space="preserve"> HYPERLINK "http://www.nevo.co.il/law/74903/186" סעיף 186</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"http://www.nevo.co.il/law/74903" חוק סדר הדין הפלילי</w:t>
      </w:r>
      <w:r>
        <w:rPr>
          <w:rFonts w:ascii="Times New Roman" w:hAnsi="Times New Roman" w:cs="Times New Roman"/>
          <w:sz w:val="24"/>
          <w:sz-cs w:val="24"/>
        </w:rPr>
        <w:t xml:space="preserve"> [נוסח משולב] לא היה כדי למנוע הפעלה של שני עונשי המאסר המותנים במצטבר, גם אילו היה מדובר במעשה אחד. </w:t>
      </w:r>
      <w:r>
        <w:rPr>
          <w:rFonts w:ascii="Times New Roman" w:hAnsi="Times New Roman" w:cs="Times New Roman"/>
          <w:sz w:val="24"/>
          <w:sz-cs w:val="24"/>
          <w:u w:val="single"/>
          <w:color w:val="0000FF"/>
        </w:rPr>
        <w:t xml:space="preserve"> HYPERLINK "http://www.nevo.co.il/law/74903/186" סעיף 186</w:t>
      </w:r>
      <w:r>
        <w:rPr>
          <w:rFonts w:ascii="Times New Roman" w:hAnsi="Times New Roman" w:cs="Times New Roman"/>
          <w:sz w:val="24"/>
          <w:sz-cs w:val="24"/>
        </w:rPr>
        <w:t xml:space="preserve"> קובע כי בית</w:t>
      </w:r>
      <w:r>
        <w:rPr>
          <w:rFonts w:ascii="Arial" w:hAnsi="Arial" w:cs="Arial"/>
          <w:sz w:val="24"/>
          <w:sz-cs w:val="24"/>
          <w:b/>
          <w:position w:val="4"/>
        </w:rPr>
        <w:t xml:space="preserve">-</w:t>
      </w:r>
      <w:r>
        <w:rPr>
          <w:rFonts w:ascii="Times New Roman" w:hAnsi="Times New Roman" w:cs="Times New Roman"/>
          <w:sz w:val="24"/>
          <w:sz-cs w:val="24"/>
        </w:rPr>
        <w:t xml:space="preserve">המשפט לא יעניש יותר מפעם אחת בשל אותו מעשה, אולם עונשי המאסר המותנים הם חלק מעונש המאסר הכולל שהוטל על המערער עוד בהליך הקודם, שריצויו נדחה עד לזמן שבו יתמלא התנאי (</w:t>
      </w:r>
      <w:r>
        <w:rPr>
          <w:rFonts w:ascii="Times New Roman" w:hAnsi="Times New Roman" w:cs="Times New Roman"/>
          <w:sz w:val="22"/>
          <w:sz-cs w:val="22"/>
          <w:u w:val="single"/>
          <w:color w:val="0000FF"/>
        </w:rPr>
        <w:t xml:space="preserve">HYPERLINK "http://www.nevo.co.il/case/17911617"ד"נ 13/60</w:t>
      </w:r>
      <w:r>
        <w:rPr>
          <w:rFonts w:ascii="Times New Roman" w:hAnsi="Times New Roman" w:cs="Times New Roman"/>
          <w:sz w:val="22"/>
          <w:sz-cs w:val="22"/>
        </w:rPr>
        <w:t xml:space="preserve"> היועץ המשפטי לממשלה נ' מת</w:t>
      </w:r>
      <w:r>
        <w:rPr>
          <w:rFonts w:ascii="Times New Roman" w:hAnsi="Times New Roman" w:cs="Times New Roman"/>
          <w:sz w:val="28"/>
          <w:sz-cs w:val="28"/>
        </w:rPr>
        <w:t xml:space="preserve">אנה [16]</w:t>
      </w:r>
      <w:r>
        <w:rPr>
          <w:rFonts w:ascii="Times New Roman" w:hAnsi="Times New Roman" w:cs="Times New Roman"/>
          <w:sz w:val="24"/>
          <w:sz-cs w:val="24"/>
        </w:rPr>
        <w:t xml:space="preserve">, </w:t>
      </w:r>
      <w:r>
        <w:rPr>
          <w:rFonts w:ascii="Times New Roman" w:hAnsi="Times New Roman" w:cs="Times New Roman"/>
          <w:sz w:val="22"/>
          <w:sz-cs w:val="22"/>
        </w:rPr>
        <w:t xml:space="preserve">בעמ' 457</w:t>
      </w:r>
      <w:r>
        <w:rPr>
          <w:rFonts w:ascii="Times New Roman" w:hAnsi="Times New Roman" w:cs="Times New Roman"/>
          <w:sz w:val="24"/>
          <w:sz-cs w:val="24"/>
        </w:rPr>
        <w:t xml:space="preserve">; </w:t>
      </w:r>
      <w:r>
        <w:rPr>
          <w:rFonts w:ascii="Times New Roman" w:hAnsi="Times New Roman" w:cs="Times New Roman"/>
          <w:sz w:val="22"/>
          <w:sz-cs w:val="22"/>
          <w:u w:val="single"/>
          <w:color w:val="0000FF"/>
        </w:rPr>
        <w:t xml:space="preserve">HYPERLINK "http://www.nevo.co.il/case/6032952"רע"פ 5798/00</w:t>
      </w:r>
      <w:r>
        <w:rPr>
          <w:rFonts w:ascii="Times New Roman" w:hAnsi="Times New Roman" w:cs="Times New Roman"/>
          <w:sz w:val="22"/>
          <w:sz-cs w:val="22"/>
        </w:rPr>
        <w:t xml:space="preserve"> </w:t>
      </w:r>
      <w:r>
        <w:rPr>
          <w:rFonts w:ascii="Times New Roman" w:hAnsi="Times New Roman" w:cs="Times New Roman"/>
          <w:sz w:val="28"/>
          <w:sz-cs w:val="28"/>
        </w:rPr>
        <w:t xml:space="preserve">ריזי נ' מדינת ישראל [17]</w:t>
      </w:r>
      <w:r>
        <w:rPr>
          <w:rFonts w:ascii="Times New Roman" w:hAnsi="Times New Roman" w:cs="Times New Roman"/>
          <w:sz w:val="24"/>
          <w:sz-cs w:val="24"/>
        </w:rPr>
        <w:t xml:space="preserve">). הפעלתם של העונשים המותנים במסגרת גזר</w:t>
      </w:r>
      <w:r>
        <w:rPr>
          <w:rFonts w:ascii="Arial" w:hAnsi="Arial" w:cs="Arial"/>
          <w:sz w:val="24"/>
          <w:sz-cs w:val="24"/>
          <w:b/>
          <w:position w:val="4"/>
        </w:rPr>
        <w:t xml:space="preserve">-</w:t>
      </w:r>
      <w:r>
        <w:rPr>
          <w:rFonts w:ascii="Times New Roman" w:hAnsi="Times New Roman" w:cs="Times New Roman"/>
          <w:sz w:val="24"/>
          <w:sz-cs w:val="24"/>
        </w:rPr>
        <w:t xml:space="preserve">הדין הנוכחי אינה בגדר ענישה כפולה, אלא בגדר הפעלת העונש שהוטל על המערער בעבר, שריצויו נדחה עד שיתקיים התנאי. התייחס לכך </w:t>
      </w:r>
      <w:r>
        <w:rPr>
          <w:rFonts w:ascii="Times New Roman" w:hAnsi="Times New Roman" w:cs="Times New Roman"/>
          <w:sz w:val="22"/>
          <w:sz-cs w:val="22"/>
        </w:rPr>
        <w:t xml:space="preserve">השופט גרוניס</w:t>
      </w:r>
      <w:r>
        <w:rPr>
          <w:rFonts w:ascii="Times New Roman" w:hAnsi="Times New Roman" w:cs="Times New Roman"/>
          <w:sz w:val="24"/>
          <w:sz-cs w:val="24"/>
        </w:rPr>
        <w:t xml:space="preserve"> ב</w:t>
      </w:r>
      <w:r>
        <w:rPr>
          <w:rFonts w:ascii="Times New Roman" w:hAnsi="Times New Roman" w:cs="Times New Roman"/>
          <w:sz w:val="22"/>
          <w:sz-cs w:val="22"/>
          <w:u w:val="single"/>
          <w:color w:val="0000FF"/>
        </w:rPr>
        <w:t xml:space="preserve">HYPERLINK "http://www.nevo.co.il/case/5777083"רע"פ 4107/02</w:t>
      </w:r>
      <w:r>
        <w:rPr>
          <w:rFonts w:ascii="Times New Roman" w:hAnsi="Times New Roman" w:cs="Times New Roman"/>
          <w:sz w:val="22"/>
          <w:sz-cs w:val="22"/>
        </w:rPr>
        <w:t xml:space="preserve"> אסד נ' מדינת ישראל [18], בעמ' 257</w:t>
      </w:r>
      <w:r>
        <w:rPr>
          <w:rFonts w:ascii="Times New Roman" w:hAnsi="Times New Roman" w:cs="Times New Roman"/>
          <w:sz w:val="24"/>
          <w:sz-cs w:val="24"/>
        </w:rPr>
        <w:t xml:space="preserve">: </w:t>
      </w:r>
    </w:p>
    <w:p>
      <w:pPr>
        <w:jc w:val="both"/>
        <w:bidi/>
        <w:ind w:left="454" w:right="454"/>
        <w:spacing w:after="240"/>
      </w:pPr>
      <w:r>
        <w:rPr>
          <w:rFonts w:ascii="Times New Roman" w:hAnsi="Times New Roman" w:cs="Times New Roman"/>
          <w:sz w:val="24"/>
          <w:sz-cs w:val="24"/>
        </w:rPr>
        <w:t xml:space="preserve">"...האם הפעלה של מאסר מותנה אין משמעותה ענישה כפולה? הרי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גוזר עונש במשפט הראשון – הוא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 והנה בהליך מאוחר יותר מופעל המאסר. התשובה היא שבמקרה של הפעלת מאסר מותנה אין מדובר בענישה כפולה בשל אותו מעשה. עסקינן למעשה בעונש מאסר שנדחה מועד ריצויו... ההליך המאוחר שבו מופעל עונש המאסר המותנה, אינו מביא להטלתו של עונש נוסף בגין העבירה המקורית, אלא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מטיל עונש בגין העבירה הנוספת, היא עבירת התנאי, ומפעיל את העונש, שהוטל בעבר בשל העבירה המקורית, ואשר הנאשם טרם ריצה". </w:t>
      </w:r>
    </w:p>
    <w:p>
      <w:pPr>
        <w:jc w:val="both"/>
        <w:bidi/>
        <w:spacing w:after="240"/>
      </w:pPr>
      <w:r>
        <w:rPr>
          <w:rFonts w:ascii="Times New Roman" w:hAnsi="Times New Roman" w:cs="Times New Roman"/>
          <w:sz w:val="24"/>
          <w:sz-cs w:val="24"/>
        </w:rPr>
        <w:t xml:space="preserve"/>
        <w:br w:type="page"/>
        <w:t xml:space="preserve">משהפעלת התנאי אינה בגדר ענישה, אלא הפעלה של העונש שהוטל בעבר, לא חל עליה האיסור בדבר ענישה של "יותר מפעם אחת בשל אותו מעשה". </w:t>
      </w:r>
    </w:p>
    <w:p>
      <w:pPr>
        <w:jc w:val="both"/>
        <w:bidi/>
        <w:spacing w:after="240"/>
      </w:pPr>
      <w:r>
        <w:rPr>
          <w:rFonts w:ascii="Times New Roman" w:hAnsi="Times New Roman" w:cs="Times New Roman"/>
          <w:sz w:val="24"/>
          <w:sz-cs w:val="24"/>
        </w:rPr>
        <w:t xml:space="preserve">13.</w:t>
        <w:tab/>
        <w:t xml:space="preserve">לאור האמור אני מסכים שיש לדחות את ערעורו של המערער ב</w:t>
      </w:r>
      <w:r>
        <w:rPr>
          <w:rFonts w:ascii="Times New Roman" w:hAnsi="Times New Roman" w:cs="Times New Roman"/>
          <w:sz w:val="24"/>
          <w:sz-cs w:val="24"/>
          <w:u w:val="single"/>
          <w:color w:val="0000FF"/>
        </w:rPr>
        <w:t xml:space="preserve">HYPERLINK "http://www.nevo.co.il/case/5962012"ע"פ 4517/04</w:t>
      </w:r>
      <w:r>
        <w:rPr>
          <w:rFonts w:ascii="Times New Roman" w:hAnsi="Times New Roman" w:cs="Times New Roman"/>
          <w:sz w:val="24"/>
          <w:sz-cs w:val="24"/>
        </w:rPr>
        <w:t xml:space="preserve"> ולקבל את ערעור המדינה ב</w:t>
      </w:r>
      <w:r>
        <w:rPr>
          <w:rFonts w:ascii="Times New Roman" w:hAnsi="Times New Roman" w:cs="Times New Roman"/>
          <w:sz w:val="24"/>
          <w:sz-cs w:val="24"/>
          <w:u w:val="single"/>
          <w:color w:val="0000FF"/>
        </w:rPr>
        <w:t xml:space="preserve">HYPERLINK "http://www.nevo.co.il/case/5962013"ע"פ 4571/04</w:t>
      </w:r>
      <w:r>
        <w:rPr>
          <w:rFonts w:ascii="Times New Roman" w:hAnsi="Times New Roman" w:cs="Times New Roman"/>
          <w:sz w:val="24"/>
          <w:sz-cs w:val="24"/>
        </w:rPr>
        <w:t xml:space="preserve"> תוך הפעלת עונשי המאסר המותנים בחופף ביניהם ובמצטבר לעונש שנגזר על המערער בתיק זה. </w:t>
      </w:r>
    </w:p>
    <w:p>
      <w:pPr>
        <w:jc w:val="both"/>
        <w:bidi/>
        <w:spacing w:before="240"/>
      </w:pPr>
      <w:r>
        <w:rPr>
          <w:rFonts w:ascii="Arial" w:hAnsi="Arial" w:cs="Arial"/>
          <w:sz w:val="24"/>
          <w:sz-cs w:val="24"/>
        </w:rPr>
        <w:t xml:space="preserve">השופט א' גרוניס</w:t>
      </w:r>
    </w:p>
    <w:p>
      <w:pPr>
        <w:jc w:val="both"/>
        <w:bidi/>
        <w:spacing w:after="240"/>
      </w:pPr>
      <w:r>
        <w:rPr>
          <w:rFonts w:ascii="Times New Roman" w:hAnsi="Times New Roman" w:cs="Times New Roman"/>
          <w:sz w:val="24"/>
          <w:sz-cs w:val="24"/>
        </w:rPr>
        <w:t xml:space="preserve">1.</w:t>
        <w:tab/>
        <w:t xml:space="preserve">המערער ב</w:t>
      </w:r>
      <w:r>
        <w:rPr>
          <w:rFonts w:ascii="Times New Roman" w:hAnsi="Times New Roman" w:cs="Times New Roman"/>
          <w:sz w:val="24"/>
          <w:sz-cs w:val="24"/>
          <w:u w:val="single"/>
          <w:color w:val="0000FF"/>
        </w:rPr>
        <w:t xml:space="preserve">HYPERLINK "http://www.nevo.co.il/case/5962012"</w:t>
      </w:r>
      <w:r>
        <w:rPr>
          <w:rFonts w:ascii="Times New Roman" w:hAnsi="Times New Roman" w:cs="Times New Roman"/>
          <w:sz w:val="24"/>
          <w:sz-cs w:val="24"/>
          <w:u w:val="single"/>
          <w:color w:val="0000FF"/>
        </w:rPr>
        <w:t xml:space="preserve">ע"פ 4517/04</w:t>
      </w:r>
      <w:r>
        <w:rPr>
          <w:rFonts w:ascii="Times New Roman" w:hAnsi="Times New Roman" w:cs="Times New Roman"/>
          <w:sz w:val="24"/>
          <w:sz-cs w:val="24"/>
        </w:rPr>
        <w:t xml:space="preserve">, הוא המשיב ב</w:t>
      </w:r>
      <w:r>
        <w:rPr>
          <w:rFonts w:ascii="Times New Roman" w:hAnsi="Times New Roman" w:cs="Times New Roman"/>
          <w:sz w:val="24"/>
          <w:sz-cs w:val="24"/>
          <w:u w:val="single"/>
          <w:color w:val="0000FF"/>
        </w:rPr>
        <w:t xml:space="preserve">HYPERLINK "http://www.nevo.co.il/case/5962013"</w:t>
      </w:r>
      <w:r>
        <w:rPr>
          <w:rFonts w:ascii="Times New Roman" w:hAnsi="Times New Roman" w:cs="Times New Roman"/>
          <w:sz w:val="24"/>
          <w:sz-cs w:val="24"/>
          <w:u w:val="single"/>
          <w:color w:val="0000FF"/>
        </w:rPr>
        <w:t xml:space="preserve">ע"פ 4571/04</w:t>
      </w:r>
      <w:r>
        <w:rPr>
          <w:rFonts w:ascii="Times New Roman" w:hAnsi="Times New Roman" w:cs="Times New Roman"/>
          <w:sz w:val="24"/>
          <w:sz-cs w:val="24"/>
        </w:rPr>
        <w:t xml:space="preserve"> (להלן – המערער), הורשע בגין שתי עבירות: נשיאת נשק בלא רשות, לפי </w:t>
      </w:r>
      <w:r>
        <w:rPr>
          <w:rFonts w:ascii="Times New Roman" w:hAnsi="Times New Roman" w:cs="Times New Roman"/>
          <w:sz w:val="24"/>
          <w:sz-cs w:val="24"/>
          <w:u w:val="single"/>
          <w:color w:val="0000FF"/>
        </w:rPr>
        <w:t xml:space="preserve"> HYPERLINK "http://www.nevo.co.il/law/70301/144.b" סעיף 144(ב)</w:t>
      </w:r>
      <w:r>
        <w:rPr>
          <w:rFonts w:ascii="Times New Roman" w:hAnsi="Times New Roman" w:cs="Times New Roman"/>
          <w:sz w:val="24"/>
          <w:sz-cs w:val="24"/>
        </w:rPr>
        <w:t xml:space="preserve"> רישה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(להלן – החוק), וניסיון לפצוע בנסיבות מחמירות, לפי </w:t>
      </w:r>
      <w:r>
        <w:rPr>
          <w:rFonts w:ascii="Times New Roman" w:hAnsi="Times New Roman" w:cs="Times New Roman"/>
          <w:sz w:val="24"/>
          <w:sz-cs w:val="24"/>
          <w:u w:val="single"/>
          <w:color w:val="0000FF"/>
        </w:rPr>
        <w:t xml:space="preserve"> HYPERLINK "http://www.nevo.co.il/law/70301/334" סעיף 334</w:t>
      </w:r>
      <w:r>
        <w:rPr>
          <w:rFonts w:ascii="Times New Roman" w:hAnsi="Times New Roman" w:cs="Times New Roman"/>
          <w:sz w:val="24"/>
          <w:sz-cs w:val="24"/>
        </w:rPr>
        <w:t xml:space="preserve"> במשולב עם </w:t>
      </w:r>
      <w:r>
        <w:rPr>
          <w:rFonts w:ascii="Times New Roman" w:hAnsi="Times New Roman" w:cs="Times New Roman"/>
          <w:sz w:val="24"/>
          <w:sz-cs w:val="24"/>
          <w:u w:val="single"/>
          <w:color w:val="0000FF"/>
        </w:rPr>
        <w:t xml:space="preserve"> HYPERLINK "http://www.nevo.co.il/law/70301/335" סעיף 335</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"http://www.nevo.co.il/law/70301/25" וסעיף 25</w:t>
      </w:r>
      <w:r>
        <w:rPr>
          <w:rFonts w:ascii="Times New Roman" w:hAnsi="Times New Roman" w:cs="Times New Roman"/>
          <w:sz w:val="24"/>
          <w:sz-cs w:val="24"/>
        </w:rPr>
        <w:t xml:space="preserve"> לחוק. מעל ראשו של המערער היו תלויים שני עונשי מאסר על</w:t>
      </w:r>
      <w:r>
        <w:rPr>
          <w:rFonts w:ascii="Arial" w:hAnsi="Arial" w:cs="Arial"/>
          <w:sz w:val="24"/>
          <w:sz-cs w:val="24"/>
          <w:b/>
          <w:position w:val="4"/>
        </w:rPr>
        <w:t xml:space="preserve">-</w:t>
      </w:r>
      <w:r>
        <w:rPr>
          <w:rFonts w:ascii="Times New Roman" w:hAnsi="Times New Roman" w:cs="Times New Roman"/>
          <w:sz w:val="24"/>
          <w:sz-cs w:val="24"/>
        </w:rPr>
        <w:t xml:space="preserve">תנאי שהוטלו בהליך קודם: האחד, מאסר של 18 חודשים לתקופה של 24 חודשים שלא יעבור עבירה לפי </w:t>
      </w:r>
      <w:r>
        <w:rPr>
          <w:rFonts w:ascii="Times New Roman" w:hAnsi="Times New Roman" w:cs="Times New Roman"/>
          <w:sz w:val="24"/>
          <w:sz-cs w:val="24"/>
          <w:u w:val="single"/>
          <w:color w:val="0000FF"/>
        </w:rPr>
        <w:t xml:space="preserve"> HYPERLINK "http://www.nevo.co.il/law/70301/dSjC" </w:t>
      </w:r>
      <w:r>
        <w:rPr>
          <w:rFonts w:ascii="Times New Roman" w:hAnsi="Times New Roman" w:cs="Times New Roman"/>
          <w:sz w:val="24"/>
          <w:sz-cs w:val="24"/>
          <w:u w:val="single"/>
          <w:color w:val="0000FF"/>
        </w:rPr>
        <w:t xml:space="preserve">סימן ד' לפרק י'</w:t>
      </w:r>
      <w:r>
        <w:rPr>
          <w:rFonts w:ascii="Times New Roman" w:hAnsi="Times New Roman" w:cs="Times New Roman"/>
          <w:sz w:val="24"/>
          <w:sz-cs w:val="24"/>
        </w:rPr>
        <w:t xml:space="preserve"> לחוק. השני, מאסר של 12 חודשים לתקופה של 24 חודשים שלא יעבור עבירה לפי </w:t>
      </w:r>
      <w:r>
        <w:rPr>
          <w:rFonts w:ascii="Times New Roman" w:hAnsi="Times New Roman" w:cs="Times New Roman"/>
          <w:sz w:val="24"/>
          <w:sz-cs w:val="24"/>
          <w:u w:val="single"/>
          <w:color w:val="0000FF"/>
        </w:rPr>
        <w:t xml:space="preserve"> HYPERLINK "http://www.nevo.co.il/law/70301/144" סעיף 144</w:t>
      </w:r>
      <w:r>
        <w:rPr>
          <w:rFonts w:ascii="Times New Roman" w:hAnsi="Times New Roman" w:cs="Times New Roman"/>
          <w:sz w:val="24"/>
          <w:sz-cs w:val="24"/>
        </w:rPr>
        <w:t xml:space="preserve"> לחוק. המדינה (המשיבה ב</w:t>
      </w:r>
      <w:r>
        <w:rPr>
          <w:rFonts w:ascii="Times New Roman" w:hAnsi="Times New Roman" w:cs="Times New Roman"/>
          <w:sz w:val="24"/>
          <w:sz-cs w:val="24"/>
          <w:u w:val="single"/>
          <w:color w:val="0000FF"/>
        </w:rPr>
        <w:t xml:space="preserve">HYPERLINK "http://www.nevo.co.il/case/5962012"</w:t>
      </w:r>
      <w:r>
        <w:rPr>
          <w:rFonts w:ascii="Times New Roman" w:hAnsi="Times New Roman" w:cs="Times New Roman"/>
          <w:sz w:val="24"/>
          <w:sz-cs w:val="24"/>
          <w:u w:val="single"/>
          <w:color w:val="0000FF"/>
        </w:rPr>
        <w:t xml:space="preserve">ע"פ 4517/04</w:t>
      </w:r>
      <w:r>
        <w:rPr>
          <w:rFonts w:ascii="Times New Roman" w:hAnsi="Times New Roman" w:cs="Times New Roman"/>
          <w:sz w:val="24"/>
          <w:sz-cs w:val="24"/>
        </w:rPr>
        <w:t xml:space="preserve">, היא המערערת ב</w:t>
      </w:r>
      <w:r>
        <w:rPr>
          <w:rFonts w:ascii="Times New Roman" w:hAnsi="Times New Roman" w:cs="Times New Roman"/>
          <w:sz w:val="24"/>
          <w:sz-cs w:val="24"/>
          <w:u w:val="single"/>
          <w:color w:val="0000FF"/>
        </w:rPr>
        <w:t xml:space="preserve">HYPERLINK "http://www.nevo.co.il/case/5962013"</w:t>
      </w:r>
      <w:r>
        <w:rPr>
          <w:rFonts w:ascii="Times New Roman" w:hAnsi="Times New Roman" w:cs="Times New Roman"/>
          <w:sz w:val="24"/>
          <w:sz-cs w:val="24"/>
          <w:u w:val="single"/>
          <w:color w:val="0000FF"/>
        </w:rPr>
        <w:t xml:space="preserve">ע"פ 4571/04</w:t>
      </w:r>
      <w:r>
        <w:rPr>
          <w:rFonts w:ascii="Times New Roman" w:hAnsi="Times New Roman" w:cs="Times New Roman"/>
          <w:sz w:val="24"/>
          <w:sz-cs w:val="24"/>
        </w:rPr>
        <w:t xml:space="preserve">) עתרה בערכאה הדיונית להפעלה של שני המאסרים המותנים כך שיצטברו האחד למשנהו, ויחדיו יצטברו לעונש שיושת בעקבות ההרשעה. שתי שאלות התעוררו בפני בית</w:t>
      </w:r>
      <w:r>
        <w:rPr>
          <w:rFonts w:ascii="Arial" w:hAnsi="Arial" w:cs="Arial"/>
          <w:sz w:val="24"/>
          <w:sz-cs w:val="24"/>
          <w:b/>
          <w:position w:val="4"/>
        </w:rPr>
        <w:t xml:space="preserve">-</w:t>
      </w:r>
      <w:r>
        <w:rPr>
          <w:rFonts w:ascii="Times New Roman" w:hAnsi="Times New Roman" w:cs="Times New Roman"/>
          <w:sz w:val="24"/>
          <w:sz-cs w:val="24"/>
        </w:rPr>
        <w:t xml:space="preserve">משפט קמא ועתה בפנינו: ראשית, האם ניתן להפעיל את המאסר המותנה הראשון, זה של 18 חודשים? שנית, ובהנחה שהתשובה על השאלה הראשונה הינה חיובית, האם לאור נסיבות המקרה ניתן להפעיל את שני המאסרים המותנים יחדיו? לעניין השאלה השנייה מסכים אני לדעתו של חברי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כי ניתן להפעיל את שני המאסרים המותנים, וכי לעניין ההפעלה ראוי למעשה לחפוף בין שני עונשים אלה. אין בידי להסכים לעמדתו של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בכל הנוגע לשאלה הראשונה. </w:t>
      </w:r>
    </w:p>
    <w:p>
      <w:pPr>
        <w:jc w:val="both"/>
        <w:bidi/>
        <w:spacing w:after="240"/>
      </w:pPr>
      <w:r>
        <w:rPr>
          <w:rFonts w:ascii="Times New Roman" w:hAnsi="Times New Roman" w:cs="Times New Roman"/>
          <w:sz w:val="24"/>
          <w:sz-cs w:val="24"/>
        </w:rPr>
        <w:t xml:space="preserve">2.</w:t>
        <w:tab/>
        <w:t xml:space="preserve">בהליך הקודם שבו הורשע המערער הוטלו שני מאסרים מותנים, ולעניין השאלה הראשונה מתמקדים אנו באחד מהם. כאמור, מדובר במאסר של 18 חודשים לתקופה של 24 חודשים, שלא יעבור עבירה לפי </w:t>
      </w:r>
      <w:r>
        <w:rPr>
          <w:rFonts w:ascii="Times New Roman" w:hAnsi="Times New Roman" w:cs="Times New Roman"/>
          <w:sz w:val="24"/>
          <w:sz-cs w:val="24"/>
          <w:u w:val="single"/>
          <w:color w:val="0000FF"/>
        </w:rPr>
        <w:t xml:space="preserve"> HYPERLINK "http://www.nevo.co.il/law/70301/dSjC" </w:t>
      </w:r>
      <w:r>
        <w:rPr>
          <w:rFonts w:ascii="Times New Roman" w:hAnsi="Times New Roman" w:cs="Times New Roman"/>
          <w:sz w:val="24"/>
          <w:sz-cs w:val="24"/>
          <w:u w:val="single"/>
          <w:color w:val="0000FF"/>
        </w:rPr>
        <w:t xml:space="preserve">סימן ד' לפרק י'</w:t>
      </w:r>
      <w:r>
        <w:rPr>
          <w:rFonts w:ascii="Times New Roman" w:hAnsi="Times New Roman" w:cs="Times New Roman"/>
          <w:sz w:val="24"/>
          <w:sz-cs w:val="24"/>
        </w:rPr>
        <w:t xml:space="preserve"> לחוק. בקביעת עבירות התנאי לא התייחס כלל בית</w:t>
      </w:r>
      <w:r>
        <w:rPr>
          <w:rFonts w:ascii="Arial" w:hAnsi="Arial" w:cs="Arial"/>
          <w:sz w:val="24"/>
          <w:sz-cs w:val="24"/>
          <w:b/>
          <w:position w:val="4"/>
        </w:rPr>
        <w:t xml:space="preserve">-</w:t>
      </w:r>
      <w:r>
        <w:rPr>
          <w:rFonts w:ascii="Times New Roman" w:hAnsi="Times New Roman" w:cs="Times New Roman"/>
          <w:sz w:val="24"/>
          <w:sz-cs w:val="24"/>
        </w:rPr>
        <w:t xml:space="preserve">המשפט שדן באותו הליך לסוגיית הניסיון לעבור עבירות לפי הסימן האמור. בהליך הנוכחי הורשע המערער, בין היתר, בעבירה של ניסיון לפצוע בנסיבות מחמירות, לפי </w:t>
      </w:r>
      <w:r>
        <w:rPr>
          <w:rFonts w:ascii="Times New Roman" w:hAnsi="Times New Roman" w:cs="Times New Roman"/>
          <w:sz w:val="24"/>
          <w:sz-cs w:val="24"/>
          <w:u w:val="single"/>
          <w:color w:val="0000FF"/>
        </w:rPr>
        <w:t xml:space="preserve"> HYPERLINK "http://www.nevo.co.il/law/70301/334" סעיף 334</w:t>
      </w:r>
      <w:r>
        <w:rPr>
          <w:rFonts w:ascii="Times New Roman" w:hAnsi="Times New Roman" w:cs="Times New Roman"/>
          <w:sz w:val="24"/>
          <w:sz-cs w:val="24"/>
        </w:rPr>
        <w:t xml:space="preserve"> במשולב עם </w:t>
      </w:r>
      <w:r>
        <w:rPr>
          <w:rFonts w:ascii="Times New Roman" w:hAnsi="Times New Roman" w:cs="Times New Roman"/>
          <w:sz w:val="24"/>
          <w:sz-cs w:val="24"/>
          <w:u w:val="single"/>
          <w:color w:val="0000FF"/>
        </w:rPr>
        <w:t xml:space="preserve"> HYPERLINK "http://www.nevo.co.il/law/70301/335" סעיף 335</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"http://www.nevo.co.il/law/70301/25" וסעיף 25</w:t>
      </w:r>
      <w:r>
        <w:rPr>
          <w:rFonts w:ascii="Times New Roman" w:hAnsi="Times New Roman" w:cs="Times New Roman"/>
          <w:sz w:val="24"/>
          <w:sz-cs w:val="24"/>
        </w:rPr>
        <w:t xml:space="preserve"> לחוק. </w:t>
      </w:r>
      <w:r>
        <w:rPr>
          <w:rFonts w:ascii="Times New Roman" w:hAnsi="Times New Roman" w:cs="Times New Roman"/>
          <w:sz w:val="24"/>
          <w:sz-cs w:val="24"/>
          <w:u w:val="single"/>
          <w:color w:val="0000FF"/>
        </w:rPr>
        <w:t xml:space="preserve"> HYPERLINK "http://www.nevo.co.il/law/70301/334" סעיפים 334</w:t>
      </w:r>
      <w:r>
        <w:rPr>
          <w:rFonts w:ascii="Times New Roman" w:hAnsi="Times New Roman" w:cs="Times New Roman"/>
          <w:sz w:val="24"/>
          <w:sz-cs w:val="24"/>
        </w:rPr>
        <w:t xml:space="preserve"> ו</w:t>
      </w:r>
      <w:r>
        <w:rPr>
          <w:rFonts w:ascii="Arial" w:hAnsi="Arial" w:cs="Arial"/>
          <w:sz w:val="24"/>
          <w:sz-cs w:val="24"/>
          <w:b/>
          <w:position w:val="4"/>
        </w:rPr>
        <w:t xml:space="preserve">-</w:t>
      </w:r>
      <w:r>
        <w:rPr>
          <w:rFonts w:ascii="Times New Roman" w:hAnsi="Times New Roman" w:cs="Times New Roman"/>
          <w:sz w:val="24"/>
          <w:sz-cs w:val="24"/>
          <w:u w:val="single"/>
          <w:color w:val="0000FF"/>
        </w:rPr>
        <w:t xml:space="preserve"> HYPERLINK "http://www.nevo.co.il/law/70301/335" 335</w:t>
      </w:r>
      <w:r>
        <w:rPr>
          <w:rFonts w:ascii="Times New Roman" w:hAnsi="Times New Roman" w:cs="Times New Roman"/>
          <w:sz w:val="24"/>
          <w:sz-cs w:val="24"/>
        </w:rPr>
        <w:t xml:space="preserve"> כלולים בגדר </w:t>
      </w:r>
      <w:r>
        <w:rPr>
          <w:rFonts w:ascii="Times New Roman" w:hAnsi="Times New Roman" w:cs="Times New Roman"/>
          <w:sz w:val="24"/>
          <w:sz-cs w:val="24"/>
          <w:u w:val="single"/>
          <w:color w:val="0000FF"/>
        </w:rPr>
        <w:t xml:space="preserve"> HYPERLINK "http://www.nevo.co.il/law/70301/dSjC" סימן ד'</w:t>
      </w:r>
      <w:r>
        <w:rPr>
          <w:rFonts w:ascii="Times New Roman" w:hAnsi="Times New Roman" w:cs="Times New Roman"/>
          <w:sz w:val="24"/>
          <w:sz-cs w:val="24"/>
        </w:rPr>
        <w:t xml:space="preserve"> הנזכר. </w:t>
      </w:r>
      <w:r>
        <w:rPr>
          <w:rFonts w:ascii="Times New Roman" w:hAnsi="Times New Roman" w:cs="Times New Roman"/>
          <w:sz w:val="24"/>
          <w:sz-cs w:val="24"/>
          <w:u w:val="single"/>
          <w:color w:val="0000FF"/>
        </w:rPr>
        <w:t xml:space="preserve"> HYPERLINK "http://www.nevo.co.il/law/70301/25" סעיף 25</w:t>
      </w:r>
      <w:r>
        <w:rPr>
          <w:rFonts w:ascii="Times New Roman" w:hAnsi="Times New Roman" w:cs="Times New Roman"/>
          <w:sz w:val="24"/>
          <w:sz-cs w:val="24"/>
        </w:rPr>
        <w:t xml:space="preserve"> לחוק הוא הסעיף העוסק בניסיון לעבור עבירה. על</w:t>
      </w:r>
      <w:r>
        <w:rPr>
          <w:rFonts w:ascii="Arial" w:hAnsi="Arial" w:cs="Arial"/>
          <w:sz w:val="24"/>
          <w:sz-cs w:val="24"/>
          <w:b/>
          <w:position w:val="4"/>
        </w:rPr>
        <w:t xml:space="preserve">-</w:t>
      </w:r>
      <w:r>
        <w:rPr>
          <w:rFonts w:ascii="Times New Roman" w:hAnsi="Times New Roman" w:cs="Times New Roman"/>
          <w:sz w:val="24"/>
          <w:sz-cs w:val="24"/>
        </w:rPr>
        <w:t xml:space="preserve">כן ברור כי המערער לא הורשע בעבירה מושלמת מבין </w:t>
      </w:r>
    </w:p>
    <w:p>
      <w:pPr>
        <w:jc w:val="both"/>
        <w:bidi/>
        <w:spacing w:after="240"/>
      </w:pPr>
      <w:r>
        <w:rPr>
          <w:rFonts w:ascii="Times New Roman" w:hAnsi="Times New Roman" w:cs="Times New Roman"/>
          <w:sz w:val="24"/>
          <w:sz-cs w:val="24"/>
        </w:rPr>
        <w:t xml:space="preserve"/>
        <w:br w:type="page"/>
        <w:t xml:space="preserve">העבירות </w:t>
      </w:r>
      <w:r>
        <w:rPr>
          <w:rFonts w:ascii="Times New Roman" w:hAnsi="Times New Roman" w:cs="Times New Roman"/>
          <w:sz w:val="24"/>
          <w:sz-cs w:val="24"/>
          <w:u w:val="single"/>
          <w:color w:val="0000FF"/>
        </w:rPr>
        <w:t xml:space="preserve"> HYPERLINK "http://www.nevo.co.il/law/70301/dSjC" שבסימן ד'</w:t>
      </w:r>
      <w:r>
        <w:rPr>
          <w:rFonts w:ascii="Times New Roman" w:hAnsi="Times New Roman" w:cs="Times New Roman"/>
          <w:sz w:val="24"/>
          <w:sz-cs w:val="24"/>
        </w:rPr>
        <w:t xml:space="preserve">, לפיכך מתעוררת השאלה אם די בניסיון לעבור עבירה שהיא עבירת תנאי על</w:t>
      </w:r>
      <w:r>
        <w:rPr>
          <w:rFonts w:ascii="Arial" w:hAnsi="Arial" w:cs="Arial"/>
          <w:sz w:val="24"/>
          <w:sz-cs w:val="24"/>
          <w:b/>
          <w:position w:val="4"/>
        </w:rPr>
        <w:t xml:space="preserve">-</w:t>
      </w:r>
      <w:r>
        <w:rPr>
          <w:rFonts w:ascii="Times New Roman" w:hAnsi="Times New Roman" w:cs="Times New Roman"/>
          <w:sz w:val="24"/>
          <w:sz-cs w:val="24"/>
        </w:rPr>
        <w:t xml:space="preserve">מנת שהתנאי יופעל. על</w:t>
      </w:r>
      <w:r>
        <w:rPr>
          <w:rFonts w:ascii="Arial" w:hAnsi="Arial" w:cs="Arial"/>
          <w:sz w:val="24"/>
          <w:sz-cs w:val="24"/>
          <w:b/>
          <w:position w:val="4"/>
        </w:rPr>
        <w:t xml:space="preserve">-</w:t>
      </w:r>
      <w:r>
        <w:rPr>
          <w:rFonts w:ascii="Times New Roman" w:hAnsi="Times New Roman" w:cs="Times New Roman"/>
          <w:sz w:val="24"/>
          <w:sz-cs w:val="24"/>
        </w:rPr>
        <w:t xml:space="preserve">פי גישתו של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השאלה שהוצגה זה עתה בהיבט העקרוני שלה אינה מתעוררת, מאחר שהעובדות שהוכחו מגלות כי המערער אכן עבר עבירה מבין העבירות </w:t>
      </w:r>
      <w:r>
        <w:rPr>
          <w:rFonts w:ascii="Times New Roman" w:hAnsi="Times New Roman" w:cs="Times New Roman"/>
          <w:sz w:val="24"/>
          <w:sz-cs w:val="24"/>
          <w:u w:val="single"/>
          <w:color w:val="0000FF"/>
        </w:rPr>
        <w:t xml:space="preserve"> HYPERLINK "http://www.nevo.co.il/law/70301/dC" שבסימן ד'</w:t>
      </w:r>
      <w:r>
        <w:rPr>
          <w:rFonts w:ascii="Times New Roman" w:hAnsi="Times New Roman" w:cs="Times New Roman"/>
          <w:sz w:val="24"/>
          <w:sz-cs w:val="24"/>
        </w:rPr>
        <w:t xml:space="preserve">, אף שלא הואשם – וממילא לא הורשע – בעבירה זו. הכוונה לעבירה לפי </w:t>
      </w:r>
      <w:r>
        <w:rPr>
          <w:rFonts w:ascii="Times New Roman" w:hAnsi="Times New Roman" w:cs="Times New Roman"/>
          <w:sz w:val="24"/>
          <w:sz-cs w:val="24"/>
          <w:u w:val="single"/>
          <w:color w:val="0000FF"/>
        </w:rPr>
        <w:t xml:space="preserve"> HYPERLINK "http://www.nevo.co.il/law/70301/329.a.2" סעיף 329(א)(2)</w:t>
      </w:r>
      <w:r>
        <w:rPr>
          <w:rFonts w:ascii="Times New Roman" w:hAnsi="Times New Roman" w:cs="Times New Roman"/>
          <w:sz w:val="24"/>
          <w:sz-cs w:val="24"/>
        </w:rPr>
        <w:t xml:space="preserve"> לחוק ("</w:t>
      </w:r>
      <w:r>
        <w:rPr>
          <w:rFonts w:ascii="Times New Roman" w:hAnsi="Times New Roman" w:cs="Times New Roman"/>
          <w:sz w:val="28"/>
          <w:sz-cs w:val="28"/>
        </w:rPr>
        <w:t xml:space="preserve">מנסה</w:t>
      </w:r>
      <w:r>
        <w:rPr>
          <w:rFonts w:ascii="Times New Roman" w:hAnsi="Times New Roman" w:cs="Times New Roman"/>
          <w:sz w:val="24"/>
          <w:sz-cs w:val="24"/>
        </w:rPr>
        <w:t xml:space="preserve"> שלא כדין לפגוע באדם בקליע, בסכין או בנשק מסוכן או פוגעני אחר" (ההדגשה שלי – א' ג')). </w:t>
      </w:r>
    </w:p>
    <w:p>
      <w:pPr>
        <w:jc w:val="both"/>
        <w:bidi/>
        <w:spacing w:after="240"/>
      </w:pPr>
      <w:r>
        <w:rPr>
          <w:rFonts w:ascii="Times New Roman" w:hAnsi="Times New Roman" w:cs="Times New Roman"/>
          <w:sz w:val="24"/>
          <w:sz-cs w:val="24"/>
        </w:rPr>
        <w:t xml:space="preserve">3.</w:t>
        <w:tab/>
        <w:t xml:space="preserve">העונש המרבי בגין העבירה לפי </w:t>
      </w:r>
      <w:r>
        <w:rPr>
          <w:rFonts w:ascii="Times New Roman" w:hAnsi="Times New Roman" w:cs="Times New Roman"/>
          <w:sz w:val="24"/>
          <w:sz-cs w:val="24"/>
          <w:u w:val="single"/>
          <w:color w:val="0000FF"/>
        </w:rPr>
        <w:t xml:space="preserve"> HYPERLINK "http://www.nevo.co.il/law/70301/329" סעיף 329</w:t>
      </w:r>
      <w:r>
        <w:rPr>
          <w:rFonts w:ascii="Times New Roman" w:hAnsi="Times New Roman" w:cs="Times New Roman"/>
          <w:sz w:val="24"/>
          <w:sz-cs w:val="24"/>
        </w:rPr>
        <w:t xml:space="preserve"> הינו 20 שנות מאסר. העונש בשל עבירה המשלבת יחדיו את </w:t>
      </w:r>
      <w:r>
        <w:rPr>
          <w:rFonts w:ascii="Times New Roman" w:hAnsi="Times New Roman" w:cs="Times New Roman"/>
          <w:sz w:val="24"/>
          <w:sz-cs w:val="24"/>
          <w:u w:val="single"/>
          <w:color w:val="0000FF"/>
        </w:rPr>
        <w:t xml:space="preserve"> HYPERLINK "http://www.nevo.co.il/law/70301/334" סעיפים 334</w:t>
      </w:r>
      <w:r>
        <w:rPr>
          <w:rFonts w:ascii="Times New Roman" w:hAnsi="Times New Roman" w:cs="Times New Roman"/>
          <w:sz w:val="24"/>
          <w:sz-cs w:val="24"/>
        </w:rPr>
        <w:t xml:space="preserve"> ו</w:t>
      </w:r>
      <w:r>
        <w:rPr>
          <w:rFonts w:ascii="Arial" w:hAnsi="Arial" w:cs="Arial"/>
          <w:sz w:val="24"/>
          <w:sz-cs w:val="24"/>
          <w:b/>
          <w:position w:val="4"/>
        </w:rPr>
        <w:t xml:space="preserve">-</w:t>
      </w:r>
      <w:r>
        <w:rPr>
          <w:rFonts w:ascii="Times New Roman" w:hAnsi="Times New Roman" w:cs="Times New Roman"/>
          <w:sz w:val="24"/>
          <w:sz-cs w:val="24"/>
          <w:u w:val="single"/>
          <w:color w:val="0000FF"/>
        </w:rPr>
        <w:t xml:space="preserve"> HYPERLINK "http://www.nevo.co.il/law/70301/335.a" 335(א)</w:t>
      </w:r>
      <w:r>
        <w:rPr>
          <w:rFonts w:ascii="Times New Roman" w:hAnsi="Times New Roman" w:cs="Times New Roman"/>
          <w:sz w:val="24"/>
          <w:sz-cs w:val="24"/>
        </w:rPr>
        <w:t xml:space="preserve"> לחוק הוא שש שנות מאסר. כיום, ומאז </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(תיקון מס' 39) (חלק מקדמי וחלק כללי) (להלן – תיקון 39), העונש שצפוי למי שהורשע בגין עבירת ניסיון הינו כעונש בגין העבירה המוגמרת. אכן, קיים דמיון</w:t>
      </w:r>
      <w:r>
        <w:rPr>
          <w:rFonts w:ascii="Arial" w:hAnsi="Arial" w:cs="Arial"/>
          <w:sz w:val="24"/>
          <w:sz-cs w:val="24"/>
          <w:b/>
          <w:position w:val="4"/>
        </w:rPr>
        <w:t xml:space="preserve">-</w:t>
      </w:r>
      <w:r>
        <w:rPr>
          <w:rFonts w:ascii="Times New Roman" w:hAnsi="Times New Roman" w:cs="Times New Roman"/>
          <w:sz w:val="24"/>
          <w:sz-cs w:val="24"/>
        </w:rPr>
        <w:t xml:space="preserve">מה בין שתי העבירות הנזכרות, שהרי הן כוללות יסודות משותפים מסוימים. עם זאת ברי כי העבירה לפי </w:t>
      </w:r>
      <w:r>
        <w:rPr>
          <w:rFonts w:ascii="Times New Roman" w:hAnsi="Times New Roman" w:cs="Times New Roman"/>
          <w:sz w:val="24"/>
          <w:sz-cs w:val="24"/>
          <w:u w:val="single"/>
          <w:color w:val="0000FF"/>
        </w:rPr>
        <w:t xml:space="preserve"> HYPERLINK "http://www.nevo.co.il/law/70301/329" סעיף 329</w:t>
      </w:r>
      <w:r>
        <w:rPr>
          <w:rFonts w:ascii="Times New Roman" w:hAnsi="Times New Roman" w:cs="Times New Roman"/>
          <w:sz w:val="24"/>
          <w:sz-cs w:val="24"/>
        </w:rPr>
        <w:t xml:space="preserve"> לחוק כוללת יסודות נוספים. כך, עבירה אחרונה זו דורשת כוונה מיוחדת ("...בכוונה להטיל באדם נכות או מום, או לגרום לו חבלה חמורה..."). מובן שאילו הורשע המערער במקרה הנוכחי בעבירה הכוללת את כל יסודותיה של עבירת התנאי, היה ניתן להפעיל את המאסר המותנה. נביא דוגמה שתבהיר את העניין: פלוני מורשע, ובית</w:t>
      </w:r>
      <w:r>
        <w:rPr>
          <w:rFonts w:ascii="Arial" w:hAnsi="Arial" w:cs="Arial"/>
          <w:sz w:val="24"/>
          <w:sz-cs w:val="24"/>
          <w:b/>
          <w:position w:val="4"/>
        </w:rPr>
        <w:t xml:space="preserve">-</w:t>
      </w:r>
      <w:r>
        <w:rPr>
          <w:rFonts w:ascii="Times New Roman" w:hAnsi="Times New Roman" w:cs="Times New Roman"/>
          <w:sz w:val="24"/>
          <w:sz-cs w:val="24"/>
        </w:rPr>
        <w:t xml:space="preserve">המשפט גוזר את דינו. בין השאר נקבע כי יוטל מאסר של חצי שנה על</w:t>
      </w:r>
      <w:r>
        <w:rPr>
          <w:rFonts w:ascii="Arial" w:hAnsi="Arial" w:cs="Arial"/>
          <w:sz w:val="24"/>
          <w:sz-cs w:val="24"/>
          <w:b/>
          <w:position w:val="4"/>
        </w:rPr>
        <w:t xml:space="preserve">-</w:t>
      </w:r>
      <w:r>
        <w:rPr>
          <w:rFonts w:ascii="Times New Roman" w:hAnsi="Times New Roman" w:cs="Times New Roman"/>
          <w:sz w:val="24"/>
          <w:sz-cs w:val="24"/>
        </w:rPr>
        <w:t xml:space="preserve">תנאי לשנתיים שלא יעבור עבירה של תקיפה לפי </w:t>
      </w:r>
      <w:r>
        <w:rPr>
          <w:rFonts w:ascii="Times New Roman" w:hAnsi="Times New Roman" w:cs="Times New Roman"/>
          <w:sz w:val="24"/>
          <w:sz-cs w:val="24"/>
          <w:u w:val="single"/>
          <w:color w:val="0000FF"/>
        </w:rPr>
        <w:t xml:space="preserve"> HYPERLINK "http://www.nevo.co.il/law/70301/ 379" סעיף 379</w:t>
      </w:r>
      <w:r>
        <w:rPr>
          <w:rFonts w:ascii="Times New Roman" w:hAnsi="Times New Roman" w:cs="Times New Roman"/>
          <w:sz w:val="24"/>
          <w:sz-cs w:val="24"/>
        </w:rPr>
        <w:t xml:space="preserve"> לחוק. פלוני מובא לדין בהליך חדש, והפעם הוא מואשם ומורשע בעבירה של תקיפה הגורמת חבלה ממשית, לפי </w:t>
      </w:r>
      <w:r>
        <w:rPr>
          <w:rFonts w:ascii="Times New Roman" w:hAnsi="Times New Roman" w:cs="Times New Roman"/>
          <w:sz w:val="24"/>
          <w:sz-cs w:val="24"/>
          <w:u w:val="single"/>
          <w:color w:val="0000FF"/>
        </w:rPr>
        <w:t xml:space="preserve"> HYPERLINK "http://www.nevo.co.il/law/70301/380" סעיף 380</w:t>
      </w:r>
      <w:r>
        <w:rPr>
          <w:rFonts w:ascii="Times New Roman" w:hAnsi="Times New Roman" w:cs="Times New Roman"/>
          <w:sz w:val="24"/>
          <w:sz-cs w:val="24"/>
        </w:rPr>
        <w:t xml:space="preserve"> לחוק. הנחתנו היא שהעבירה החדשה בוצעה בתקופת התנאי. אין ספק כי ניתן להפעיל את המאסר המותנה. ההסבר פשוט: העבירה החדשה כוללת את מרכיביה של עבירת התנאי. </w:t>
      </w:r>
    </w:p>
    <w:p>
      <w:pPr>
        <w:jc w:val="both"/>
        <w:bidi/>
        <w:spacing w:after="240"/>
      </w:pPr>
      <w:r>
        <w:rPr>
          <w:rFonts w:ascii="Times New Roman" w:hAnsi="Times New Roman" w:cs="Times New Roman"/>
          <w:sz w:val="24"/>
          <w:sz-cs w:val="24"/>
        </w:rPr>
        <w:t xml:space="preserve"/>
        <w:br w:type="page"/>
        <w:t xml:space="preserve">4.</w:t>
        <w:tab/>
        <w:t xml:space="preserve">על</w:t>
      </w:r>
      <w:r>
        <w:rPr>
          <w:rFonts w:ascii="Arial" w:hAnsi="Arial" w:cs="Arial"/>
          <w:sz w:val="24"/>
          <w:sz-cs w:val="24"/>
          <w:b/>
          <w:position w:val="4"/>
        </w:rPr>
        <w:t xml:space="preserve">-</w:t>
      </w:r>
      <w:r>
        <w:rPr>
          <w:rFonts w:ascii="Times New Roman" w:hAnsi="Times New Roman" w:cs="Times New Roman"/>
          <w:sz w:val="24"/>
          <w:sz-cs w:val="24"/>
        </w:rPr>
        <w:t xml:space="preserve">פי השקפתו של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אם התנהגותו של הנאשם, כמוכח בהליך החדש, מקיימת את האלמנטים של עבירת התנאי, יהיה ניתן להפעיל את המאסר המותנה אפילו העבירה הנוספת שבה הוא מורשע אינה כוללת את כל רכיביה של עבירת התנאי. איני רואה צורך להתייחס להיבט העקרוני של השקפה זו. די לי בכך שלטעמי לא ניתן לומר כי העובדות שהוכחו בבית</w:t>
      </w:r>
      <w:r>
        <w:rPr>
          <w:rFonts w:ascii="Arial" w:hAnsi="Arial" w:cs="Arial"/>
          <w:sz w:val="24"/>
          <w:sz-cs w:val="24"/>
          <w:b/>
          <w:position w:val="4"/>
        </w:rPr>
        <w:t xml:space="preserve">-</w:t>
      </w:r>
      <w:r>
        <w:rPr>
          <w:rFonts w:ascii="Times New Roman" w:hAnsi="Times New Roman" w:cs="Times New Roman"/>
          <w:sz w:val="24"/>
          <w:sz-cs w:val="24"/>
        </w:rPr>
        <w:t xml:space="preserve">משפט קמא מצביעות על כך שנתקיימה במערער הדרישה של כוונה מיוחדת, כאמור </w:t>
      </w:r>
      <w:r>
        <w:rPr>
          <w:rFonts w:ascii="Times New Roman" w:hAnsi="Times New Roman" w:cs="Times New Roman"/>
          <w:sz w:val="24"/>
          <w:sz-cs w:val="24"/>
          <w:u w:val="single"/>
          <w:color w:val="0000FF"/>
        </w:rPr>
        <w:t xml:space="preserve"> HYPERLINK "http://www.nevo.co.il/law/70301/329" בסעיף 329</w:t>
      </w:r>
      <w:r>
        <w:rPr>
          <w:rFonts w:ascii="Times New Roman" w:hAnsi="Times New Roman" w:cs="Times New Roman"/>
          <w:sz w:val="24"/>
          <w:sz-cs w:val="24"/>
        </w:rPr>
        <w:t xml:space="preserve"> לחוק. יש אף לזכור כי גם אם המאשימה רשאית לבקש הפעלת המאסר המותנה בסיטואציה המתוארת, תנאי לכך הוא שתינתן לנאשם אפשרות נאותה להתגונן. כפי שנאמר על</w:t>
      </w:r>
      <w:r>
        <w:rPr>
          <w:rFonts w:ascii="Arial" w:hAnsi="Arial" w:cs="Arial"/>
          <w:sz w:val="24"/>
          <w:sz-cs w:val="24"/>
          <w:b/>
          <w:position w:val="4"/>
        </w:rPr>
        <w:t xml:space="preserve">-</w:t>
      </w:r>
      <w:r>
        <w:rPr>
          <w:rFonts w:ascii="Times New Roman" w:hAnsi="Times New Roman" w:cs="Times New Roman"/>
          <w:sz w:val="24"/>
          <w:sz-cs w:val="24"/>
        </w:rPr>
        <w:t xml:space="preserve">ידי </w:t>
      </w:r>
      <w:r>
        <w:rPr>
          <w:rFonts w:ascii="Times New Roman" w:hAnsi="Times New Roman" w:cs="Times New Roman"/>
          <w:sz w:val="22"/>
          <w:sz-cs w:val="22"/>
        </w:rPr>
        <w:t xml:space="preserve">השופטת ביניש</w:t>
      </w:r>
      <w:r>
        <w:rPr>
          <w:rFonts w:ascii="Times New Roman" w:hAnsi="Times New Roman" w:cs="Times New Roman"/>
          <w:sz w:val="24"/>
          <w:sz-cs w:val="24"/>
        </w:rPr>
        <w:t xml:space="preserve">:</w:t>
      </w:r>
    </w:p>
    <w:p>
      <w:pPr>
        <w:jc w:val="both"/>
        <w:bidi/>
        <w:ind w:left="454" w:right="454"/>
        <w:spacing w:after="240"/>
      </w:pPr>
      <w:r>
        <w:rPr>
          <w:rFonts w:ascii="Times New Roman" w:hAnsi="Times New Roman" w:cs="Times New Roman"/>
          <w:sz w:val="24"/>
          <w:sz-cs w:val="24"/>
        </w:rPr>
        <w:t xml:space="preserve"/>
        <w:br w:type="page"/>
        <w:t xml:space="preserve">"הכול יסכימו, כי עקרון</w:t>
      </w:r>
      <w:r>
        <w:rPr>
          <w:rFonts w:ascii="Arial" w:hAnsi="Arial" w:cs="Arial"/>
          <w:sz w:val="24"/>
          <w:sz-cs w:val="24"/>
          <w:b/>
          <w:position w:val="4"/>
        </w:rPr>
        <w:t xml:space="preserve">-</w:t>
      </w:r>
      <w:r>
        <w:rPr>
          <w:rFonts w:ascii="Times New Roman" w:hAnsi="Times New Roman" w:cs="Times New Roman"/>
          <w:sz w:val="24"/>
          <w:sz-cs w:val="24"/>
        </w:rPr>
        <w:t xml:space="preserve">העל שלפיו אין להרשיע נאשם אם לא ניתנת לו 'הזדמנות סבירה להתגונן', יחול לא רק על ההרשעה בעבירה אשר לא הואשם בה מלכתחילה בכתב</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האישום, אלא על כל עניין המתעורר בהליך הפלילי וסופו להוביל למסקנה לחובת הנאשם" (</w:t>
      </w:r>
      <w:r>
        <w:rPr>
          <w:rFonts w:ascii="Times New Roman" w:hAnsi="Times New Roman" w:cs="Times New Roman"/>
          <w:sz w:val="22"/>
          <w:sz-cs w:val="22"/>
          <w:u w:val="single"/>
          <w:color w:val="0000FF"/>
        </w:rPr>
        <w:t xml:space="preserve">HYPERLINK "http://www.nevo.co.il/case/5966542"דנ"פ 4603/97</w:t>
      </w:r>
      <w:r>
        <w:rPr>
          <w:rFonts w:ascii="Times New Roman" w:hAnsi="Times New Roman" w:cs="Times New Roman"/>
          <w:sz w:val="22"/>
          <w:sz-cs w:val="22"/>
        </w:rPr>
        <w:t xml:space="preserve"> משולם נ' מדינת ישראל [19]</w:t>
      </w:r>
      <w:r>
        <w:rPr>
          <w:rFonts w:ascii="Times New Roman" w:hAnsi="Times New Roman" w:cs="Times New Roman"/>
          <w:sz w:val="24"/>
          <w:sz-cs w:val="24"/>
        </w:rPr>
        <w:t xml:space="preserve">, </w:t>
      </w:r>
      <w:r>
        <w:rPr>
          <w:rFonts w:ascii="Times New Roman" w:hAnsi="Times New Roman" w:cs="Times New Roman"/>
          <w:sz w:val="22"/>
          <w:sz-cs w:val="22"/>
        </w:rPr>
        <w:t xml:space="preserve">בעמ' 197</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ראוי ללמוד לעניין זה, ולוּ על דרך היקש, מן האמור </w:t>
      </w:r>
      <w:r>
        <w:rPr>
          <w:rFonts w:ascii="Times New Roman" w:hAnsi="Times New Roman" w:cs="Times New Roman"/>
          <w:sz w:val="24"/>
          <w:sz-cs w:val="24"/>
          <w:u w:val="single"/>
          <w:color w:val="0000FF"/>
        </w:rPr>
        <w:t xml:space="preserve"> HYPERLINK "http://www.nevo.co.il/law/74903/184" בסעיף 184</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Times New Roman" w:hAnsi="Times New Roman" w:cs="Times New Roman"/>
          <w:sz w:val="24"/>
          <w:sz-cs w:val="24"/>
        </w:rPr>
        <w:t xml:space="preserve"> [נוסח משולב]. איני בטוח כלל כי אמנם ניתנה הזדמנות סבירה למערער להתגונן מפני האפשרות שיימצא כי עבר עבירה חמורה מזו שבה הואשם. מכל מקום, דעתי היא כי כיום ניתן להפעיל מאסר מותנה שנכלל בגזר</w:t>
      </w:r>
      <w:r>
        <w:rPr>
          <w:rFonts w:ascii="Arial" w:hAnsi="Arial" w:cs="Arial"/>
          <w:sz w:val="24"/>
          <w:sz-cs w:val="24"/>
          <w:b/>
          <w:position w:val="4"/>
        </w:rPr>
        <w:t xml:space="preserve">-</w:t>
      </w:r>
      <w:r>
        <w:rPr>
          <w:rFonts w:ascii="Times New Roman" w:hAnsi="Times New Roman" w:cs="Times New Roman"/>
          <w:sz w:val="24"/>
          <w:sz-cs w:val="24"/>
        </w:rPr>
        <w:t xml:space="preserve">דין אשר נקב בעבירה המושלמת כעבירת התנאי, אף אם העבירה הנוספת שבה מורשע הנאשם הינה ניסיון לעבור את העבירה המושלמת. בעבר נפסק כי אין הדבר אפשרי (</w:t>
      </w:r>
      <w:r>
        <w:rPr>
          <w:rFonts w:ascii="Times New Roman" w:hAnsi="Times New Roman" w:cs="Times New Roman"/>
          <w:sz w:val="22"/>
          <w:sz-cs w:val="22"/>
          <w:u w:val="single"/>
          <w:color w:val="0000FF"/>
        </w:rPr>
        <w:t xml:space="preserve">HYPERLINK "http://www.nevo.co.il/case/17919408"</w:t>
      </w:r>
      <w:r>
        <w:rPr>
          <w:rFonts w:ascii="Times New Roman" w:hAnsi="Times New Roman" w:cs="Times New Roman"/>
          <w:sz w:val="22"/>
          <w:sz-cs w:val="22"/>
          <w:u w:val="single"/>
          <w:color w:val="0000FF"/>
        </w:rPr>
        <w:t xml:space="preserve">ר"ע 334/83</w:t>
      </w:r>
      <w:r>
        <w:rPr>
          <w:rFonts w:ascii="Times New Roman" w:hAnsi="Times New Roman" w:cs="Times New Roman"/>
          <w:sz w:val="22"/>
          <w:sz-cs w:val="22"/>
        </w:rPr>
        <w:t xml:space="preserve"> הנ"ל</w:t>
      </w:r>
      <w:r>
        <w:rPr>
          <w:rFonts w:ascii="Times New Roman" w:hAnsi="Times New Roman" w:cs="Times New Roman"/>
          <w:sz w:val="24"/>
          <w:sz-cs w:val="24"/>
        </w:rPr>
        <w:t xml:space="preserve"> (להלן – פרשת </w:t>
      </w:r>
      <w:r>
        <w:rPr>
          <w:rFonts w:ascii="Times New Roman" w:hAnsi="Times New Roman" w:cs="Times New Roman"/>
          <w:sz w:val="28"/>
          <w:sz-cs w:val="28"/>
        </w:rPr>
        <w:t xml:space="preserve">ביטון [15]</w:t>
      </w:r>
      <w:r>
        <w:rPr>
          <w:rFonts w:ascii="Times New Roman" w:hAnsi="Times New Roman" w:cs="Times New Roman"/>
          <w:sz w:val="24"/>
          <w:sz-cs w:val="24"/>
        </w:rPr>
        <w:t xml:space="preserve">); לביקורת על החלטה זו ראו פלר, במאמרו הנ"ל (להלן – פלר </w:t>
      </w:r>
      <w:r>
        <w:rPr>
          <w:rFonts w:ascii="Times New Roman" w:hAnsi="Times New Roman" w:cs="Times New Roman"/>
          <w:sz w:val="22"/>
          <w:sz-cs w:val="22"/>
        </w:rPr>
        <w:t xml:space="preserve">[23]</w:t>
      </w:r>
      <w:r>
        <w:rPr>
          <w:rFonts w:ascii="Times New Roman" w:hAnsi="Times New Roman" w:cs="Times New Roman"/>
          <w:sz w:val="24"/>
          <w:sz-cs w:val="24"/>
        </w:rPr>
        <w:t xml:space="preserve">)). ברם מאז נתקבל תיקון 39 לחוק, ולאורו קיימים שני טעמים המצדיקים גישה אחרת כיום: </w:t>
      </w:r>
    </w:p>
    <w:p>
      <w:pPr>
        <w:jc w:val="both"/>
        <w:bidi/>
        <w:spacing w:after="240"/>
      </w:pPr>
      <w:r>
        <w:rPr>
          <w:rFonts w:ascii="Times New Roman" w:hAnsi="Times New Roman" w:cs="Times New Roman"/>
          <w:sz w:val="24"/>
          <w:sz-cs w:val="24"/>
        </w:rPr>
        <w:t xml:space="preserve">א.</w:t>
        <w:tab/>
        <w:t xml:space="preserve">הוראת </w:t>
      </w:r>
      <w:r>
        <w:rPr>
          <w:rFonts w:ascii="Times New Roman" w:hAnsi="Times New Roman" w:cs="Times New Roman"/>
          <w:sz w:val="24"/>
          <w:sz-cs w:val="24"/>
          <w:u w:val="single"/>
          <w:color w:val="0000FF"/>
        </w:rPr>
        <w:t xml:space="preserve"> HYPERLINK "http://www.nevo.co.il/law/70301/34d" סעיף 34ד</w:t>
      </w:r>
      <w:r>
        <w:rPr>
          <w:rFonts w:ascii="Times New Roman" w:hAnsi="Times New Roman" w:cs="Times New Roman"/>
          <w:sz w:val="24"/>
          <w:sz-cs w:val="24"/>
        </w:rPr>
        <w:t xml:space="preserve"> לחוק, ולפיה "מלבד אם נאמר בחיקוק או משתמע ממנו אחרת, כל דין החל על הביצוע העיקרי של העבירה המושלמת חל גם על נסיון, שידול, נסיון לשידול או סיוע, לאותה עבירה". יוער כי בהתבסס על הסעיף האמור ובהיעדר הוראה אחרת לעניין זה העונש הצפוי למי שמורשע בניסיון לבצע עבירה מסוימת זהה לעונש הצפוי למי שמורשע בביצועה המושלם של אותה עבירה (אולם ראו </w:t>
      </w:r>
      <w:r>
        <w:rPr>
          <w:rFonts w:ascii="Times New Roman" w:hAnsi="Times New Roman" w:cs="Times New Roman"/>
          <w:sz w:val="24"/>
          <w:sz-cs w:val="24"/>
          <w:u w:val="single"/>
          <w:color w:val="0000FF"/>
        </w:rPr>
        <w:t xml:space="preserve"> HYPERLINK "http://www.nevo.co.il/law/70301/27" סעיפים 27</w:t>
      </w:r>
      <w:r>
        <w:rPr>
          <w:rFonts w:ascii="Times New Roman" w:hAnsi="Times New Roman" w:cs="Times New Roman"/>
          <w:sz w:val="24"/>
          <w:sz-cs w:val="24"/>
        </w:rPr>
        <w:t xml:space="preserve"> ו</w:t>
      </w:r>
      <w:r>
        <w:rPr>
          <w:rFonts w:ascii="Arial" w:hAnsi="Arial" w:cs="Arial"/>
          <w:sz w:val="24"/>
          <w:sz-cs w:val="24"/>
          <w:b/>
          <w:position w:val="4"/>
        </w:rPr>
        <w:t xml:space="preserve">-</w:t>
      </w:r>
      <w:r>
        <w:rPr>
          <w:rFonts w:ascii="Times New Roman" w:hAnsi="Times New Roman" w:cs="Times New Roman"/>
          <w:sz w:val="24"/>
          <w:sz-cs w:val="24"/>
          <w:u w:val="single"/>
          <w:color w:val="0000FF"/>
        </w:rPr>
        <w:t xml:space="preserve"> HYPERLINK "http://www.nevo.co.il/law/70301/34c" 34ג</w:t>
      </w:r>
      <w:r>
        <w:rPr>
          <w:rFonts w:ascii="Times New Roman" w:hAnsi="Times New Roman" w:cs="Times New Roman"/>
          <w:sz w:val="24"/>
          <w:sz-cs w:val="24"/>
        </w:rPr>
        <w:t xml:space="preserve"> לחוק). </w:t>
      </w:r>
    </w:p>
    <w:p>
      <w:pPr>
        <w:jc w:val="both"/>
        <w:bidi/>
        <w:spacing w:after="240"/>
      </w:pPr>
      <w:r>
        <w:rPr>
          <w:rFonts w:ascii="Times New Roman" w:hAnsi="Times New Roman" w:cs="Times New Roman"/>
          <w:sz w:val="24"/>
          <w:sz-cs w:val="24"/>
        </w:rPr>
        <w:t xml:space="preserve">ב.</w:t>
        <w:tab/>
        <w:t xml:space="preserve">הוראת </w:t>
      </w:r>
      <w:r>
        <w:rPr>
          <w:rFonts w:ascii="Times New Roman" w:hAnsi="Times New Roman" w:cs="Times New Roman"/>
          <w:sz w:val="24"/>
          <w:sz-cs w:val="24"/>
          <w:u w:val="single"/>
          <w:color w:val="0000FF"/>
        </w:rPr>
        <w:t xml:space="preserve"> HYPERLINK "http://www.nevo.co.il/law/70301/28" סעיף 28</w:t>
      </w:r>
      <w:r>
        <w:rPr>
          <w:rFonts w:ascii="Times New Roman" w:hAnsi="Times New Roman" w:cs="Times New Roman"/>
          <w:sz w:val="24"/>
          <w:sz-cs w:val="24"/>
        </w:rPr>
        <w:t xml:space="preserve"> לחוק, ולפיה "מי שניסה לעבור עבירה, לא יישא באחריות פלילית לנסיון, אם הוכיח שמחפץ נפשו בלבד ומתוך חרטה, חדל מהשלמת המעשה או תרם תרומה של ממש למניעת התוצאות שבהן מותנית השלמת העבירה; ואולם, אין באמור כדי לגרוע מאחריותו הפלילית בשל עבירה מושלמת אחרת שבמעשה". בהוראה זו יש משום מענה ראוי לחשש שהובע בפרשת </w:t>
      </w:r>
      <w:r>
        <w:rPr>
          <w:rFonts w:ascii="Times New Roman" w:hAnsi="Times New Roman" w:cs="Times New Roman"/>
          <w:sz w:val="28"/>
          <w:sz-cs w:val="28"/>
        </w:rPr>
        <w:t xml:space="preserve">ביטון [15]</w:t>
      </w:r>
      <w:r>
        <w:rPr>
          <w:rFonts w:ascii="Times New Roman" w:hAnsi="Times New Roman" w:cs="Times New Roman"/>
          <w:sz w:val="24"/>
          <w:sz-cs w:val="24"/>
        </w:rPr>
        <w:t xml:space="preserve">, ולפיו יופעל מאסר מותנה אף במקרה שבו התחרט העבריין וחדל מרצונו מביצועה של העבירה הנוספת. על</w:t>
      </w:r>
      <w:r>
        <w:rPr>
          <w:rFonts w:ascii="Arial" w:hAnsi="Arial" w:cs="Arial"/>
          <w:sz w:val="24"/>
          <w:sz-cs w:val="24"/>
          <w:b/>
          <w:position w:val="4"/>
        </w:rPr>
        <w:t xml:space="preserve">-</w:t>
      </w:r>
      <w:r>
        <w:rPr>
          <w:rFonts w:ascii="Times New Roman" w:hAnsi="Times New Roman" w:cs="Times New Roman"/>
          <w:sz w:val="24"/>
          <w:sz-cs w:val="24"/>
        </w:rPr>
        <w:t xml:space="preserve">פי ההוראה הנזכרת, במקרה מעין זה יהא העבריין פטור מאחריות פלילית בגין הניסיון לביצוע העבירה הנוספת. ממילא לא יהיה ניתן להפעיל את המאסר המותנה (לעניין זה ראו פלר </w:t>
      </w:r>
      <w:r>
        <w:rPr>
          <w:rFonts w:ascii="Times New Roman" w:hAnsi="Times New Roman" w:cs="Times New Roman"/>
          <w:sz w:val="22"/>
          <w:sz-cs w:val="22"/>
        </w:rPr>
        <w:t xml:space="preserve">[23]</w:t>
      </w:r>
      <w:r>
        <w:rPr>
          <w:rFonts w:ascii="Times New Roman" w:hAnsi="Times New Roman" w:cs="Times New Roman"/>
          <w:sz w:val="24"/>
          <w:sz-cs w:val="24"/>
        </w:rPr>
        <w:t xml:space="preserve">, </w:t>
      </w:r>
      <w:r>
        <w:rPr>
          <w:rFonts w:ascii="Times New Roman" w:hAnsi="Times New Roman" w:cs="Times New Roman"/>
          <w:sz w:val="22"/>
          <w:sz-cs w:val="22"/>
        </w:rPr>
        <w:t xml:space="preserve">בעמ' 427-426</w:t>
      </w:r>
      <w:r>
        <w:rPr>
          <w:rFonts w:ascii="Times New Roman" w:hAnsi="Times New Roman" w:cs="Times New Roman"/>
          <w:sz w:val="24"/>
          <w:sz-cs w:val="24"/>
        </w:rPr>
        <w:t xml:space="preserve">). </w:t>
      </w:r>
    </w:p>
    <w:p>
      <w:pPr>
        <w:jc w:val="both"/>
        <w:bidi/>
        <w:spacing w:after="240"/>
      </w:pPr>
      <w:r>
        <w:rPr>
          <w:rFonts w:ascii="Times New Roman" w:hAnsi="Times New Roman" w:cs="Times New Roman"/>
          <w:sz w:val="24"/>
          <w:sz-cs w:val="24"/>
        </w:rPr>
        <w:t xml:space="preserve"/>
        <w:br w:type="page"/>
        <w:t xml:space="preserve">המסקנה מכך היא שהרשעתו של המערער בניסיון לעבור עבירה לפי </w:t>
      </w:r>
      <w:r>
        <w:rPr>
          <w:rFonts w:ascii="Times New Roman" w:hAnsi="Times New Roman" w:cs="Times New Roman"/>
          <w:sz w:val="24"/>
          <w:sz-cs w:val="24"/>
          <w:u w:val="single"/>
          <w:color w:val="0000FF"/>
        </w:rPr>
        <w:t xml:space="preserve"> HYPERLINK "http://www.nevo.co.il/law/70301/334" סעיפים 334</w:t>
      </w:r>
      <w:r>
        <w:rPr>
          <w:rFonts w:ascii="Times New Roman" w:hAnsi="Times New Roman" w:cs="Times New Roman"/>
          <w:sz w:val="24"/>
          <w:sz-cs w:val="24"/>
        </w:rPr>
        <w:t xml:space="preserve"> </w:t>
        <w:br/>
        <w:t xml:space="preserve">ו</w:t>
      </w:r>
      <w:r>
        <w:rPr>
          <w:rFonts w:ascii="Arial" w:hAnsi="Arial" w:cs="Arial"/>
          <w:sz w:val="24"/>
          <w:sz-cs w:val="24"/>
          <w:b/>
          <w:position w:val="4"/>
        </w:rPr>
        <w:t xml:space="preserve">-</w:t>
      </w:r>
      <w:r>
        <w:rPr>
          <w:rFonts w:ascii="Times New Roman" w:hAnsi="Times New Roman" w:cs="Times New Roman"/>
          <w:sz w:val="24"/>
          <w:sz-cs w:val="24"/>
          <w:u w:val="single"/>
          <w:color w:val="0000FF"/>
        </w:rPr>
        <w:t xml:space="preserve"> HYPERLINK "http://www.nevo.co.il/law/70301/335" 335</w:t>
      </w:r>
      <w:r>
        <w:rPr>
          <w:rFonts w:ascii="Times New Roman" w:hAnsi="Times New Roman" w:cs="Times New Roman"/>
          <w:sz w:val="24"/>
          <w:sz-cs w:val="24"/>
        </w:rPr>
        <w:t xml:space="preserve"> לחוק (הכלולים </w:t>
      </w:r>
      <w:r>
        <w:rPr>
          <w:rFonts w:ascii="Times New Roman" w:hAnsi="Times New Roman" w:cs="Times New Roman"/>
          <w:sz w:val="24"/>
          <w:sz-cs w:val="24"/>
          <w:u w:val="single"/>
          <w:color w:val="0000FF"/>
        </w:rPr>
        <w:t xml:space="preserve"> HYPERLINK "http://www.nevo.co.il/law/70301/dSjC" בסימן ד' לפרק י'</w:t>
      </w:r>
      <w:r>
        <w:rPr>
          <w:rFonts w:ascii="Times New Roman" w:hAnsi="Times New Roman" w:cs="Times New Roman"/>
          <w:sz w:val="24"/>
          <w:sz-cs w:val="24"/>
        </w:rPr>
        <w:t xml:space="preserve"> לחוק) מביאה להפעלתו של המאסר המותנה. יצוין כי עשויה להתעורר שאלה באשר לאפשרות הפעלת המאסר המותנה לגבי צורות ההתנהגות הענישות הנגזרות מן הביצוע העיקרי של העבירה, אשר נזכרות </w:t>
      </w:r>
      <w:r>
        <w:rPr>
          <w:rFonts w:ascii="Times New Roman" w:hAnsi="Times New Roman" w:cs="Times New Roman"/>
          <w:sz w:val="24"/>
          <w:sz-cs w:val="24"/>
          <w:u w:val="single"/>
          <w:color w:val="0000FF"/>
        </w:rPr>
        <w:t xml:space="preserve"> HYPERLINK "http://www.nevo.co.il/law/70301/34d" בסעיף 34ד</w:t>
      </w:r>
      <w:r>
        <w:rPr>
          <w:rFonts w:ascii="Times New Roman" w:hAnsi="Times New Roman" w:cs="Times New Roman"/>
          <w:sz w:val="24"/>
          <w:sz-cs w:val="24"/>
        </w:rPr>
        <w:t xml:space="preserve"> לחוק. כוונתנו היא לשידול, לניסיון לשידול ולסיוע לביצועה של עבירת התנאי. בהקשר זה יוער כי החוק קובע עונש מופחת למי שמורשע בסיוע (</w:t>
      </w:r>
      <w:r>
        <w:rPr>
          <w:rFonts w:ascii="Times New Roman" w:hAnsi="Times New Roman" w:cs="Times New Roman"/>
          <w:sz w:val="24"/>
          <w:sz-cs w:val="24"/>
          <w:u w:val="single"/>
          <w:color w:val="0000FF"/>
        </w:rPr>
        <w:t xml:space="preserve"> HYPERLINK "http://www.nevo.co.il/law/70301/32" סעיף 32</w:t>
      </w:r>
      <w:r>
        <w:rPr>
          <w:rFonts w:ascii="Times New Roman" w:hAnsi="Times New Roman" w:cs="Times New Roman"/>
          <w:sz w:val="24"/>
          <w:sz-cs w:val="24"/>
        </w:rPr>
        <w:t xml:space="preserve"> לחוק) או בניסיון לשידול (</w:t>
      </w:r>
      <w:r>
        <w:rPr>
          <w:rFonts w:ascii="Times New Roman" w:hAnsi="Times New Roman" w:cs="Times New Roman"/>
          <w:sz w:val="24"/>
          <w:sz-cs w:val="24"/>
          <w:u w:val="single"/>
          <w:color w:val="0000FF"/>
        </w:rPr>
        <w:t xml:space="preserve"> HYPERLINK "http://www.nevo.co.il/law/70301/33" סעיף 33</w:t>
      </w:r>
      <w:r>
        <w:rPr>
          <w:rFonts w:ascii="Times New Roman" w:hAnsi="Times New Roman" w:cs="Times New Roman"/>
          <w:sz w:val="24"/>
          <w:sz-cs w:val="24"/>
        </w:rPr>
        <w:t xml:space="preserve"> לחוק). אין צורך שנתייחס לסוגיה זו במסגרת הערעור דנא (בהקשר זה ראו פלר </w:t>
      </w:r>
      <w:r>
        <w:rPr>
          <w:rFonts w:ascii="Times New Roman" w:hAnsi="Times New Roman" w:cs="Times New Roman"/>
          <w:sz w:val="22"/>
          <w:sz-cs w:val="22"/>
        </w:rPr>
        <w:t xml:space="preserve">[23]</w:t>
      </w:r>
      <w:r>
        <w:rPr>
          <w:rFonts w:ascii="Times New Roman" w:hAnsi="Times New Roman" w:cs="Times New Roman"/>
          <w:sz w:val="24"/>
          <w:sz-cs w:val="24"/>
        </w:rPr>
        <w:t xml:space="preserve">, </w:t>
      </w:r>
      <w:r>
        <w:rPr>
          <w:rFonts w:ascii="Times New Roman" w:hAnsi="Times New Roman" w:cs="Times New Roman"/>
          <w:sz w:val="22"/>
          <w:sz-cs w:val="22"/>
        </w:rPr>
        <w:t xml:space="preserve">בעמ' 417-416</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5.</w:t>
        <w:tab/>
        <w:t xml:space="preserve">לפיכך הגם שאיני מסכים לטעמיו של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בנוגע לסוגיה של הפעלת המאסר המותנה הראשון, הרי דעתי היא שהיה ניתן להפעיל את אותו מאסר מטעמים אחרים, כאמור אף בחוות</w:t>
      </w:r>
      <w:r>
        <w:rPr>
          <w:rFonts w:ascii="Arial" w:hAnsi="Arial" w:cs="Arial"/>
          <w:sz w:val="24"/>
          <w:sz-cs w:val="24"/>
          <w:b/>
          <w:position w:val="4"/>
        </w:rPr>
        <w:t xml:space="preserve">-</w:t>
      </w:r>
      <w:r>
        <w:rPr>
          <w:rFonts w:ascii="Times New Roman" w:hAnsi="Times New Roman" w:cs="Times New Roman"/>
          <w:sz w:val="24"/>
          <w:sz-cs w:val="24"/>
        </w:rPr>
        <w:t xml:space="preserve">דעתו של </w:t>
      </w:r>
      <w:r>
        <w:rPr>
          <w:rFonts w:ascii="Times New Roman" w:hAnsi="Times New Roman" w:cs="Times New Roman"/>
          <w:sz w:val="22"/>
          <w:sz-cs w:val="22"/>
        </w:rPr>
        <w:t xml:space="preserve">השופט עדיאל</w:t>
      </w:r>
      <w:r>
        <w:rPr>
          <w:rFonts w:ascii="Times New Roman" w:hAnsi="Times New Roman" w:cs="Times New Roman"/>
          <w:sz w:val="24"/>
          <w:sz-cs w:val="24"/>
        </w:rPr>
        <w:t xml:space="preserve">. אשר לתוצאה הסופית של הערעור, מסכים אני למוצע על</w:t>
      </w:r>
      <w:r>
        <w:rPr>
          <w:rFonts w:ascii="Arial" w:hAnsi="Arial" w:cs="Arial"/>
          <w:sz w:val="24"/>
          <w:sz-cs w:val="24"/>
          <w:b/>
          <w:position w:val="4"/>
        </w:rPr>
        <w:t xml:space="preserve">-</w:t>
      </w:r>
      <w:r>
        <w:rPr>
          <w:rFonts w:ascii="Times New Roman" w:hAnsi="Times New Roman" w:cs="Times New Roman"/>
          <w:sz w:val="24"/>
          <w:sz-cs w:val="24"/>
        </w:rPr>
        <w:t xml:space="preserve">ידי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 </w:t>
      </w:r>
    </w:p>
    <w:p>
      <w:pPr>
        <w:jc w:val="both"/>
        <w:bidi/>
        <w:spacing w:before="240" w:after="120"/>
      </w:pPr>
      <w:r>
        <w:rPr>
          <w:rFonts w:ascii="Times New Roman" w:hAnsi="Times New Roman" w:cs="Times New Roman"/>
          <w:sz w:val="24"/>
          <w:sz-cs w:val="24"/>
        </w:rPr>
        <w:t xml:space="preserve">התוצאה היא אפוא כאמור בפיסקה 16 של פסק</w:t>
      </w:r>
      <w:r>
        <w:rPr>
          <w:rFonts w:ascii="Arial" w:hAnsi="Arial" w:cs="Arial"/>
          <w:sz w:val="24"/>
          <w:sz-cs w:val="24"/>
          <w:b/>
          <w:position w:val="4"/>
        </w:rPr>
        <w:t xml:space="preserve">-</w:t>
      </w:r>
      <w:r>
        <w:rPr>
          <w:rFonts w:ascii="Times New Roman" w:hAnsi="Times New Roman" w:cs="Times New Roman"/>
          <w:sz w:val="24"/>
          <w:sz-cs w:val="24"/>
        </w:rPr>
        <w:t xml:space="preserve">דינו של </w:t>
      </w:r>
      <w:r>
        <w:rPr>
          <w:rFonts w:ascii="Times New Roman" w:hAnsi="Times New Roman" w:cs="Times New Roman"/>
          <w:sz w:val="22"/>
          <w:sz-cs w:val="22"/>
        </w:rPr>
        <w:t xml:space="preserve">השופט לוי</w:t>
      </w:r>
      <w:r>
        <w:rPr>
          <w:rFonts w:ascii="Times New Roman" w:hAnsi="Times New Roman" w:cs="Times New Roman"/>
          <w:sz w:val="24"/>
          <w:sz-cs w:val="24"/>
        </w:rPr>
        <w:t xml:space="preserve">.</w:t>
      </w:r>
    </w:p>
    <w:p>
      <w:pPr>
        <w:jc w:val="both"/>
        <w:bidi/>
        <w:spacing w:after="240"/>
      </w:pPr>
      <w:r>
        <w:rPr>
          <w:rFonts w:ascii="Times New Roman" w:hAnsi="Times New Roman" w:cs="Times New Roman"/>
          <w:sz w:val="24"/>
          <w:sz-cs w:val="24"/>
        </w:rPr>
        <w:t xml:space="preserve">ניתן היום, כ"ט באדר א' תשס"ה (10.3.2005).</w:t>
      </w:r>
    </w:p>
    <w:p>
      <w:pPr>
        <w:jc w:val="both"/>
        <w:bidi/>
        <w:ind w:left="57" w:right="57"/>
      </w:pPr>
      <w:r>
        <w:rPr>
          <w:rFonts w:ascii="Times New Roman" w:hAnsi="Times New Roman" w:cs="Times New Roman"/>
          <w:sz w:val="24"/>
          <w:sz-cs w:val="24"/>
        </w:rPr>
        <w:t xml:space="preserve"/>
        <w:br w:type="page"/>
        <w:t xml:space="preserve">מיני-רציו:</w:t>
      </w:r>
    </w:p>
    <w:p>
      <w:pPr>
        <w:jc w:val="both"/>
        <w:bidi/>
        <w:ind w:left="57" w:right="57"/>
      </w:pPr>
      <w:r>
        <w:rPr>
          <w:rFonts w:ascii="Times New Roman" w:hAnsi="Times New Roman" w:cs="Times New Roman"/>
          <w:sz w:val="24"/>
          <w:sz-cs w:val="24"/>
        </w:rPr>
        <w:t xml:space="preserve"/>
      </w:r>
    </w:p>
    <w:p>
      <w:pPr>
        <w:jc w:val="both"/>
        <w:bidi/>
        <w:ind w:left="57" w:right="57"/>
      </w:pPr>
      <w:r>
        <w:rPr>
          <w:rFonts w:ascii="Times New Roman" w:hAnsi="Times New Roman" w:cs="Times New Roman"/>
          <w:sz w:val="22"/>
          <w:sz-cs w:val="22"/>
        </w:rPr>
        <w:t xml:space="preserve">* עונשין </w:t>
      </w:r>
      <w:r>
        <w:rPr>
          <w:rFonts w:ascii="Times New Roman" w:hAnsi="Times New Roman" w:cs="Times New Roman"/>
          <w:sz w:val="24"/>
          <w:sz-cs w:val="24"/>
        </w:rPr>
        <w:t xml:space="preserve">– ענישה – </w:t>
      </w:r>
      <w:r>
        <w:rPr>
          <w:rFonts w:ascii="Times New Roman" w:hAnsi="Times New Roman" w:cs="Times New Roman"/>
          <w:sz w:val="18"/>
          <w:sz-cs w:val="18"/>
        </w:rPr>
        <w:t xml:space="preserve">דרכי ענישה: מאסר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תנאי</w:t>
      </w:r>
    </w:p>
    <w:p>
      <w:pPr>
        <w:jc w:val="both"/>
        <w:bidi/>
        <w:ind w:left="57" w:right="57"/>
      </w:pPr>
      <w:r>
        <w:rPr>
          <w:rFonts w:ascii="Times New Roman" w:hAnsi="Times New Roman" w:cs="Times New Roman"/>
          <w:sz w:val="4"/>
          <w:sz-cs w:val="4"/>
          <w:color w:val="FFFFFF"/>
        </w:rPr>
        <w:t xml:space="preserve"/>
      </w:r>
    </w:p>
    <w:p>
      <w:pPr>
        <w:jc w:val="both"/>
        <w:bidi/>
        <w:ind w:left="57" w:right="57"/>
      </w:pPr>
      <w:r>
        <w:rPr>
          <w:rFonts w:ascii="Times New Roman" w:hAnsi="Times New Roman" w:cs="Times New Roman"/>
          <w:sz w:val="4"/>
          <w:sz-cs w:val="4"/>
          <w:color w:val="FFFFFF"/>
        </w:rPr>
        <w:t xml:space="preserve">5129371</w:t>
      </w:r>
      <w:r>
        <w:rPr>
          <w:rFonts w:ascii="Times New Roman" w:hAnsi="Times New Roman" w:cs="Times New Roman"/>
          <w:sz w:val="2"/>
          <w:sz-cs w:val="2"/>
          <w:color w:val="FFFFFF"/>
        </w:rPr>
        <w:t xml:space="preserve"/>
      </w:r>
    </w:p>
    <w:p>
      <w:pPr>
        <w:jc w:val="both"/>
        <w:bidi/>
        <w:ind w:left="57" w:right="57"/>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האם אפשר להפעיל מאסר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בגין הרשעה בניסיון לבצע את עבירת התנאי – אימתי ירצה נאשם שני מאסרים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תנאי שהופעלו באופן מצטבר.</w:t>
      </w:r>
    </w:p>
    <w:p>
      <w:pPr>
        <w:jc w:val="both"/>
        <w:bidi/>
        <w:spacing w:after="240"/>
      </w:pPr>
      <w:r>
        <w:rPr>
          <w:rFonts w:ascii="Times New Roman" w:hAnsi="Times New Roman" w:cs="Times New Roman"/>
          <w:sz w:val="24"/>
          <w:sz-cs w:val="24"/>
        </w:rPr>
        <w:t xml:space="preserve"/>
      </w:r>
    </w:p>
    <w:p>
      <w:pPr>
        <w:jc w:val="both"/>
        <w:bidi/>
        <w:spacing w:after="240"/>
      </w:pPr>
      <w:r>
        <w:rPr>
          <w:rFonts w:ascii="Times New Roman" w:hAnsi="Times New Roman" w:cs="Times New Roman"/>
          <w:sz w:val="24"/>
          <w:sz-cs w:val="24"/>
        </w:rPr>
        <w:t xml:space="preserve"/>
      </w:r>
    </w:p>
    <w:p>
      <w:pPr>
        <w:jc w:val="both"/>
        <w:bidi/>
        <w:spacing w:after="240"/>
      </w:pPr>
      <w:r>
        <w:rPr>
          <w:rFonts w:ascii="Times New Roman" w:hAnsi="Times New Roman" w:cs="Times New Roman"/>
          <w:sz w:val="24"/>
          <w:sz-cs w:val="24"/>
        </w:rPr>
        <w:t xml:space="preserve"/>
      </w:r>
    </w:p>
    <w:p>
      <w:pPr>
        <w:jc w:val="center"/>
        <w:bidi/>
        <w:spacing w:after="240"/>
      </w:pPr>
      <w:r>
        <w:rPr>
          <w:rFonts w:ascii="Times New Roman" w:hAnsi="Times New Roman" w:cs="Times New Roman"/>
          <w:sz w:val="24"/>
          <w:sz-cs w:val="24"/>
          <w:u w:val="single"/>
          <w:color w:val="0000FF"/>
        </w:rPr>
        <w:t xml:space="preserve"> HYPERLINK "http://www.nevo.co.il/advertisements/nevo-100.doc" </w:t>
      </w:r>
      <w:r>
        <w:rPr>
          <w:rFonts w:ascii="Times New Roman" w:hAnsi="Times New Roman" w:cs="Times New Roman"/>
          <w:sz w:val="24"/>
          <w:sz-cs w:val="24"/>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4"/>
          <w:sz-cs w:val="24"/>
          <w:u w:val="single"/>
          <w:color w:val="0000FF"/>
        </w:rPr>
        <w:t xml:space="preserve"/>
      </w:r>
    </w:p>
    <w:p>
      <w:pPr>
        <w:jc w:val="center"/>
        <w:bidi/>
        <w:spacing w:after="240"/>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 </w:t>
      </w:r>
    </w:p>
    <w:p>
      <w:pPr>
        <w:jc w:val="right"/>
        <w:bidi/>
      </w:pPr>
      <w:r>
        <w:rPr>
          <w:rFonts w:ascii="Times New Roman" w:hAnsi="Times New Roman" w:cs="Times New Roman"/>
          <w:sz w:val="24"/>
          <w:sz-cs w:val="24"/>
        </w:rPr>
        <w:t xml:space="preserve"/>
      </w:r>
    </w:p>
    <w:p>
      <w:pPr>
        <w:jc w:val="right"/>
        <w:bidi/>
        <w:spacing w:after="60"/>
      </w:pPr>
      <w:r>
        <w:rPr>
          <w:rFonts w:ascii="Times New Roman" w:hAnsi="Times New Roman" w:cs="Times New Roman"/>
          <w:sz w:val="24"/>
          <w:sz-cs w:val="24"/>
        </w:rPr>
        <w:t xml:space="preserve"> PAGE 120</w:t>
        <w:tab/>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נט, חלק שישי, תשס"ה/תשס"ו 2005</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Z:\0000000000000000000-2024-----------\12-Dec\hof\TIKZUR\--עליון\SAGI\0404517-padi.doc</w:t>
      </w:r>
      <w:r>
        <w:rPr>
          <w:rFonts w:ascii="Times New Roman" w:hAnsi="Times New Roman" w:cs="Times New Roman"/>
          <w:sz w:val="14"/>
          <w:sz-cs w:val="14"/>
          <w:color w:val="000000"/>
        </w:rPr>
        <w:t xml:space="preserve"/>
      </w:r>
    </w:p>
    <w:p>
      <w:pPr>
        <w:jc w:val="right"/>
        <w:bidi/>
      </w:pPr>
      <w:r>
        <w:rPr>
          <w:rFonts w:ascii="Times New Roman" w:hAnsi="Times New Roman" w:cs="Times New Roman"/>
          <w:sz w:val="24"/>
          <w:sz-cs w:val="24"/>
        </w:rPr>
        <w:t xml:space="preserve"/>
      </w:r>
    </w:p>
    <w:p>
      <w:pPr/>
      <w:r>
        <w:rPr>
          <w:rFonts w:ascii="Times New Roman" w:hAnsi="Times New Roman" w:cs="Times New Roman"/>
          <w:sz w:val="24"/>
          <w:sz-cs w:val="24"/>
        </w:rPr>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נט, חלק שישי, תשס"ה/תשס"ו 2005</w:t>
        <w:tab/>
        <w:t xml:space="preserve"> PAGE 123</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Z:\0000000000000000000-2024-----------\12-Dec\hof\TIKZUR\--עליון\SAGI\0404517-padi.doc</w:t>
      </w:r>
      <w:r>
        <w:rPr>
          <w:rFonts w:ascii="Times New Roman" w:hAnsi="Times New Roman" w:cs="Times New Roman"/>
          <w:sz w:val="14"/>
          <w:sz-cs w:val="1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r>
        <w:rPr>
          <w:rFonts w:ascii="Times New Roman" w:hAnsi="Times New Roman" w:cs="Times New Roman"/>
          <w:sz w:val="24"/>
          <w:sz-cs w:val="24"/>
        </w:rPr>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נט, חלק שישי, תשס"ה/תשס"ו 2005</w:t>
        <w:tab/>
        <w:t xml:space="preserve"> PAGE 119</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Z:\0000000000000000000-2024-----------\12-Dec\hof\TIKZUR\--עליון\SAGI\0404517-padi.doc</w:t>
      </w:r>
      <w:r>
        <w:rPr>
          <w:rFonts w:ascii="Times New Roman" w:hAnsi="Times New Roman" w:cs="Times New Roman"/>
          <w:sz w:val="14"/>
          <w:sz-cs w:val="1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השופט א' א' לוי</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השופט א' א' לוי</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השופט י' עדיאל</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השופט י' עדיאל</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השופט א' גרוניס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השופט י' עדיאל, השופט א' גרוניס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השופט א' גרוניס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4517/04</w:t>
        <w:tab/>
        <w:t xml:space="preserve">מסראווה נ' מדינת ישראל</w:t>
      </w:r>
    </w:p>
    <w:p>
      <w:pPr>
        <w:jc w:val="right"/>
        <w:bidi/>
        <w:spacing w:before="40"/>
      </w:pPr>
      <w:r>
        <w:rPr>
          <w:rFonts w:ascii="Times New Roman" w:hAnsi="Times New Roman" w:cs="Times New Roman"/>
          <w:sz w:val="24"/>
          <w:sz-cs w:val="24"/>
        </w:rPr>
        <w:t xml:space="preserve">פ"ד נט(6) </w:t>
      </w:r>
      <w:r>
        <w:rPr>
          <w:rFonts w:ascii="Times New Roman" w:hAnsi="Times New Roman" w:cs="Times New Roman"/>
          <w:sz w:val="22"/>
          <w:sz-cs w:val="22"/>
        </w:rPr>
        <w:t xml:space="preserve">119</w:t>
      </w:r>
      <w:r>
        <w:rPr>
          <w:rFonts w:ascii="Times New Roman" w:hAnsi="Times New Roman" w:cs="Times New Roman"/>
          <w:sz w:val="24"/>
          <w:sz-cs w:val="24"/>
        </w:rPr>
        <w:t xml:space="preserve"/>
        <w:tab/>
        <w:t xml:space="preserve">השופט א' גרוניס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spacing w:after="240"/>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cp:lastModifiedBy>
  <dcterms:created>2024-12-23T14:25:00Z</dcterms:created>
  <dcterms:modified>2024-12-23T14:25:00Z</dcterms:modified>
</cp:coreProperties>
</file>

<file path=docProps/meta.xml><?xml version="1.0" encoding="utf-8"?>
<meta xmlns="http://schemas.apple.com/cocoa/2006/metadata">
  <generator>CocoaOOXMLWriter/2575.7</generator>
</meta>
</file>