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w:t>
      </w:r>
      <w:r>
        <w:rPr>
          <w:rFonts w:ascii="Times New Roman" w:hAnsi="Times New Roman" w:cs="Times New Roman"/>
          <w:sz w:val="28"/>
          <w:sz-cs w:val="28"/>
        </w:rPr>
        <w:t xml:space="preserve"/>
      </w:r>
    </w:p>
    <w:p>
      <w:pPr>
        <w:jc w:val="center"/>
        <w:bidi/>
      </w:pPr>
      <w:r>
        <w:rPr>
          <w:rFonts w:ascii="Times New Roman" w:hAnsi="Times New Roman" w:cs="Times New Roman"/>
          <w:sz w:val="28"/>
          <w:sz-cs w:val="28"/>
        </w:rPr>
        <w:t xml:space="preserve">בשבתו כבית משפט לערעורים פליליים</w:t>
      </w:r>
    </w:p>
    <w:p>
      <w:pPr>
        <w:bidi/>
      </w:pPr>
      <w:r>
        <w:rPr>
          <w:rFonts w:ascii="Times New Roman" w:hAnsi="Times New Roman" w:cs="Times New Roman"/>
          <w:sz w:val="24"/>
          <w:sz-cs w:val="24"/>
          <w:b/>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u w:val="single"/>
          <w:color w:val="0000FF"/>
        </w:rPr>
        <w:t xml:space="preserve"> HYPERLINK "http://www.nevo.co.il/case/17942576" </w:t>
      </w:r>
      <w:r>
        <w:rPr>
          <w:rFonts w:ascii="Times New Roman" w:hAnsi="Times New Roman" w:cs="Times New Roman"/>
          <w:sz w:val="28"/>
          <w:sz-cs w:val="28"/>
          <w:u w:val="single"/>
          <w:color w:val="0000FF"/>
        </w:rPr>
        <w:t xml:space="preserve">ע"פ 49/80</w:t>
      </w:r>
      <w:r>
        <w:rPr>
          <w:rFonts w:ascii="Times New Roman" w:hAnsi="Times New Roman" w:cs="Times New Roman"/>
          <w:sz w:val="28"/>
          <w:sz-cs w:val="28"/>
        </w:rPr>
        <w:t xml:space="preserve"/>
      </w:r>
    </w:p>
    <w:p>
      <w:pPr>
        <w:bidi/>
      </w:pPr>
      <w:r>
        <w:rPr>
          <w:rFonts w:ascii="Times New Roman" w:hAnsi="Times New Roman" w:cs="Times New Roman"/>
          <w:sz w:val="28"/>
          <w:sz-cs w:val="28"/>
        </w:rPr>
        <w:t xml:space="preserve">תאריך: 16.6.80</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בפני: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אלון</w:t>
      </w:r>
    </w:p>
    <w:p>
      <w:pPr>
        <w:jc w:val="right"/>
        <w:bidi/>
      </w:pPr>
      <w:r>
        <w:rPr>
          <w:rFonts w:ascii="Times New Roman" w:hAnsi="Times New Roman" w:cs="Times New Roman"/>
          <w:sz w:val="22"/>
          <w:sz-cs w:val="22"/>
        </w:rPr>
        <w:t xml:space="preserve">כבוד השופט ברק</w:t>
      </w:r>
    </w:p>
    <w:p>
      <w:pPr>
        <w:jc w:val="right"/>
        <w:bidi/>
      </w:pPr>
      <w:r>
        <w:rPr>
          <w:rFonts w:ascii="Times New Roman" w:hAnsi="Times New Roman" w:cs="Times New Roman"/>
          <w:sz w:val="22"/>
          <w:sz-cs w:val="22"/>
        </w:rPr>
        <w:t xml:space="preserve">כבוד השופט לוין</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המערערים:</w:t>
      </w:r>
    </w:p>
    <w:p>
      <w:pPr>
        <w:jc w:val="right"/>
        <w:bidi/>
        <w:ind w:right="720"/>
      </w:pPr>
      <w:r>
        <w:rPr>
          <w:rFonts w:ascii="Times New Roman" w:hAnsi="Times New Roman" w:cs="Times New Roman"/>
          <w:sz w:val="22"/>
          <w:sz-cs w:val="22"/>
        </w:rPr>
        <w:t xml:space="preserve">עמוס מסילתי</w:t>
      </w:r>
    </w:p>
    <w:p>
      <w:pPr>
        <w:jc w:val="right"/>
        <w:bidi/>
        <w:ind w:right="720"/>
      </w:pPr>
      <w:r>
        <w:rPr>
          <w:rFonts w:ascii="Times New Roman" w:hAnsi="Times New Roman" w:cs="Times New Roman"/>
          <w:sz w:val="22"/>
          <w:sz-cs w:val="22"/>
        </w:rPr>
        <w:t xml:space="preserve">אליהו מסילתי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פסק-דינו של בית-המשפט המחוזי, תל-אביב-יפו (</w:t>
      </w:r>
      <w:r>
        <w:rPr>
          <w:rFonts w:ascii="Times New Roman" w:hAnsi="Times New Roman" w:cs="Times New Roman"/>
          <w:sz w:val="24"/>
          <w:sz-cs w:val="24"/>
          <w:b/>
        </w:rPr>
        <w:t xml:space="preserve">השופט ח' שטיינברג</w:t>
      </w:r>
      <w:r>
        <w:rPr>
          <w:rFonts w:ascii="Times New Roman" w:hAnsi="Times New Roman" w:cs="Times New Roman"/>
          <w:sz w:val="24"/>
          <w:sz-cs w:val="24"/>
        </w:rPr>
        <w:t xml:space="preserve">), מיום 27.12.1979, ב</w:t>
      </w:r>
      <w:r>
        <w:rPr>
          <w:rFonts w:ascii="Times New Roman" w:hAnsi="Times New Roman" w:cs="Times New Roman"/>
          <w:sz w:val="24"/>
          <w:sz-cs w:val="24"/>
          <w:u w:val="single"/>
          <w:color w:val="0000FF"/>
        </w:rPr>
        <w:t xml:space="preserve"> HYPERLINK "http://www.nevo.co.il/links/psika/?link=תפ 608/69" ת"פ 608/69</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בשם המערערים:</w:t>
      </w:r>
    </w:p>
    <w:p>
      <w:pPr>
        <w:jc w:val="right"/>
        <w:bidi/>
      </w:pPr>
      <w:r>
        <w:rPr>
          <w:rFonts w:ascii="Times New Roman" w:hAnsi="Times New Roman" w:cs="Times New Roman"/>
          <w:sz w:val="22"/>
          <w:sz-cs w:val="22"/>
        </w:rPr>
        <w:t xml:space="preserve">עו"ד מ' מרוז</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ר' רבין, סגן לפרקליט המדינה</w:t>
      </w:r>
    </w:p>
    <w:p>
      <w:pPr>
        <w:jc w:val="right"/>
        <w:bidi/>
      </w:pPr>
      <w:r>
        <w:rPr>
          <w:rFonts w:ascii="Times New Roman" w:hAnsi="Times New Roman" w:cs="Times New Roman"/>
          <w:sz w:val="24"/>
          <w:sz-cs w:val="24"/>
        </w:rPr>
        <w:t xml:space="preserve"/>
      </w:r>
    </w:p>
    <w:p>
      <w:pPr>
        <w:jc w:val="both"/>
        <w:bidi/>
      </w:pPr>
      <w:r>
        <w:rPr>
          <w:rFonts w:ascii="Times New Roman" w:hAnsi="Times New Roman" w:cs="Times New Roman"/>
          <w:sz w:val="24"/>
          <w:sz-cs w:val="24"/>
          <w:b/>
        </w:rPr>
        <w:t xml:space="preserve">חוק העונשין, תשל"ז-1977, ס"ח 226, סעיפים 333, 335, 22, 379, 380, 335(2), 52(ב), 384, 391, 407(ב) – פקודת החוק הפלילי, 1936, ע"ר תוס' 1 (ע) 263 (א) 285 [הוחלפה: ס"ח תשל"ז 226], פרק כז – חוק לתיקון דיני העונשין (תקיפת שוטרים), תשי"ב-1952, ס"ח 144 [הוחלף ס"ח תשל"ז 226], סעיף 2.</w:t>
        <w:tab/>
        <w:t xml:space="preserve"/>
        <w:br/>
        <w:t xml:space="preserve"/>
        <w:br/>
        <w:t xml:space="preserve"/>
      </w:r>
      <w:r>
        <w:rPr>
          <w:rFonts w:ascii="Times New Roman" w:hAnsi="Times New Roman" w:cs="Times New Roman"/>
          <w:sz w:val="24"/>
          <w:sz-cs w:val="24"/>
        </w:rPr>
        <w:t xml:space="preserve">המערערים הורשעו בגרימת חבלה חמורה בנסיבות מחמירות והוטלו עליהם עונשי מאסר של שנתיים לריצוי בפועל, שנת מאסר על-תנאי וכן הופעלו נגדם מאסרים על-תנאי באופן שנוסף עונש מאסר של תשעה חודשים לריצוי בפועל. הם מערערים על הרשעתם ועל מידת העונש.</w:t>
        <w:tab/>
        <w:t xml:space="preserve"/>
        <w:br/>
        <w:t xml:space="preserve"/>
        <w:br/>
        <w:t xml:space="preserve">בית-המשפט העליון פסק –</w:t>
      </w:r>
    </w:p>
    <w:p>
      <w:pPr>
        <w:jc w:val="both"/>
        <w:bidi/>
      </w:pPr>
      <w:r>
        <w:rPr>
          <w:rFonts w:ascii="Times New Roman" w:hAnsi="Times New Roman" w:cs="Times New Roman"/>
          <w:sz w:val="24"/>
          <w:sz-cs w:val="24"/>
        </w:rPr>
        <w:t xml:space="preserve"/>
      </w:r>
    </w:p>
    <w:p>
      <w:pPr>
        <w:jc w:val="both"/>
        <w:bidi/>
        <w:ind w:right="720"/>
      </w:pPr>
      <w:r>
        <w:rPr>
          <w:rFonts w:ascii="Times New Roman" w:hAnsi="Times New Roman" w:cs="Times New Roman"/>
          <w:sz w:val="24"/>
          <w:sz-cs w:val="24"/>
        </w:rPr>
        <w:t xml:space="preserve">(1)</w:t>
        <w:tab/>
        <w:t xml:space="preserve">מאסר על-תנאי מופעל שעה שנאשם עובר ומורשע בתקופת התנאי בעבירה שנקבעה בגזר-הדין.</w:t>
      </w:r>
    </w:p>
    <w:p>
      <w:pPr>
        <w:jc w:val="both"/>
        <w:bidi/>
        <w:ind w:left="720" w:right="720" w:first-line="-360"/>
      </w:pPr>
      <w:r>
        <w:rPr>
          <w:rFonts w:ascii="Times New Roman" w:hAnsi="Times New Roman" w:cs="Times New Roman"/>
          <w:sz w:val="24"/>
          <w:sz-cs w:val="24"/>
        </w:rPr>
        <w:t xml:space="preserve">(2)</w:t>
        <w:tab/>
        <w:t xml:space="preserve">התנאי מופר אף אם הנאשם לא הועמד כלל לדין בעבירה הזהה במספרה לעבירת התנאי, ובלבד שהעבירה בה הורשע הנאשם כוללת בחובה, מבחינת יסודותיה, את היסודות הקבועים בעבירת התנאי.</w:t>
      </w:r>
    </w:p>
    <w:p>
      <w:pPr>
        <w:jc w:val="both"/>
        <w:bidi/>
        <w:ind w:left="720" w:right="720" w:first-line="-360"/>
      </w:pPr>
      <w:r>
        <w:rPr>
          <w:rFonts w:ascii="Times New Roman" w:hAnsi="Times New Roman" w:cs="Times New Roman"/>
          <w:sz w:val="24"/>
          <w:sz-cs w:val="24"/>
        </w:rPr>
        <w:t xml:space="preserve">(3)</w:t>
        <w:tab/>
        <w:t xml:space="preserve">המבחן להפעלת התנאי אינו טכני-פורמלי אלא מהותי-עניני.</w:t>
      </w:r>
    </w:p>
    <w:p>
      <w:pPr>
        <w:jc w:val="both"/>
        <w:bidi/>
        <w:ind w:left="720" w:right="720" w:first-line="-360"/>
      </w:pPr>
      <w:r>
        <w:rPr>
          <w:rFonts w:ascii="Times New Roman" w:hAnsi="Times New Roman" w:cs="Times New Roman"/>
          <w:sz w:val="24"/>
          <w:sz-cs w:val="24"/>
        </w:rPr>
        <w:t xml:space="preserve">(4)</w:t>
        <w:tab/>
        <w:t xml:space="preserve">ההשוואה הראויה היא בין יסודות עבירת התנאי כפי שהיא מופיעה בספר החוקים, לבין היסודות המתקיימים בהתנהגותו של הנאשם, כפי שהורשע עליהם, הלכה למעשה.</w:t>
      </w:r>
    </w:p>
    <w:p>
      <w:pPr>
        <w:jc w:val="right"/>
        <w:bidi/>
      </w:pPr>
      <w:r>
        <w:rPr>
          <w:rFonts w:ascii="Times New Roman" w:hAnsi="Times New Roman" w:cs="Times New Roman"/>
          <w:sz w:val="24"/>
          <w:sz-cs w:val="24"/>
        </w:rPr>
        <w:t xml:space="preserve"/>
        <w:br w:type="page"/>
        <w:t xml:space="preserve">ערעור על פסק-דינו של בית-המשפט המחוזי, תל-אביב-יפו (</w:t>
      </w:r>
      <w:r>
        <w:rPr>
          <w:rFonts w:ascii="Times New Roman" w:hAnsi="Times New Roman" w:cs="Times New Roman"/>
          <w:sz w:val="24"/>
          <w:sz-cs w:val="24"/>
          <w:b/>
        </w:rPr>
        <w:t xml:space="preserve">השופט ח' שטיינברג</w:t>
      </w:r>
      <w:r>
        <w:rPr>
          <w:rFonts w:ascii="Times New Roman" w:hAnsi="Times New Roman" w:cs="Times New Roman"/>
          <w:sz w:val="24"/>
          <w:sz-cs w:val="24"/>
        </w:rPr>
        <w:t xml:space="preserve">), מיום 27.12.1979, בת"פ 608/69. </w:t>
      </w:r>
      <w:r>
        <w:rPr>
          <w:rFonts w:ascii="Times New Roman" w:hAnsi="Times New Roman" w:cs="Times New Roman"/>
          <w:sz w:val="24"/>
          <w:sz-cs w:val="24"/>
          <w:b/>
        </w:rPr>
        <w:t xml:space="preserve">הערעור נדחה.</w:t>
      </w: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 דין</w:t>
      </w:r>
    </w:p>
    <w:p>
      <w:pPr>
        <w:jc w:val="both"/>
        <w:bidi/>
      </w:pPr>
      <w:r>
        <w:rPr>
          <w:rFonts w:ascii="Times New Roman" w:hAnsi="Times New Roman" w:cs="Times New Roman"/>
          <w:sz w:val="24"/>
          <w:sz-cs w:val="24"/>
          <w:b/>
        </w:rPr>
        <w:t xml:space="preserve"/>
      </w:r>
    </w:p>
    <w:p>
      <w:pPr>
        <w:jc w:val="both"/>
        <w:bidi/>
      </w:pPr>
      <w:r>
        <w:rPr>
          <w:rFonts w:ascii="Times New Roman" w:hAnsi="Times New Roman" w:cs="Times New Roman"/>
          <w:sz w:val="24"/>
          <w:sz-cs w:val="24"/>
          <w:b/>
        </w:rPr>
        <w:t xml:space="preserve">השופט ברק:</w:t>
      </w:r>
      <w:r>
        <w:rPr>
          <w:rFonts w:ascii="Times New Roman" w:hAnsi="Times New Roman" w:cs="Times New Roman"/>
          <w:sz w:val="24"/>
          <w:sz-cs w:val="24"/>
        </w:rPr>
        <w:t xml:space="preserve"> סמי יעקב (להלן – המתלונן) נמצא כשהוא חבול חמורות בראשו. לטענת התביעה, היו אלה המערערים אשר היכו את המתלונן קשות, ובכך עברו על הוראות </w:t>
      </w:r>
      <w:r>
        <w:rPr>
          <w:rFonts w:ascii="Times New Roman" w:hAnsi="Times New Roman" w:cs="Times New Roman"/>
          <w:sz w:val="24"/>
          <w:sz-cs w:val="24"/>
          <w:u w:val="single"/>
          <w:color w:val="0000FF"/>
        </w:rPr>
        <w:t xml:space="preserve"> HYPERLINK "http://www.nevo.co.il/law/70301/333" הסעיפים 333</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תשל"ז-1977 (חבלה חמורה), ו-</w:t>
      </w:r>
      <w:r>
        <w:rPr>
          <w:rFonts w:ascii="Times New Roman" w:hAnsi="Times New Roman" w:cs="Times New Roman"/>
          <w:sz w:val="24"/>
          <w:sz-cs w:val="24"/>
          <w:u w:val="single"/>
          <w:color w:val="0000FF"/>
        </w:rPr>
        <w:t xml:space="preserve"> HYPERLINK "http://www.nevo.co.il/law/70301/335" </w:t>
      </w:r>
      <w:r>
        <w:rPr>
          <w:rFonts w:ascii="Times New Roman" w:hAnsi="Times New Roman" w:cs="Times New Roman"/>
          <w:sz w:val="24"/>
          <w:sz-cs w:val="24"/>
          <w:u w:val="single"/>
          <w:color w:val="0000FF"/>
        </w:rPr>
        <w:t xml:space="preserve">335</w:t>
      </w:r>
      <w:r>
        <w:rPr>
          <w:rFonts w:ascii="Times New Roman" w:hAnsi="Times New Roman" w:cs="Times New Roman"/>
          <w:sz w:val="24"/>
          <w:sz-cs w:val="24"/>
        </w:rPr>
        <w:t xml:space="preserve"> לחוק העונשין (בנסיבות מחמירות). לעומתה טענו המערערים כי המתלונן התגרה במערער מס' 2 (להלן – אלי), ואף ניגש אליו והיכה אותו, ואילו אלי רק הגן על עצמו. המערער מס' 1 (להלן – עמוס), אחיו ש אלי, אך בא לעזרתו. על-פי גרסת המערערים הפצעים הקשים שנמצאו במתלונן לא באו לו מנחתם זרועם, אלא מנפילה שנפל על המדרכה. בית-משפט קמא (כבוד השופט שטיינברג) קבע כי תחילת האירוע בקללות וגידופים שהריף אלי כלפי המתלונן, שעבד אותה שעה על פיגומי בנין. המתלונן ירד לאלי לברר פשר הדבר, ובהיותם זה ליד זה, כשאלי יושב על המידרכה, בעת אלי במתלונן. המתלונן תפס בשערו ראשו של אלי, כדי למנוע ממנו מלקום ולהכותו שנית. השניים נפלו על המדרכה זה על גבי זה. במצב דברים זה התערב עמוס, שהחל לבעוט במתלונן ללא רחם וללא הבחן. אף אלי היכה אותו אגרופיו. משסיימו השניים את מלאכתם, עזבו את המתלונן, כשהוא מתבוסס בדמו. על יסוד תשתית עובדתית זו הרשיע בית-משפט קמא את המערער מעבירות שיוחסו להם, והטיל על כל אחד מהם עונש של שנתיים מאסר לריצוי בפועל, ושנת מאסר על-תנאי. כן הופעלו נגד השניים מאסרים על-תנאי שהיו תלויים ועומדים, במקצת במצטבר ובמקצת בחופף, באופן שנוסף עונש מאסר לתשעה חודשים לריצוי בפועל. הערעור שלפנינו הוא על ההרשעה והעונש כאחד.</w:t>
      </w:r>
    </w:p>
    <w:p>
      <w:pPr>
        <w:jc w:val="both"/>
        <w:bidi/>
      </w:pPr>
      <w:r>
        <w:rPr>
          <w:rFonts w:ascii="Times New Roman" w:hAnsi="Times New Roman" w:cs="Times New Roman"/>
          <w:sz w:val="24"/>
          <w:sz-cs w:val="24"/>
        </w:rPr>
        <w:t xml:space="preserve"/>
      </w:r>
    </w:p>
    <w:p>
      <w:pPr>
        <w:jc w:val="both"/>
        <w:bidi/>
        <w:ind w:right="360"/>
      </w:pPr>
      <w:r>
        <w:rPr>
          <w:rFonts w:ascii="Times New Roman" w:hAnsi="Times New Roman" w:cs="Times New Roman"/>
          <w:sz w:val="24"/>
          <w:sz-cs w:val="24"/>
        </w:rPr>
        <w:t xml:space="preserve">מר מרוז, בא-כוח המערערים, טען לפנינו כי לא אלי הוא זה שהחל בקטטה, אלא המתחיל הוא דווקא המתלונן. ממצאו של בית-משפט קמא, כי ראשון המכיים היה אלי, מבוסס על עדותו של המתלונן, שסתרה בענין זה את עדותו של אלי. בית-המשפט העדיף להאמין למתלונן, שהיה מהימן עליו, ודחה את גרסתו של אלי, ממנו התרשם לשלילה. בנסיבות אלה איני רואה כל יסוד להתערבותה של ערכאת הערעור. מר מרוז ביקש לשכנעו כי לא היה מקום ליתן אמון בגרסת המתלונן, שכן הוא עצמו מסר גרסה אחרת לשוטר שחקר אותו בבית החולים מיד לאחר הקטטה. בית-המשפט קמא נתן דעתו לטענה זו ודחה אותה, ואף אנו סבורים כמוהו. לא רק שאין סתירה מהותית בעובדות המטריאליות בין גרסת המתלונן כפי שנמסרה בבית החולים לבין גרסתו בבית-המשפט, אלא שבית-המשפט קבע כי לדברים שאמר המתלונן בבית החולים אין לייחס כל משקל, </w:t>
      </w:r>
    </w:p>
    <w:p>
      <w:pPr>
        <w:jc w:val="both"/>
        <w:bidi/>
        <w:ind w:left="360" w:right="360"/>
      </w:pPr>
      <w:r>
        <w:rPr>
          <w:rFonts w:ascii="Times New Roman" w:hAnsi="Times New Roman" w:cs="Times New Roman"/>
          <w:sz w:val="24"/>
          <w:sz-cs w:val="24"/>
        </w:rPr>
        <w:t xml:space="preserve"/>
        <w:br w:type="page"/>
        <w:t xml:space="preserve">שכן המתלונן היה במצב אנוש וספק אם היה בהכרה. בנסיבות אלה, האמון בדברי המתלונן וחוסר האמון בדבריו של אלי, הוא ענין לערכאה הראשונה, ולא נוצרו כלל הנסיבות המצדיקות התערבותה של ערכאת הערעור. אין גם כל ממש – לא מבחינה עובדתית ולא מבחינה משפטית – בטענתו של מר מרוז כי עמוס פעל מתוך "צורך" (כמשמעות הדבר </w:t>
      </w:r>
      <w:r>
        <w:rPr>
          <w:rFonts w:ascii="Times New Roman" w:hAnsi="Times New Roman" w:cs="Times New Roman"/>
          <w:sz w:val="24"/>
          <w:sz-cs w:val="24"/>
          <w:u w:val="single"/>
          <w:color w:val="0000FF"/>
        </w:rPr>
        <w:t xml:space="preserve"> HYPERLINK "http://www.nevo.co.il/law/70301/22" </w:t>
      </w:r>
      <w:r>
        <w:rPr>
          <w:rFonts w:ascii="Times New Roman" w:hAnsi="Times New Roman" w:cs="Times New Roman"/>
          <w:sz w:val="24"/>
          <w:sz-cs w:val="24"/>
          <w:u w:val="single"/>
          <w:color w:val="0000FF"/>
        </w:rPr>
        <w:t xml:space="preserve">בסעיף 22</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במישור העובדתי, נדחתה גרסתו של עמוס, לפיה כלל לא חיבל במתלונן ופציעתו של זה באה לו מנפילתו. בענין זה קיבל בית-המשפט את עדותם שלש ני עדים שהיו נוכחים במקום, וראו במו עיניהם כיצד עמוס בועט במתלונן. במישור המשפטי, התנגדותו זו של עמוס אינה התנהגות שהגנת הצורך פרושה עליה. די לנו אם נצביע על כך כי עמוס לא עשה כל ניסיון להפריד בין הניצים, וכל התנהגותו לא התבטאה אלא בבעיטות נמרצות שבעת במתלונן. במעשיו אלה לא נקט עמוס אמצעים סבירים הדרושים להגנה על אחיו, אלא נקט אמצעים בלתי סבירים ותוקפניים שנועדו לגרום חבלות קשות במלונן. סיכומו של דבר, בערעור על ההרשעה עין כל ממש, ואנו דוחים אותו.</w:t>
      </w:r>
    </w:p>
    <w:p>
      <w:pPr>
        <w:jc w:val="both"/>
        <w:bidi/>
        <w:ind w:left="360" w:right="360"/>
      </w:pPr>
      <w:r>
        <w:rPr>
          <w:rFonts w:ascii="Times New Roman" w:hAnsi="Times New Roman" w:cs="Times New Roman"/>
          <w:sz w:val="24"/>
          <w:sz-cs w:val="24"/>
        </w:rPr>
        <w:t xml:space="preserve"/>
      </w:r>
    </w:p>
    <w:p>
      <w:pPr>
        <w:jc w:val="both"/>
        <w:bidi/>
        <w:ind w:right="360"/>
      </w:pPr>
      <w:r>
        <w:rPr>
          <w:rFonts w:ascii="Times New Roman" w:hAnsi="Times New Roman" w:cs="Times New Roman"/>
          <w:sz w:val="24"/>
          <w:sz-cs w:val="24"/>
        </w:rPr>
        <w:t xml:space="preserve">טענתו הבאה של מר מרוז מכוונת להפעלת המאסרים על-תנאי שהיו תלויים נגד המערערים. נגד אלי היו תלויים שני מאסרים על-תנאי, האחד בן חמישה חודשים והאחד בן ארבעה חודשים, וכנגד עמוס היה תלוי מאסר על-תנאי בן תשעה חודשים, והתנאי הוא, לענין כל אחד מהעונשים של כל אחד מהמערערים, כי המערערים  לא יעברו עבירה לפי </w:t>
      </w:r>
      <w:r>
        <w:rPr>
          <w:rFonts w:ascii="Times New Roman" w:hAnsi="Times New Roman" w:cs="Times New Roman"/>
          <w:sz w:val="24"/>
          <w:sz-cs w:val="24"/>
          <w:u w:val="single"/>
          <w:color w:val="0000FF"/>
        </w:rPr>
        <w:t xml:space="preserve"> HYPERLINK "http://www.nevo.co.il/law/70301/379" הסעיפים 379</w:t>
      </w:r>
      <w:r>
        <w:rPr>
          <w:rFonts w:ascii="Times New Roman" w:hAnsi="Times New Roman" w:cs="Times New Roman"/>
          <w:sz w:val="24"/>
          <w:sz-cs w:val="24"/>
        </w:rPr>
        <w:t xml:space="preserve"> (תקיפה) ו-</w:t>
      </w:r>
      <w:r>
        <w:rPr>
          <w:rFonts w:ascii="Times New Roman" w:hAnsi="Times New Roman" w:cs="Times New Roman"/>
          <w:sz w:val="24"/>
          <w:sz-cs w:val="24"/>
          <w:u w:val="single"/>
          <w:color w:val="0000FF"/>
        </w:rPr>
        <w:t xml:space="preserve"> HYPERLINK "http://www.nevo.co.il/law/70301/380" 380</w:t>
      </w:r>
      <w:r>
        <w:rPr>
          <w:rFonts w:ascii="Times New Roman" w:hAnsi="Times New Roman" w:cs="Times New Roman"/>
          <w:sz w:val="24"/>
          <w:sz-cs w:val="24"/>
        </w:rPr>
        <w:t xml:space="preserve"> (תקיפה הגורמת חבלה ממשית)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הלכה למעשה הורשעו המערערים בעבירה על </w:t>
      </w:r>
      <w:r>
        <w:rPr>
          <w:rFonts w:ascii="Times New Roman" w:hAnsi="Times New Roman" w:cs="Times New Roman"/>
          <w:sz w:val="24"/>
          <w:sz-cs w:val="24"/>
          <w:u w:val="single"/>
          <w:color w:val="0000FF"/>
        </w:rPr>
        <w:t xml:space="preserve"> HYPERLINK "http://www.nevo.co.il/law/70301/333" סעיפים 333</w:t>
      </w:r>
      <w:r>
        <w:rPr>
          <w:rFonts w:ascii="Times New Roman" w:hAnsi="Times New Roman" w:cs="Times New Roman"/>
          <w:sz w:val="24"/>
          <w:sz-cs w:val="24"/>
        </w:rPr>
        <w:t xml:space="preserve"> (חבלה חמורה) ו-</w:t>
      </w:r>
      <w:r>
        <w:rPr>
          <w:rFonts w:ascii="Times New Roman" w:hAnsi="Times New Roman" w:cs="Times New Roman"/>
          <w:sz w:val="24"/>
          <w:sz-cs w:val="24"/>
          <w:u w:val="single"/>
          <w:color w:val="0000FF"/>
        </w:rPr>
        <w:t xml:space="preserve"> HYPERLINK "http://www.nevo.co.il/law/70301/335.2." 335(2)</w:t>
      </w:r>
      <w:r>
        <w:rPr>
          <w:rFonts w:ascii="Times New Roman" w:hAnsi="Times New Roman" w:cs="Times New Roman"/>
          <w:sz w:val="24"/>
          <w:sz-cs w:val="24"/>
        </w:rPr>
        <w:t xml:space="preserve"> (בנסיבות מחמירות). לטענתו של מר מרוז אין ההרשעה האמורה מפעילה את המאסרים על-תנאי.</w:t>
      </w:r>
    </w:p>
    <w:p>
      <w:pPr>
        <w:jc w:val="both"/>
        <w:bidi/>
        <w:ind w:left="360" w:right="360"/>
      </w:pPr>
      <w:r>
        <w:rPr>
          <w:rFonts w:ascii="Times New Roman" w:hAnsi="Times New Roman" w:cs="Times New Roman"/>
          <w:sz w:val="24"/>
          <w:sz-cs w:val="24"/>
        </w:rPr>
        <w:t xml:space="preserve"/>
      </w:r>
    </w:p>
    <w:p>
      <w:pPr>
        <w:jc w:val="both"/>
        <w:bidi/>
        <w:ind w:left="360" w:right="360"/>
      </w:pPr>
      <w:r>
        <w:rPr>
          <w:rFonts w:ascii="Times New Roman" w:hAnsi="Times New Roman" w:cs="Times New Roman"/>
          <w:sz w:val="24"/>
          <w:sz-cs w:val="24"/>
        </w:rPr>
        <w:t xml:space="preserve">כידוע, הכלל הוא כי המאסר על-תנאי מופעל שעה שהנאשם עובר בתקופת התנאי עבירה שנקבעה בגזר-הדין ומורשה בה (</w:t>
      </w:r>
      <w:r>
        <w:rPr>
          <w:rFonts w:ascii="Times New Roman" w:hAnsi="Times New Roman" w:cs="Times New Roman"/>
          <w:sz w:val="24"/>
          <w:sz-cs w:val="24"/>
          <w:u w:val="single"/>
          <w:color w:val="0000FF"/>
        </w:rPr>
        <w:t xml:space="preserve"> HYPERLINK "http://www.nevo.co.il/law/70301/52.b." סעיף 52(ב)</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במצב הדברים הטיפוסי עובר הנאשם ומורשע בעבירה הזהה במספרה לזו שפורטה בתנאי. זהו המצב הרגיל אך לא היחיד. הפסיקה הרחיבה את המשמעות הנודעת </w:t>
      </w:r>
      <w:r>
        <w:rPr>
          <w:rFonts w:ascii="Times New Roman" w:hAnsi="Times New Roman" w:cs="Times New Roman"/>
          <w:sz w:val="24"/>
          <w:sz-cs w:val="24"/>
          <w:u w:val="single"/>
          <w:color w:val="0000FF"/>
        </w:rPr>
        <w:t xml:space="preserve"> HYPERLINK "http://www.nevo.co.il/law/70301/52.b." לסעיף 52(ב)</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וקבעה כי התנאי מופר אף אם הנאשם לא הועמד כלל לדין בעבירה הזהה במספרה לעבירת התנאי, אף לא הורשע על-פיה, ובלבד שהעבירה בה הורשע הנאשם הלכה למעשה כוללת בחובה, מבחינת יסודותיה, את היסודות הקבועים בעבירות התנאי (ראה </w:t>
      </w:r>
      <w:r>
        <w:rPr>
          <w:rFonts w:ascii="Times New Roman" w:hAnsi="Times New Roman" w:cs="Times New Roman"/>
          <w:sz w:val="24"/>
          <w:sz-cs w:val="24"/>
          <w:b/>
          <w:u w:val="single"/>
          <w:color w:val="0000FF"/>
        </w:rPr>
        <w:t xml:space="preserve">HYPERLINK "http://www.nevo.co.il/case/17914869"ע"פ 21/63 ג'מיל המיה נגד היועץ המשפטי לממשלה, פ"ד יז</w:t>
      </w:r>
      <w:r>
        <w:rPr>
          <w:rFonts w:ascii="Times New Roman" w:hAnsi="Times New Roman" w:cs="Times New Roman"/>
          <w:sz w:val="24"/>
          <w:sz-cs w:val="24"/>
        </w:rPr>
        <w:t xml:space="preserve"> 1774). כפי שאמר </w:t>
      </w:r>
      <w:r>
        <w:rPr>
          <w:rFonts w:ascii="Times New Roman" w:hAnsi="Times New Roman" w:cs="Times New Roman"/>
          <w:sz w:val="24"/>
          <w:sz-cs w:val="24"/>
          <w:b/>
        </w:rPr>
        <w:t xml:space="preserve">השופט שמגר ב</w:t>
      </w:r>
      <w:r>
        <w:rPr>
          <w:rFonts w:ascii="Times New Roman" w:hAnsi="Times New Roman" w:cs="Times New Roman"/>
          <w:sz w:val="24"/>
          <w:sz-cs w:val="24"/>
          <w:b/>
          <w:u w:val="single"/>
          <w:color w:val="0000FF"/>
        </w:rPr>
        <w:t xml:space="preserve">HYPERLINK "http://www.nevo.co.il/case/17929037"ע"פ 624/75</w:t>
      </w:r>
      <w:r>
        <w:rPr>
          <w:rFonts w:ascii="Times New Roman" w:hAnsi="Times New Roman" w:cs="Times New Roman"/>
          <w:sz w:val="24"/>
          <w:sz-cs w:val="24"/>
          <w:b/>
        </w:rPr>
        <w:t xml:space="preserve">, 659/75 יחיא מוחמד גלאגל נגד מדינת ישראל; מדינת ישראל נגד יחיא מוחמד גלאגל, </w:t>
      </w:r>
      <w:r>
        <w:rPr>
          <w:rFonts w:ascii="Times New Roman" w:hAnsi="Times New Roman" w:cs="Times New Roman"/>
          <w:sz w:val="24"/>
          <w:sz-cs w:val="24"/>
        </w:rPr>
        <w:t xml:space="preserve">פ"ד ל(2) 222, </w:t>
      </w:r>
      <w:r>
        <w:rPr>
          <w:rFonts w:ascii="Times New Roman" w:hAnsi="Times New Roman" w:cs="Times New Roman"/>
          <w:sz w:val="24"/>
          <w:sz-cs w:val="24"/>
          <w:b/>
        </w:rPr>
        <w:t xml:space="preserve">בע' 224</w:t>
      </w:r>
      <w:r>
        <w:rPr>
          <w:rFonts w:ascii="Times New Roman" w:hAnsi="Times New Roman" w:cs="Times New Roman"/>
          <w:sz w:val="24"/>
          <w:sz-cs w:val="24"/>
        </w:rPr>
        <w:t xml:space="preserve">:</w:t>
      </w:r>
    </w:p>
    <w:p>
      <w:pPr>
        <w:jc w:val="both"/>
        <w:bidi/>
        <w:ind w:left="360" w:right="360"/>
      </w:pPr>
      <w:r>
        <w:rPr>
          <w:rFonts w:ascii="Times New Roman" w:hAnsi="Times New Roman" w:cs="Times New Roman"/>
          <w:sz w:val="24"/>
          <w:sz-cs w:val="24"/>
        </w:rPr>
        <w:t xml:space="preserve"/>
      </w:r>
    </w:p>
    <w:p>
      <w:pPr>
        <w:jc w:val="both"/>
        <w:bidi/>
        <w:ind w:left="720" w:right="1260"/>
      </w:pPr>
      <w:r>
        <w:rPr>
          <w:rFonts w:ascii="Times New Roman" w:hAnsi="Times New Roman" w:cs="Times New Roman"/>
          <w:sz w:val="24"/>
          <w:sz-cs w:val="24"/>
        </w:rPr>
        <w:t xml:space="preserve">"כאשר קובע בית-המשפט כי פלוני לא ירצה עונש מאסר אלא אם יעבור עבירה לפי סעיף מוגדר בחוק, הרי יופעל התנאי לא רק כאשר הנאשם יעבור מחדש עבירה זהה לזו שפורטה בתנאי, אלא גם אם יעבור כל עבירה אשר המעשה, הנסיון או המחדל המוגדרים בה כוללים את היסודות של העבירה המפורטת בתנאי".</w:t>
      </w:r>
    </w:p>
    <w:p>
      <w:pPr>
        <w:jc w:val="both"/>
        <w:bidi/>
        <w:ind w:left="360" w:right="360"/>
      </w:pPr>
      <w:r>
        <w:rPr>
          <w:rFonts w:ascii="Times New Roman" w:hAnsi="Times New Roman" w:cs="Times New Roman"/>
          <w:sz w:val="24"/>
          <w:sz-cs w:val="24"/>
        </w:rPr>
        <w:t xml:space="preserve"/>
      </w:r>
    </w:p>
    <w:p>
      <w:pPr>
        <w:jc w:val="both"/>
        <w:bidi/>
        <w:ind w:left="360" w:right="360"/>
      </w:pPr>
      <w:r>
        <w:rPr>
          <w:rFonts w:ascii="Times New Roman" w:hAnsi="Times New Roman" w:cs="Times New Roman"/>
          <w:sz w:val="24"/>
          <w:sz-cs w:val="24"/>
        </w:rPr>
        <w:t xml:space="preserve">על כן, אם העבירה המפורטת בתנאי היא גניבה בניגוד </w:t>
      </w:r>
      <w:r>
        <w:rPr>
          <w:rFonts w:ascii="Times New Roman" w:hAnsi="Times New Roman" w:cs="Times New Roman"/>
          <w:sz w:val="24"/>
          <w:sz-cs w:val="24"/>
          <w:u w:val="single"/>
          <w:color w:val="0000FF"/>
        </w:rPr>
        <w:t xml:space="preserve"> HYPERLINK "http://www.nevo.co.il/law/70301/384" לסעיף 384</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התנאי </w:t>
      </w:r>
    </w:p>
    <w:p>
      <w:pPr>
        <w:jc w:val="both"/>
        <w:bidi/>
        <w:ind w:left="360" w:right="360"/>
      </w:pPr>
      <w:r>
        <w:rPr>
          <w:rFonts w:ascii="Times New Roman" w:hAnsi="Times New Roman" w:cs="Times New Roman"/>
          <w:sz w:val="24"/>
          <w:sz-cs w:val="24"/>
        </w:rPr>
        <w:t xml:space="preserve"/>
        <w:br w:type="page"/>
        <w:t xml:space="preserve">מופר לא רק כאשר הנאשם מורשע בעבירת גניבה לפי </w:t>
      </w:r>
      <w:r>
        <w:rPr>
          <w:rFonts w:ascii="Times New Roman" w:hAnsi="Times New Roman" w:cs="Times New Roman"/>
          <w:sz w:val="24"/>
          <w:sz-cs w:val="24"/>
          <w:u w:val="single"/>
          <w:color w:val="0000FF"/>
        </w:rPr>
        <w:t xml:space="preserve"> HYPERLINK "http://www.nevo.co.il/law/70301/384" סעיף 384</w:t>
      </w:r>
      <w:r>
        <w:rPr>
          <w:rFonts w:ascii="Times New Roman" w:hAnsi="Times New Roman" w:cs="Times New Roman"/>
          <w:sz w:val="24"/>
          <w:sz-cs w:val="24"/>
        </w:rPr>
        <w:t xml:space="preserve"> האמור, אלא גם אם הנאשם מורשע בעבירה של גניבה בידי עובד (לפי </w:t>
      </w:r>
      <w:r>
        <w:rPr>
          <w:rFonts w:ascii="Times New Roman" w:hAnsi="Times New Roman" w:cs="Times New Roman"/>
          <w:sz w:val="24"/>
          <w:sz-cs w:val="24"/>
          <w:u w:val="single"/>
          <w:color w:val="0000FF"/>
        </w:rPr>
        <w:t xml:space="preserve"> HYPERLINK "http://www.nevo.co.il/law/70301/391" סעיף 391</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או התפרצות וגניבה (לפי </w:t>
      </w:r>
      <w:r>
        <w:rPr>
          <w:rFonts w:ascii="Times New Roman" w:hAnsi="Times New Roman" w:cs="Times New Roman"/>
          <w:sz w:val="24"/>
          <w:sz-cs w:val="24"/>
          <w:u w:val="single"/>
          <w:color w:val="0000FF"/>
        </w:rPr>
        <w:t xml:space="preserve"> HYPERLINK "http://www.nevo.co.il/law/70301/407.b." סעיף 407(ב)</w:t>
      </w:r>
      <w:r>
        <w:rPr>
          <w:rFonts w:ascii="Times New Roman" w:hAnsi="Times New Roman" w:cs="Times New Roman"/>
          <w:sz w:val="24"/>
          <w:sz-cs w:val="24"/>
        </w:rPr>
        <w:t xml:space="preserve"> לחוק העונשין).</w:t>
      </w:r>
    </w:p>
    <w:p>
      <w:pPr>
        <w:jc w:val="both"/>
        <w:bidi/>
        <w:ind w:left="360" w:right="360"/>
      </w:pPr>
      <w:r>
        <w:rPr>
          <w:rFonts w:ascii="Times New Roman" w:hAnsi="Times New Roman" w:cs="Times New Roman"/>
          <w:sz w:val="24"/>
          <w:sz-cs w:val="24"/>
        </w:rPr>
        <w:t xml:space="preserve"/>
      </w:r>
    </w:p>
    <w:p>
      <w:pPr>
        <w:jc w:val="both"/>
        <w:bidi/>
        <w:ind w:left="360" w:right="360"/>
      </w:pPr>
      <w:r>
        <w:rPr>
          <w:rFonts w:ascii="Times New Roman" w:hAnsi="Times New Roman" w:cs="Times New Roman"/>
          <w:sz w:val="24"/>
          <w:sz-cs w:val="24"/>
        </w:rPr>
        <w:t xml:space="preserve">הטעם להלכה זו נעוץ במטרה העונשית הניצבת ביסוד המאסר על-תנאי. המחוקק ביקש ליתן לנאשם הזדמנות. התנאי יופעל רק אם הנאשם לא עמד לקח, חזר לסורו, ובהתנהגותו הפלילית חזר ועבר את עבירת התנאי. מכאן מתבקשות שתי מסקנות הנוגעות לעניננו: ראשית, המבחן להפעלת התנאי אינו מבחן טכני-פורמלי אלא מבחן מהותי-עניני. השאלה אינה אינה אם הנאשם הועמד לדין והורשע בעבירה המפורטת בתנאי (התנאי "גניבה" – ההרשעה "גניבה"), אלא השאלה היא אם התנהגותו הפלילית של הנאשם (עליה הועמד לדין והורשע) מקיימת את היסודות של עבירת התנאי. כפי שפרופ' פלר אומר:</w:t>
      </w:r>
    </w:p>
    <w:p>
      <w:pPr>
        <w:jc w:val="both"/>
        <w:bidi/>
        <w:ind w:left="360" w:right="360"/>
      </w:pPr>
      <w:r>
        <w:rPr>
          <w:rFonts w:ascii="Times New Roman" w:hAnsi="Times New Roman" w:cs="Times New Roman"/>
          <w:sz w:val="24"/>
          <w:sz-cs w:val="24"/>
        </w:rPr>
        <w:t xml:space="preserve"/>
      </w:r>
    </w:p>
    <w:p>
      <w:pPr>
        <w:jc w:val="both"/>
        <w:bidi/>
        <w:ind w:left="720" w:right="1260"/>
      </w:pPr>
      <w:r>
        <w:rPr>
          <w:rFonts w:ascii="Times New Roman" w:hAnsi="Times New Roman" w:cs="Times New Roman"/>
          <w:sz w:val="24"/>
          <w:sz-cs w:val="24"/>
        </w:rPr>
        <w:t xml:space="preserve">"אף אם הנידון ביצע עבירה חמורה יותר, אשר יסודותיה כוללים גם את יסודות עבירת התנאי, וודאי כי הנידון ייחשב כמפר התנאי וזאת... מפני שהתנהגותו העבריינית מקיימת בראש ובראשונה, את עצם יסודות התנאי" (פלר, "הכלל א' = א' + ב' והיקף תחולתו", הפרקליט, כרך כג, ע' 427- 432).</w:t>
      </w:r>
    </w:p>
    <w:p>
      <w:pPr>
        <w:jc w:val="both"/>
        <w:bidi/>
        <w:ind w:left="360" w:right="360"/>
      </w:pPr>
      <w:r>
        <w:rPr>
          <w:rFonts w:ascii="Times New Roman" w:hAnsi="Times New Roman" w:cs="Times New Roman"/>
          <w:sz w:val="24"/>
          <w:sz-cs w:val="24"/>
        </w:rPr>
        <w:t xml:space="preserve"/>
      </w:r>
    </w:p>
    <w:p>
      <w:pPr>
        <w:jc w:val="both"/>
        <w:bidi/>
        <w:ind w:left="360" w:right="360"/>
      </w:pPr>
      <w:r>
        <w:rPr>
          <w:rFonts w:ascii="Times New Roman" w:hAnsi="Times New Roman" w:cs="Times New Roman"/>
          <w:sz w:val="24"/>
          <w:sz-cs w:val="24"/>
        </w:rPr>
        <w:t xml:space="preserve">מכאן מתבקשת אף מסקנה שנייה: ההשוואה הראויה אינה בין יסודות עבירת התנאי כפי שהיא מופיעה בספר החוקים, לבין יסודות העבירה בה הורשע הנאשם, כפי שהיא מופיעה בספר החוקים. ההשוואה הראויה היא בין יסודות עבירת התנאי כפי שהיא מופיעה בספר החוקים, לבין היסודות המתקיימים בהתנהגותו של הנאשם, כפי שהורשע עליהם, הלכה למעשה.</w:t>
      </w:r>
    </w:p>
    <w:p>
      <w:pPr>
        <w:jc w:val="both"/>
        <w:bidi/>
        <w:ind w:left="360" w:right="360"/>
      </w:pPr>
      <w:r>
        <w:rPr>
          <w:rFonts w:ascii="Times New Roman" w:hAnsi="Times New Roman" w:cs="Times New Roman"/>
          <w:sz w:val="24"/>
          <w:sz-cs w:val="24"/>
        </w:rPr>
        <w:t xml:space="preserve"/>
      </w:r>
    </w:p>
    <w:p>
      <w:pPr>
        <w:jc w:val="both"/>
        <w:bidi/>
        <w:ind w:right="360"/>
      </w:pPr>
      <w:r>
        <w:rPr>
          <w:rFonts w:ascii="Times New Roman" w:hAnsi="Times New Roman" w:cs="Times New Roman"/>
          <w:sz w:val="24"/>
          <w:sz-cs w:val="24"/>
        </w:rPr>
        <w:t xml:space="preserve">מר מרוז הפנה את תשומת לבנו ל</w:t>
      </w:r>
      <w:r>
        <w:rPr>
          <w:rFonts w:ascii="Times New Roman" w:hAnsi="Times New Roman" w:cs="Times New Roman"/>
          <w:sz w:val="24"/>
          <w:sz-cs w:val="24"/>
          <w:b/>
          <w:u w:val="single"/>
          <w:color w:val="0000FF"/>
        </w:rPr>
        <w:t xml:space="preserve"> HYPERLINK "http://www.nevo.co.il/links/psika/?link=עפ 685/78" ע"פ 685/78</w:t>
      </w:r>
      <w:r>
        <w:rPr>
          <w:rFonts w:ascii="Times New Roman" w:hAnsi="Times New Roman" w:cs="Times New Roman"/>
          <w:sz w:val="24"/>
          <w:sz-cs w:val="24"/>
        </w:rPr>
        <w:t xml:space="preserve"> (לא פורסם) בו נפסק, בדרך אגב, כי מקום שעבירת התנאי היא אחת העבירות </w:t>
      </w:r>
      <w:r>
        <w:rPr>
          <w:rFonts w:ascii="Times New Roman" w:hAnsi="Times New Roman" w:cs="Times New Roman"/>
          <w:sz w:val="24"/>
          <w:sz-cs w:val="24"/>
          <w:u w:val="single"/>
          <w:color w:val="0000FF"/>
        </w:rPr>
        <w:t xml:space="preserve"> HYPERLINK "http://www.nevo.co.il/law/131302/kgC" שבפרק כז</w:t>
      </w:r>
      <w:r>
        <w:rPr>
          <w:rFonts w:ascii="Times New Roman" w:hAnsi="Times New Roman" w:cs="Times New Roman"/>
          <w:sz w:val="24"/>
          <w:sz-cs w:val="24"/>
        </w:rPr>
        <w:t xml:space="preserve"> לפקודת החוק הפלילי, הכוללת אף תקיפה, אין התנאי מופר אם הנאשם מורשע בתקיפת שוטר, בנסיבות מחמירות, עבירה לפי </w:t>
      </w:r>
      <w:r>
        <w:rPr>
          <w:rFonts w:ascii="Times New Roman" w:hAnsi="Times New Roman" w:cs="Times New Roman"/>
          <w:sz w:val="24"/>
          <w:sz-cs w:val="24"/>
          <w:u w:val="single"/>
          <w:color w:val="0000FF"/>
        </w:rPr>
        <w:t xml:space="preserve"> HYPERLINK "http://www.nevo.co.il/law/131274/2" סעיף 2</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"http://www.nevo.co.il/law/131274" חוק לתיקון דיני העונשין (תקיפת שוטרים),</w:t>
      </w:r>
      <w:r>
        <w:rPr>
          <w:rFonts w:ascii="Times New Roman" w:hAnsi="Times New Roman" w:cs="Times New Roman"/>
          <w:sz w:val="24"/>
          <w:sz-cs w:val="24"/>
        </w:rPr>
        <w:t xml:space="preserve"> תשי"ב-1952. בית-המשפט העליון (</w:t>
      </w:r>
      <w:r>
        <w:rPr>
          <w:rFonts w:ascii="Times New Roman" w:hAnsi="Times New Roman" w:cs="Times New Roman"/>
          <w:sz w:val="24"/>
          <w:sz-cs w:val="24"/>
          <w:b/>
        </w:rPr>
        <w:t xml:space="preserve">השופטים ח' כהן, בן-פורת, ברק</w:t>
      </w:r>
      <w:r>
        <w:rPr>
          <w:rFonts w:ascii="Times New Roman" w:hAnsi="Times New Roman" w:cs="Times New Roman"/>
          <w:sz w:val="24"/>
          <w:sz-cs w:val="24"/>
        </w:rPr>
        <w:t xml:space="preserve">) קבע לאמור:</w:t>
      </w:r>
    </w:p>
    <w:p>
      <w:pPr>
        <w:jc w:val="both"/>
        <w:bidi/>
        <w:ind w:left="360" w:right="360"/>
      </w:pPr>
      <w:r>
        <w:rPr>
          <w:rFonts w:ascii="Times New Roman" w:hAnsi="Times New Roman" w:cs="Times New Roman"/>
          <w:sz w:val="24"/>
          <w:sz-cs w:val="24"/>
        </w:rPr>
        <w:t xml:space="preserve"/>
      </w:r>
    </w:p>
    <w:p>
      <w:pPr>
        <w:jc w:val="both"/>
        <w:bidi/>
        <w:ind w:left="720" w:right="1260"/>
      </w:pPr>
      <w:r>
        <w:rPr>
          <w:rFonts w:ascii="Times New Roman" w:hAnsi="Times New Roman" w:cs="Times New Roman"/>
          <w:sz w:val="24"/>
          <w:sz-cs w:val="24"/>
        </w:rPr>
        <w:t xml:space="preserve">"השופט המלומד היה בדעה כי ההרשעה בעבירה של תקיפת שוטרים כמותה לענין זה כהרשעה בתקיפה פשוטה, ולו רק מקל וחומר, אך אנחנו חוששים שבדיני נפשות מוטב ולא ישפטו לא מתוך האנלוגיה ולא מקל וחומר, כי אם יתנו לנאשם ליהנות אף מן ההבחנה הפורמלית בין חיקוק זה לבין חיקוק אחר. ואולם יהא דבר זה כאשר יהא, משבטלנו את ההרשעה בשל תקיפת שוטרים והחלפנו אותה בהרשעה של נסיון להמלט ממשמורת חוקית, לא היה עוד בעבירה זאת משום הפרת התנאי, ועל כן מקום להפעלת המאסר."</w:t>
      </w:r>
    </w:p>
    <w:p>
      <w:pPr>
        <w:jc w:val="both"/>
        <w:bidi/>
        <w:ind w:left="360" w:right="360"/>
      </w:pPr>
      <w:r>
        <w:rPr>
          <w:rFonts w:ascii="Times New Roman" w:hAnsi="Times New Roman" w:cs="Times New Roman"/>
          <w:sz w:val="24"/>
          <w:sz-cs w:val="24"/>
        </w:rPr>
        <w:t xml:space="preserve"/>
        <w:br w:type="page"/>
        <w:t xml:space="preserve"/>
      </w:r>
    </w:p>
    <w:p>
      <w:pPr>
        <w:jc w:val="both"/>
        <w:bidi/>
        <w:ind w:left="360" w:right="360"/>
      </w:pPr>
      <w:r>
        <w:rPr>
          <w:rFonts w:ascii="Times New Roman" w:hAnsi="Times New Roman" w:cs="Times New Roman"/>
          <w:sz w:val="24"/>
          <w:sz-cs w:val="24"/>
        </w:rPr>
        <w:t xml:space="preserve">כפי שעולה בבירור מהקטע המצוטט, הדברים נאמרו בו אגב אורחא, ובדרך אגב. מאז אותו פסק-דין הרהרתי בענין, וספק בעניי אם לא נפלה שגגה מלפנינו. הרשעה בתקיפת שוטר משמעה כי הנאשם תקף אדם ובכך עבר על עבירת התנאי. הפעלת התנאי אינה נעשית לא מתוך אנאלוגיה ולא מקל וחומר. אמת הדבר, בציון הפורמלי מתיחסת עבירת התנאי לעבירה הכלולה בפרק כזה לפקודת החוק הפלילי, ופרק זה אינו כולל תקיפת שוטרים. אך כבר ראינו, כי המבחן הקובע הוא המבחן הוא המבחן המהותי של גיבוש יסודות עבירת התנאי. אך יהא הדין אשר יהא לענין המקרה ההוא, אין הוא חל בעניננו. הן עבירת התנאי והן העבירה בה הורשע הנאשם כלולות בחיקוק אחד, ואת ענינו של אותו מקרה נוכל להשאיר לעת מצוא.</w:t>
      </w:r>
    </w:p>
    <w:p>
      <w:pPr>
        <w:jc w:val="both"/>
        <w:bidi/>
        <w:ind w:left="360" w:right="360"/>
      </w:pPr>
      <w:r>
        <w:rPr>
          <w:rFonts w:ascii="Times New Roman" w:hAnsi="Times New Roman" w:cs="Times New Roman"/>
          <w:sz w:val="24"/>
          <w:sz-cs w:val="24"/>
        </w:rPr>
        <w:t xml:space="preserve"/>
      </w:r>
    </w:p>
    <w:p>
      <w:pPr>
        <w:jc w:val="both"/>
        <w:bidi/>
        <w:ind w:right="360"/>
      </w:pPr>
      <w:r>
        <w:rPr>
          <w:rFonts w:ascii="Times New Roman" w:hAnsi="Times New Roman" w:cs="Times New Roman"/>
          <w:sz w:val="24"/>
          <w:sz-cs w:val="24"/>
        </w:rPr>
        <w:t xml:space="preserve">ומהכלל אל הפרט: עבירות התנאי בענין שלפנינו הן תקיפה ותקיפה הגורמת חבלה ממשית. היסודות של עבירות אלה הם נגיעה בגופו של אחד ללא הסכמתו מתוך מודעות לפעולה זאת (תקיפה), ונגיעה בגופו של אדם ללא הסכמתו, כשנגיעה זו גורמת חבלה של ממש, כשלנאשם מודעות לכך. הלכה למעשה הורשעו המערערים בחבלה חמורה (בנסיבות מחמירות). משמעותה של הרשעה זו, בנסיבות הענין שלפנינו, היא כי הם בוודאי נגעו בגופו של אחד (המתלונן) ללא הסכמתו, מתוך מודעות לפעולה זו, ובכך קיימו את היסודות של עבירת התקיפה, והתוצאה של חבלה חמורה כוללת בחובה, הן בצד העובדתי והן בצד הנפשי את התוצאות של חבלה של ממש. נמצא, כי בהתנהגות עליה הורשעו המערערים, הלכה למעשה, הם קיימו את כל היסודות לגיבושה של עבירת התנאי, ועל כן בדין קבע בית-משפט קמא כי הוא מוסמך להפעיל את התנאי. לא שמענו כל טענה של ממש כנגד השימוש בשיקול הדעת בענין שלפנינו.</w:t>
      </w:r>
    </w:p>
    <w:p>
      <w:pPr>
        <w:jc w:val="both"/>
        <w:bidi/>
        <w:ind w:left="360" w:right="360"/>
      </w:pPr>
      <w:r>
        <w:rPr>
          <w:rFonts w:ascii="Times New Roman" w:hAnsi="Times New Roman" w:cs="Times New Roman"/>
          <w:sz w:val="2"/>
          <w:sz-cs w:val="2"/>
          <w:color w:val="FFFFFF"/>
        </w:rPr>
        <w:t xml:space="preserve">5129371</w:t>
      </w:r>
    </w:p>
    <w:p>
      <w:pPr>
        <w:jc w:val="both"/>
        <w:bidi/>
        <w:ind w:right="360"/>
      </w:pPr>
      <w:r>
        <w:rPr>
          <w:rFonts w:ascii="Times New Roman" w:hAnsi="Times New Roman" w:cs="Times New Roman"/>
          <w:sz w:val="2"/>
          <w:sz-cs w:val="2"/>
          <w:color w:val="FFFFFF"/>
        </w:rPr>
        <w:t xml:space="preserve">54678313</w:t>
      </w:r>
      <w:r>
        <w:rPr>
          <w:rFonts w:ascii="Times New Roman" w:hAnsi="Times New Roman" w:cs="Times New Roman"/>
          <w:sz w:val="24"/>
          <w:sz-cs w:val="24"/>
        </w:rPr>
        <w:t xml:space="preserve">טענתו האחרונה של מר מרוז ענינה העונש שהוטל על המערערים בגין הרשעתם במשפט שלפנינו. לטענתו העונש הוא חמור מדי, במידה המצדיקה את התערבותנו. אין בידינו לקבל טענה זו. המערערים פעלו בברוטליות ואך כפשע היה בין המתלונן לבין המוות. תרבות אגרוף זו מן הדין לשרשה. מי שחושב כי יפלס לו דרך בכוחה אגרוף, צריך לדעת כי הדרך היחידה שהוא פותח לפניו היא דרכו לבית הסוהר. בענין שלפנינו יש לציין אף את שני הענינים הבאים שיש בהם לזרוע אור חמור על התנהגות המערערים: ראשית, המערערים פגעו במתלונן בשל היותו שוטר לשעבר אשר טיפל בענינו של אחד המערערים. התנהגות זו חמורה היא. על החברה להגן על שוטריה כשהם בתפקיד, ויד החוק צריכה להגן עליהם גם משסיימו את תפקידם, וגורמים עברייניים מבקשים להתנכל להם בשל תפקידם בעבר; שנית, המערערים השאירו את המתלונן מתבוסס בדמו, ולא עשו דבר כדי להושיט לו עזרה, אם בעצמם ואם מתוך שיקראו לעזרתם של אחרים. בכך נמנעו מלעשות מעשה פשוט ואנושי שכל בן תרבות חייב בו. בנסיבות אלה כולן, נראה לנו כי העונש שהוטל על המערערים אינו חמור כלל ועיקר ואנו דוחים את הערעור על גזר-הדין.</w:t>
      </w:r>
    </w:p>
    <w:p>
      <w:pPr>
        <w:jc w:val="both"/>
        <w:bidi/>
      </w:pP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התוצאה היא שהן הערעור על ההרשעה והן הערעור על גזר-הדין נדחים.</w:t>
      </w:r>
    </w:p>
    <w:p>
      <w:pPr>
        <w:jc w:val="both"/>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ניתן היום, ב בתמוז תש"ם (16.6.1980). </w:t>
      </w:r>
      <w:r>
        <w:rPr>
          <w:rFonts w:ascii="Times" w:hAnsi="Times" w:cs="Times"/>
          <w:sz w:val="22"/>
          <w:sz-cs w:val="22"/>
          <w:color w:val="000000"/>
        </w:rPr>
        <w:t xml:space="preserve"/>
      </w:r>
    </w:p>
    <w:p>
      <w:pPr>
        <w:jc w:val="right"/>
        <w:bidi/>
      </w:pPr>
      <w:r>
        <w:rPr>
          <w:rFonts w:ascii="Times" w:hAnsi="Times" w:cs="Times"/>
          <w:sz w:val="22"/>
          <w:sz-cs w:val="22"/>
          <w:color w:val="000000"/>
        </w:rPr>
        <w:t xml:space="preserve">אלון 54678313-49/80</w:t>
      </w:r>
    </w:p>
    <w:p>
      <w:pPr>
        <w:jc w:val="right"/>
        <w:bidi/>
      </w:pPr>
      <w:r>
        <w:rPr>
          <w:rFonts w:ascii="Times New Roman" w:hAnsi="Times New Roman" w:cs="Times New Roman"/>
          <w:sz w:val="24"/>
          <w:sz-cs w:val="24"/>
          <w:color w:val="000000"/>
        </w:rPr>
        <w:t xml:space="preserve">נוסח מסמך זה כפוף לשינויי ניסוח ועריכה</w:t>
      </w: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4"/>
          <w:sz-cs w:val="24"/>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49/80 </w:t>
        <w:tab/>
        <w:t xml:space="preserve"> עמוס מסילתי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49/80 </w:t>
        <w:tab/>
        <w:t xml:space="preserve"> עמוס מסילתי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811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808</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h1</cp:lastModifiedBy>
  <dcterms:created>2025-02-25T12:34:00Z</dcterms:created>
  <dcterms:modified>2025-02-25T12:34:00Z</dcterms:modified>
</cp:coreProperties>
</file>

<file path=docProps/meta.xml><?xml version="1.0" encoding="utf-8"?>
<meta xmlns="http://schemas.apple.com/cocoa/2006/metadata">
  <generator>CocoaOOXMLWriter/2575.7</generator>
</meta>
</file>