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sz w:val="22"/>
                <w:sz w:val="22"/>
                <w:szCs w:val="30"/>
                <w:rtl w:val="true"/>
              </w:rPr>
              <w:t>בבית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המשפט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העליון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בשבתו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כבית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משפט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לערעורים</w:t>
            </w:r>
            <w:r>
              <w:rPr>
                <w:rFonts w:cs="Times New Roman"/>
                <w:sz w:val="22"/>
                <w:sz w:val="22"/>
                <w:szCs w:val="30"/>
                <w:rtl w:val="true"/>
              </w:rPr>
              <w:t xml:space="preserve"> </w:t>
            </w:r>
            <w:r>
              <w:rPr>
                <w:sz w:val="22"/>
                <w:sz w:val="22"/>
                <w:szCs w:val="30"/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/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4956/13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spacing w:lineRule="auto" w:line="480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מלצר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סולברג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וליד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עיסאוי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בנצרת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27.5.2013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16890-07-12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כתילי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סג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נ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באייר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bookmarkEnd w:id="5"/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12.5.2014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עדנאן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עלאדין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6" w:name="FirstLawyer"/>
            <w:bookmarkEnd w:id="6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אופיר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טישלר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auto" w:line="36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DocumentHead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Cs w:val="false"/>
          <w:spacing w:val="0"/>
          <w:sz w:val="24"/>
          <w:szCs w:val="24"/>
          <w:u w:val="none"/>
        </w:rPr>
      </w:pPr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</w:r>
      <w:bookmarkStart w:id="7" w:name="LawTable"/>
      <w:bookmarkStart w:id="8" w:name="secretary"/>
      <w:bookmarkStart w:id="9" w:name="BeginProtocol"/>
      <w:bookmarkStart w:id="10" w:name="LawTable"/>
      <w:bookmarkStart w:id="11" w:name="secretary"/>
      <w:bookmarkStart w:id="12" w:name="BeginProtocol"/>
      <w:bookmarkEnd w:id="10"/>
      <w:bookmarkEnd w:id="11"/>
      <w:bookmarkEnd w:id="12"/>
    </w:p>
    <w:p>
      <w:pPr>
        <w:pStyle w:val="DocumentHead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Cs w:val="false"/>
          <w:spacing w:val="0"/>
          <w:sz w:val="24"/>
          <w:szCs w:val="24"/>
          <w:u w:val="none"/>
        </w:rPr>
      </w:pPr>
      <w:r>
        <w:rPr>
          <w:rFonts w:ascii="FrankRuehl" w:hAnsi="FrankRuehl" w:cs="FrankRuehl"/>
          <w:bCs w:val="false"/>
          <w:spacing w:val="0"/>
          <w:sz w:val="24"/>
          <w:sz w:val="24"/>
          <w:szCs w:val="24"/>
          <w:u w:val="none"/>
          <w:rtl w:val="true"/>
        </w:rPr>
        <w:t>חקיקה שאוזכרה</w:t>
      </w:r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  <w:t xml:space="preserve">: </w:t>
      </w:r>
    </w:p>
    <w:p>
      <w:pPr>
        <w:pStyle w:val="DocumentHead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Cs w:val="false"/>
          <w:spacing w:val="0"/>
          <w:sz w:val="24"/>
          <w:szCs w:val="24"/>
          <w:u w:val="none"/>
        </w:rPr>
      </w:pPr>
      <w:hyperlink r:id="rId3">
        <w:r>
          <w:rPr>
            <w:rStyle w:val="Hyperlink"/>
            <w:rFonts w:ascii="FrankRuehl" w:hAnsi="FrankRuehl" w:cs="FrankRuehl"/>
            <w:bCs w:val="false"/>
            <w:color w:val="0000FF"/>
            <w:spacing w:val="0"/>
            <w:sz w:val="24"/>
            <w:sz w:val="24"/>
            <w:szCs w:val="24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bCs w:val="false"/>
            <w:color w:val="0000FF"/>
            <w:spacing w:val="0"/>
            <w:sz w:val="24"/>
            <w:sz w:val="24"/>
            <w:szCs w:val="24"/>
            <w:rtl w:val="true"/>
          </w:rPr>
          <w:t>תשל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"</w:t>
        </w:r>
        <w:r>
          <w:rPr>
            <w:rStyle w:val="Hyperlink"/>
            <w:rFonts w:ascii="FrankRuehl" w:hAnsi="FrankRuehl" w:cs="FrankRuehl"/>
            <w:bCs w:val="false"/>
            <w:color w:val="0000FF"/>
            <w:spacing w:val="0"/>
            <w:sz w:val="24"/>
            <w:sz w:val="24"/>
            <w:szCs w:val="24"/>
            <w:rtl w:val="true"/>
          </w:rPr>
          <w:t>ז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-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</w:rPr>
          <w:t>1977</w:t>
        </w:r>
      </w:hyperlink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  <w:t xml:space="preserve">: </w:t>
      </w:r>
      <w:r>
        <w:rPr>
          <w:rFonts w:ascii="FrankRuehl" w:hAnsi="FrankRuehl" w:cs="FrankRuehl"/>
          <w:bCs w:val="false"/>
          <w:spacing w:val="0"/>
          <w:sz w:val="24"/>
          <w:sz w:val="24"/>
          <w:szCs w:val="24"/>
          <w:u w:val="none"/>
          <w:rtl w:val="true"/>
        </w:rPr>
        <w:t>סע</w:t>
      </w:r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</w:rPr>
          <w:t>25</w:t>
        </w:r>
      </w:hyperlink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</w:rPr>
          <w:t>144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bCs w:val="false"/>
            <w:color w:val="0000FF"/>
            <w:spacing w:val="0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</w:rPr>
          <w:t>144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bCs w:val="false"/>
            <w:color w:val="0000FF"/>
            <w:spacing w:val="0"/>
            <w:sz w:val="24"/>
            <w:sz w:val="24"/>
            <w:szCs w:val="24"/>
            <w:rtl w:val="true"/>
          </w:rPr>
          <w:t>ב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</w:rPr>
          <w:t>144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bCs w:val="false"/>
            <w:color w:val="0000FF"/>
            <w:spacing w:val="0"/>
            <w:sz w:val="24"/>
            <w:sz w:val="24"/>
            <w:szCs w:val="24"/>
            <w:rtl w:val="true"/>
          </w:rPr>
          <w:t>ב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</w:rPr>
          <w:t>2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)</w:t>
        </w:r>
      </w:hyperlink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</w:rPr>
          <w:t>499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(</w:t>
        </w:r>
        <w:r>
          <w:rPr>
            <w:rStyle w:val="Hyperlink"/>
            <w:rFonts w:ascii="FrankRuehl" w:hAnsi="FrankRuehl" w:cs="FrankRuehl"/>
            <w:bCs w:val="false"/>
            <w:color w:val="0000FF"/>
            <w:spacing w:val="0"/>
            <w:sz w:val="24"/>
            <w:sz w:val="24"/>
            <w:szCs w:val="24"/>
            <w:rtl w:val="true"/>
          </w:rPr>
          <w:t>א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)(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</w:rPr>
          <w:t>1</w:t>
        </w:r>
        <w:r>
          <w:rPr>
            <w:rStyle w:val="Hyperlink"/>
            <w:rFonts w:cs="FrankRuehl" w:ascii="FrankRuehl" w:hAnsi="FrankRuehl"/>
            <w:bCs w:val="false"/>
            <w:color w:val="0000FF"/>
            <w:spacing w:val="0"/>
            <w:sz w:val="24"/>
            <w:szCs w:val="24"/>
            <w:rtl w:val="true"/>
          </w:rPr>
          <w:t>)</w:t>
        </w:r>
      </w:hyperlink>
    </w:p>
    <w:p>
      <w:pPr>
        <w:pStyle w:val="DocumentHead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bCs w:val="false"/>
          <w:spacing w:val="0"/>
          <w:sz w:val="24"/>
          <w:szCs w:val="24"/>
          <w:u w:val="none"/>
        </w:rPr>
      </w:pPr>
      <w:r>
        <w:rPr>
          <w:rFonts w:cs="FrankRuehl" w:ascii="FrankRuehl" w:hAnsi="FrankRuehl"/>
          <w:bCs w:val="false"/>
          <w:spacing w:val="0"/>
          <w:sz w:val="24"/>
          <w:szCs w:val="24"/>
          <w:u w:val="none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13" w:name="ABSTRACT_START"/>
      <w:bookmarkEnd w:id="13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הרשעתו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להידחות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פסק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סלימאן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מפנה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מסייע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ועיקר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ההולם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עצמו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דיון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במסגרתו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24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Cs w:val="26"/>
        </w:rPr>
        <w:t>10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וקנס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בסך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5,000</w:t>
      </w:r>
      <w:r>
        <w:rPr>
          <w:rFonts w:cs="FrankRuehl"/>
          <w:sz w:val="24"/>
          <w:szCs w:val="26"/>
          <w:rtl w:val="true"/>
        </w:rPr>
        <w:t xml:space="preserve"> ₪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הרשעתו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בקובעו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תמך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טענותיו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בפסק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סלימאן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לטענתו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נגזרו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6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עבודות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שירות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ונדחה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קולת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שפסק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מסייע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ועיקר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לעניין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ההולם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סלימאן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עמד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הנהוגה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השונות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ומצא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ההולם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שבניגוד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כאן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רכישה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החזקה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ונשיאת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ובנוסף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ביצע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בשני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נפרדים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12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Cs w:val="26"/>
        </w:rPr>
        <w:t>36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זהו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מכאן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שלמצער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ניתן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לומר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שמתחם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מחמיר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לעניין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סלימאן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התערב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בקולת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מפני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שמצא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לנוכח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תסקיר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המבחן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סיכויי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השיקום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טובים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ועדיפים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מחוץ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הסוהר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שבענייננו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תסקיר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המבחן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קובע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להפך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השתקם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וממשיך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להשתקם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בצורה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הערכה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איזן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נכונה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השיקולים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השונים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ואין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שגזר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DocumentHead"/>
        <w:ind w:end="0"/>
        <w:jc w:val="center"/>
        <w:rPr>
          <w:rFonts w:cs="FrankRuehl"/>
          <w:bCs w:val="false"/>
          <w:sz w:val="24"/>
          <w:szCs w:val="26"/>
          <w:u w:val="none"/>
        </w:rPr>
      </w:pPr>
      <w:r>
        <w:rPr>
          <w:rFonts w:cs="FrankRuehl"/>
          <w:bCs w:val="false"/>
          <w:sz w:val="24"/>
          <w:szCs w:val="26"/>
          <w:u w:val="none"/>
          <w:rtl w:val="true"/>
        </w:rPr>
      </w:r>
      <w:bookmarkStart w:id="14" w:name="ABSTRACT_END"/>
      <w:bookmarkStart w:id="15" w:name="LawTable_End"/>
      <w:bookmarkStart w:id="16" w:name="ABSTRACT_END"/>
      <w:bookmarkStart w:id="17" w:name="LawTable_End"/>
      <w:bookmarkEnd w:id="16"/>
      <w:bookmarkEnd w:id="17"/>
    </w:p>
    <w:p>
      <w:pPr>
        <w:pStyle w:val="BODYVERDICT"/>
        <w:ind w:end="0"/>
        <w:jc w:val="center"/>
        <w:rPr>
          <w:sz w:val="32"/>
          <w:szCs w:val="32"/>
        </w:rPr>
      </w:pPr>
      <w:bookmarkStart w:id="18" w:name="PsakDin"/>
      <w:bookmarkEnd w:id="18"/>
      <w:r>
        <w:rPr>
          <w:sz w:val="32"/>
          <w:sz w:val="32"/>
          <w:szCs w:val="32"/>
          <w:rtl w:val="true"/>
        </w:rPr>
        <w:t>פסק</w:t>
      </w:r>
      <w:r>
        <w:rPr>
          <w:sz w:val="32"/>
          <w:szCs w:val="32"/>
          <w:rtl w:val="true"/>
        </w:rPr>
        <w:t>-</w:t>
      </w:r>
      <w:r>
        <w:rPr>
          <w:sz w:val="32"/>
          <w:sz w:val="32"/>
          <w:szCs w:val="32"/>
          <w:rtl w:val="true"/>
        </w:rPr>
        <w:t>דין</w:t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9" w:name="PsakDin"/>
      <w:bookmarkStart w:id="20" w:name="Writer_Name"/>
      <w:bookmarkStart w:id="21" w:name="PsakDin"/>
      <w:bookmarkStart w:id="22" w:name="Writer_Name"/>
      <w:bookmarkEnd w:id="21"/>
      <w:bookmarkEnd w:id="22"/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ס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ג</w:t>
      </w:r>
      <w:r>
        <w:rPr>
          <w:rFonts w:cs="Miriam"/>
          <w:sz w:val="24"/>
          <w:szCs w:val="24"/>
          <w:u w:val="single"/>
          <w:rtl w:val="true"/>
        </w:rPr>
        <w:t>'</w:t>
      </w:r>
      <w:r>
        <w:rPr>
          <w:rFonts w:cs="Miriam"/>
          <w:sz w:val="24"/>
          <w:sz w:val="24"/>
          <w:szCs w:val="24"/>
          <w:u w:val="single"/>
          <w:rtl w:val="true"/>
        </w:rPr>
        <w:t>ובראן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23" w:name="Start_Write"/>
      <w:bookmarkStart w:id="24" w:name="Start_Write"/>
      <w:bookmarkEnd w:id="24"/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  <w:tab/>
      </w:r>
      <w:r>
        <w:rPr>
          <w:rtl w:val="true"/>
        </w:rPr>
        <w:t xml:space="preserve">ערעור על גזר דינו של בית המשפט המחוזי בנצרת </w:t>
      </w:r>
      <w:r>
        <w:rPr>
          <w:rtl w:val="true"/>
        </w:rPr>
        <w:t>(</w:t>
      </w:r>
      <w:r>
        <w:rPr>
          <w:rtl w:val="true"/>
        </w:rPr>
        <w:t xml:space="preserve">סגן הנשיא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ת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כתילי</w:t>
      </w:r>
      <w:r>
        <w:rPr>
          <w:rFonts w:cs="Century" w:ascii="Century" w:hAnsi="Century"/>
          <w:sz w:val="22"/>
          <w:rtl w:val="true"/>
        </w:rPr>
        <w:t xml:space="preserve">) </w:t>
      </w:r>
      <w:r>
        <w:rPr>
          <w:rFonts w:ascii="Century" w:hAnsi="Century" w:cs="Century"/>
          <w:sz w:val="22"/>
          <w:sz w:val="22"/>
          <w:rtl w:val="true"/>
        </w:rPr>
        <w:t>ב</w:t>
      </w:r>
      <w:hyperlink r:id="rId9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ת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16890-07-12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ascii="Century" w:hAnsi="Century" w:cs="Century"/>
          <w:sz w:val="22"/>
          <w:sz w:val="22"/>
          <w:rtl w:val="true"/>
        </w:rPr>
        <w:t xml:space="preserve">מיום </w:t>
      </w:r>
      <w:r>
        <w:rPr>
          <w:rFonts w:cs="Century" w:ascii="Century" w:hAnsi="Century"/>
          <w:sz w:val="22"/>
        </w:rPr>
        <w:t>27.5.2013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במסגרתו הושת על המערער עונש של </w:t>
      </w:r>
      <w:r>
        <w:rPr>
          <w:rFonts w:cs="Century" w:ascii="Century" w:hAnsi="Century"/>
          <w:sz w:val="22"/>
        </w:rPr>
        <w:t>24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חודשי מאסר בפועל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cs="Century" w:ascii="Century" w:hAnsi="Century"/>
          <w:sz w:val="22"/>
        </w:rPr>
        <w:t>10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חודשי מאסר על תנאי וקנס בסך </w:t>
      </w:r>
      <w:r>
        <w:rPr>
          <w:rFonts w:cs="Century" w:ascii="Century" w:hAnsi="Century"/>
          <w:sz w:val="22"/>
        </w:rPr>
        <w:t>5,000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ש</w:t>
      </w:r>
      <w:r>
        <w:rPr>
          <w:rFonts w:cs="Century" w:ascii="Century" w:hAnsi="Century"/>
          <w:sz w:val="22"/>
          <w:rtl w:val="true"/>
        </w:rPr>
        <w:t>"</w:t>
      </w:r>
      <w:r>
        <w:rPr>
          <w:rFonts w:ascii="Century" w:hAnsi="Century" w:cs="Century"/>
          <w:sz w:val="22"/>
          <w:sz w:val="22"/>
          <w:rtl w:val="true"/>
        </w:rPr>
        <w:t>ח</w:t>
      </w:r>
      <w:r>
        <w:rPr>
          <w:rFonts w:cs="Century" w:ascii="Century" w:hAnsi="Century"/>
          <w:sz w:val="22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spacing w:lineRule="auto" w:line="480"/>
        <w:ind w:hanging="0" w:start="0" w:end="0"/>
        <w:jc w:val="both"/>
        <w:rPr>
          <w:rFonts w:ascii="Century" w:hAnsi="Century" w:cs="Century"/>
          <w:sz w:val="22"/>
        </w:rPr>
      </w:pPr>
      <w:r>
        <w:rPr>
          <w:rFonts w:cs="Century" w:ascii="Century" w:hAnsi="Century"/>
          <w:sz w:val="22"/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כתב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האישום</w:t>
      </w:r>
    </w:p>
    <w:p>
      <w:pPr>
        <w:pStyle w:val="Ruller42"/>
        <w:numPr>
          <w:ilvl w:val="0"/>
          <w:numId w:val="0"/>
        </w:numPr>
        <w:spacing w:lineRule="auto" w:line="240"/>
        <w:ind w:hanging="0" w:start="0" w:end="0"/>
        <w:jc w:val="both"/>
        <w:rPr>
          <w:rFonts w:ascii="Century" w:hAnsi="Century" w:cs="Century"/>
          <w:b/>
          <w:spacing w:val="0"/>
          <w:sz w:val="22"/>
          <w:szCs w:val="24"/>
        </w:rPr>
      </w:pPr>
      <w:r>
        <w:rPr>
          <w:rFonts w:cs="Century" w:ascii="Century" w:hAnsi="Century"/>
          <w:b/>
          <w:spacing w:val="0"/>
          <w:sz w:val="22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Fonts w:ascii="Century" w:hAnsi="Century" w:cs="Century"/>
          <w:sz w:val="22"/>
          <w:sz w:val="22"/>
          <w:rtl w:val="true"/>
        </w:rPr>
        <w:t xml:space="preserve">כתב האישום מיום </w:t>
      </w:r>
      <w:r>
        <w:rPr>
          <w:rFonts w:cs="Century" w:ascii="Century" w:hAnsi="Century"/>
          <w:sz w:val="22"/>
        </w:rPr>
        <w:t>9.7.2012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מתאר שני מקרים בהם רכש המערער כדורי תחמושת לאקדח בקוטר </w:t>
      </w:r>
      <w:r>
        <w:rPr>
          <w:rFonts w:cs="Century" w:ascii="Century" w:hAnsi="Century"/>
          <w:sz w:val="22"/>
        </w:rPr>
        <w:t>9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מ</w:t>
      </w:r>
      <w:r>
        <w:rPr>
          <w:rFonts w:cs="Century" w:ascii="Century" w:hAnsi="Century"/>
          <w:sz w:val="22"/>
          <w:rtl w:val="true"/>
        </w:rPr>
        <w:t>"</w:t>
      </w:r>
      <w:r>
        <w:rPr>
          <w:rFonts w:ascii="Century" w:hAnsi="Century" w:cs="Century"/>
          <w:sz w:val="22"/>
          <w:sz w:val="22"/>
          <w:rtl w:val="true"/>
        </w:rPr>
        <w:t xml:space="preserve">מ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ascii="Century" w:hAnsi="Century" w:cs="Century"/>
          <w:sz w:val="22"/>
          <w:sz w:val="22"/>
          <w:rtl w:val="true"/>
        </w:rPr>
        <w:t>להלן</w:t>
      </w:r>
      <w:r>
        <w:rPr>
          <w:rFonts w:cs="Century" w:ascii="Century" w:hAnsi="Century"/>
          <w:sz w:val="22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הכדורים</w:t>
      </w:r>
      <w:r>
        <w:rPr>
          <w:rFonts w:cs="Century" w:ascii="Century" w:hAnsi="Century"/>
          <w:sz w:val="22"/>
          <w:rtl w:val="true"/>
        </w:rPr>
        <w:t xml:space="preserve">) </w:t>
      </w:r>
      <w:r>
        <w:rPr>
          <w:rFonts w:ascii="Century" w:hAnsi="Century" w:cs="Century"/>
          <w:sz w:val="22"/>
          <w:sz w:val="22"/>
          <w:rtl w:val="true"/>
        </w:rPr>
        <w:t>וביקש למכרם ברווח</w:t>
      </w:r>
      <w:r>
        <w:rPr>
          <w:rFonts w:cs="Century" w:ascii="Century" w:hAnsi="Century"/>
          <w:sz w:val="22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במקרה הראשון בחודש מאי </w:t>
      </w:r>
      <w:r>
        <w:rPr/>
        <w:t>2012</w:t>
      </w:r>
      <w:r>
        <w:rPr>
          <w:rtl w:val="true"/>
        </w:rPr>
        <w:t xml:space="preserve"> </w:t>
      </w:r>
      <w:r>
        <w:rPr>
          <w:rtl w:val="true"/>
        </w:rPr>
        <w:t xml:space="preserve">רכש </w:t>
      </w: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>כדורים ובהמשך מכר אותם ברווח לאחר</w:t>
      </w:r>
      <w:r>
        <w:rPr>
          <w:rtl w:val="true"/>
        </w:rPr>
        <w:t xml:space="preserve">. </w:t>
      </w:r>
      <w:r>
        <w:rPr>
          <w:rtl w:val="true"/>
        </w:rPr>
        <w:t xml:space="preserve">כשבועיים לאחר מכן שב ורכש המערער עוד 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. </w:t>
      </w:r>
      <w:r>
        <w:rPr>
          <w:rtl w:val="true"/>
        </w:rPr>
        <w:t>במטרה למכור את הכדורים</w:t>
      </w:r>
      <w:r>
        <w:rPr>
          <w:rtl w:val="true"/>
        </w:rPr>
        <w:t xml:space="preserve">, </w:t>
      </w:r>
      <w:r>
        <w:rPr>
          <w:rtl w:val="true"/>
        </w:rPr>
        <w:t>קבע המערער מפגש עם הקונה אך כח משטרתי שהגיע למקום עצר אותו ובכך סוכלה העסקה</w:t>
      </w:r>
      <w:r>
        <w:rPr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 xml:space="preserve">בגין מעשים אלה הואשם המערער בעבירות של סחר בנשק לפי </w:t>
      </w:r>
      <w:hyperlink r:id="rId10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144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ב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2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)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</w:t>
      </w:r>
      <w:hyperlink r:id="rId11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חוק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העונשין</w:t>
        </w:r>
      </w:hyperlink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התשל</w:t>
      </w:r>
      <w:r>
        <w:rPr>
          <w:rFonts w:cs="Century" w:ascii="Century" w:hAnsi="Century"/>
          <w:sz w:val="22"/>
          <w:rtl w:val="true"/>
        </w:rPr>
        <w:t>"</w:t>
      </w:r>
      <w:r>
        <w:rPr>
          <w:rFonts w:ascii="Century" w:hAnsi="Century" w:cs="Century"/>
          <w:sz w:val="22"/>
          <w:sz w:val="22"/>
          <w:rtl w:val="true"/>
        </w:rPr>
        <w:t>ז</w:t>
      </w:r>
      <w:r>
        <w:rPr>
          <w:rFonts w:cs="Century" w:ascii="Century" w:hAnsi="Century"/>
          <w:sz w:val="22"/>
          <w:rtl w:val="true"/>
        </w:rPr>
        <w:t>-</w:t>
      </w:r>
      <w:r>
        <w:rPr>
          <w:rFonts w:cs="Century" w:ascii="Century" w:hAnsi="Century"/>
          <w:sz w:val="22"/>
        </w:rPr>
        <w:t>1977</w:t>
      </w:r>
      <w:r>
        <w:rPr>
          <w:rFonts w:cs="Century" w:ascii="Century" w:hAnsi="Century"/>
          <w:sz w:val="22"/>
          <w:rtl w:val="true"/>
        </w:rPr>
        <w:t xml:space="preserve"> (</w:t>
      </w:r>
      <w:r>
        <w:rPr>
          <w:rFonts w:ascii="Century" w:hAnsi="Century" w:cs="Century"/>
          <w:sz w:val="22"/>
          <w:sz w:val="22"/>
          <w:rtl w:val="true"/>
        </w:rPr>
        <w:t>להלן</w:t>
      </w:r>
      <w:r>
        <w:rPr>
          <w:rFonts w:cs="Century" w:ascii="Century" w:hAnsi="Century"/>
          <w:sz w:val="22"/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חוק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העונשין</w:t>
      </w:r>
      <w:r>
        <w:rPr>
          <w:rFonts w:cs="Century" w:ascii="Century" w:hAnsi="Century"/>
          <w:sz w:val="22"/>
          <w:rtl w:val="true"/>
        </w:rPr>
        <w:t xml:space="preserve">); </w:t>
      </w:r>
      <w:r>
        <w:rPr>
          <w:rFonts w:ascii="Century" w:hAnsi="Century" w:cs="Century"/>
          <w:sz w:val="22"/>
          <w:sz w:val="22"/>
          <w:rtl w:val="true"/>
        </w:rPr>
        <w:t>ניסיון לסחר בנשק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לפי </w:t>
      </w:r>
      <w:hyperlink r:id="rId12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144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ב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2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)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בצירוף </w:t>
      </w:r>
      <w:hyperlink r:id="rId13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25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לחוק העונשין</w:t>
      </w:r>
      <w:r>
        <w:rPr>
          <w:rFonts w:cs="Century" w:ascii="Century" w:hAnsi="Century"/>
          <w:sz w:val="22"/>
          <w:rtl w:val="true"/>
        </w:rPr>
        <w:t xml:space="preserve">; </w:t>
      </w:r>
      <w:r>
        <w:rPr>
          <w:rFonts w:ascii="Century" w:hAnsi="Century" w:cs="Century"/>
          <w:sz w:val="22"/>
          <w:sz w:val="22"/>
          <w:rtl w:val="true"/>
        </w:rPr>
        <w:t xml:space="preserve">רכישה והחזקה בנשק לפי </w:t>
      </w:r>
      <w:hyperlink r:id="rId14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144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א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)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לחוק העונשין</w:t>
      </w:r>
      <w:r>
        <w:rPr>
          <w:rFonts w:cs="Century" w:ascii="Century" w:hAnsi="Century"/>
          <w:sz w:val="22"/>
          <w:rtl w:val="true"/>
        </w:rPr>
        <w:t xml:space="preserve">; </w:t>
      </w:r>
      <w:r>
        <w:rPr>
          <w:rFonts w:ascii="Century" w:hAnsi="Century" w:cs="Century"/>
          <w:sz w:val="22"/>
          <w:sz w:val="22"/>
          <w:rtl w:val="true"/>
        </w:rPr>
        <w:t>נשיאה של נשק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לפי </w:t>
      </w:r>
      <w:hyperlink r:id="rId15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144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ב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)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לחוק העונשין</w:t>
      </w:r>
      <w:r>
        <w:rPr>
          <w:rFonts w:cs="Century" w:ascii="Century" w:hAnsi="Century"/>
          <w:sz w:val="22"/>
          <w:rtl w:val="true"/>
        </w:rPr>
        <w:t xml:space="preserve">; </w:t>
      </w:r>
      <w:r>
        <w:rPr>
          <w:rFonts w:ascii="Century" w:hAnsi="Century" w:cs="Century"/>
          <w:sz w:val="22"/>
          <w:sz w:val="22"/>
          <w:rtl w:val="true"/>
        </w:rPr>
        <w:t>וקשירת קשר לביצוע פשע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לפי </w:t>
      </w:r>
      <w:hyperlink r:id="rId16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סעיף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499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(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א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)(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1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)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לחוק העונשין</w:t>
      </w:r>
      <w:r>
        <w:rPr>
          <w:rFonts w:cs="Century" w:ascii="Century" w:hAnsi="Century"/>
          <w:sz w:val="22"/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בית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המשפט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המחוזי</w:t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ביום </w:t>
      </w:r>
      <w:r>
        <w:rPr/>
        <w:t>1.8.2012</w:t>
      </w:r>
      <w:r>
        <w:rPr>
          <w:rtl w:val="true"/>
        </w:rPr>
        <w:t xml:space="preserve"> </w:t>
      </w:r>
      <w:r>
        <w:rPr>
          <w:rtl w:val="true"/>
        </w:rPr>
        <w:t>המערער הודה במיוחס לו במסגרת המקרה השני למעט עבירת הסחר בנשק וכפר באישומים שהתייחסו למקרה הראשון</w:t>
      </w:r>
      <w:r>
        <w:rPr>
          <w:rtl w:val="true"/>
        </w:rPr>
        <w:t xml:space="preserve">. </w:t>
      </w:r>
      <w:r>
        <w:rPr>
          <w:rtl w:val="true"/>
        </w:rPr>
        <w:t xml:space="preserve">ביום </w:t>
      </w:r>
      <w:r>
        <w:rPr/>
        <w:t>30.1.2013</w:t>
      </w:r>
      <w:r>
        <w:rPr>
          <w:rtl w:val="true"/>
        </w:rPr>
        <w:t xml:space="preserve"> </w:t>
      </w:r>
      <w:r>
        <w:rPr>
          <w:rtl w:val="true"/>
        </w:rPr>
        <w:t>הרשיע בית המשפט המחוזי את המערער בכל העבירות שיוחסו לו</w:t>
      </w:r>
      <w:r>
        <w:rPr>
          <w:rtl w:val="true"/>
        </w:rPr>
        <w:t xml:space="preserve">. </w:t>
      </w:r>
      <w:r>
        <w:rPr>
          <w:rtl w:val="true"/>
        </w:rPr>
        <w:t xml:space="preserve">הרשעת המערער ביחס לאישומים במקרה הראשון ועבירת הסחר בנשק התבססה על הודאתו במשטרה מיום </w:t>
      </w:r>
      <w:r>
        <w:rPr/>
        <w:t>3.7.2012</w:t>
      </w:r>
      <w:r>
        <w:rPr>
          <w:rtl w:val="true"/>
        </w:rPr>
        <w:t xml:space="preserve"> </w:t>
      </w:r>
      <w:r>
        <w:rPr>
          <w:rtl w:val="true"/>
        </w:rPr>
        <w:t>בדבר המעשים שמיוחסים לו</w:t>
      </w:r>
      <w:r>
        <w:rPr>
          <w:rtl w:val="true"/>
        </w:rPr>
        <w:t xml:space="preserve">, </w:t>
      </w:r>
      <w:r>
        <w:rPr>
          <w:rtl w:val="true"/>
        </w:rPr>
        <w:t xml:space="preserve">למרות שבעדותו בבית המשפט המחוזי חזר בו מהודאתו ביחס למקרה הראשון וטען כי הוא בדה את הדברים מחשש </w:t>
      </w:r>
      <w:r>
        <w:rPr>
          <w:rtl w:val="true"/>
        </w:rPr>
        <w:t>"</w:t>
      </w:r>
      <w:r>
        <w:rPr>
          <w:rtl w:val="true"/>
        </w:rPr>
        <w:t>להסתבך</w:t>
      </w:r>
      <w:r>
        <w:rPr>
          <w:rtl w:val="true"/>
        </w:rPr>
        <w:t xml:space="preserve">" </w:t>
      </w:r>
      <w:r>
        <w:rPr>
          <w:rtl w:val="true"/>
        </w:rPr>
        <w:t>כאשר חוקריו שאלוהו לגבי החזקת אקדח</w:t>
      </w:r>
      <w:r>
        <w:rPr>
          <w:rtl w:val="true"/>
        </w:rPr>
        <w:t xml:space="preserve">. </w:t>
      </w:r>
      <w:r>
        <w:rPr>
          <w:rtl w:val="true"/>
        </w:rPr>
        <w:t>בית המשפט העדיף את הודאתו של המערער במשטרה</w:t>
      </w:r>
      <w:r>
        <w:rPr>
          <w:rtl w:val="true"/>
        </w:rPr>
        <w:t xml:space="preserve">, </w:t>
      </w:r>
      <w:r>
        <w:rPr>
          <w:rtl w:val="true"/>
        </w:rPr>
        <w:t>לאחר שקבע שהיא עומדת במבחני הפסיקה באשר למשקלה ותוכנה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לבקשת המערער</w:t>
      </w:r>
      <w:r>
        <w:rPr>
          <w:rtl w:val="true"/>
        </w:rPr>
        <w:t xml:space="preserve">, </w:t>
      </w:r>
      <w:r>
        <w:rPr>
          <w:rtl w:val="true"/>
        </w:rPr>
        <w:t>טרם הטיעונים לעונש</w:t>
      </w:r>
      <w:r>
        <w:rPr>
          <w:rtl w:val="true"/>
        </w:rPr>
        <w:t xml:space="preserve">, </w:t>
      </w:r>
      <w:r>
        <w:rPr>
          <w:rtl w:val="true"/>
        </w:rPr>
        <w:t>נערך בעניינו תסקיר שירות מבחן</w:t>
      </w:r>
      <w:r>
        <w:rPr>
          <w:rtl w:val="true"/>
        </w:rPr>
        <w:t xml:space="preserve">. </w:t>
      </w:r>
      <w:r>
        <w:rPr>
          <w:rtl w:val="true"/>
        </w:rPr>
        <w:t>התסקיר עמד על פער בין התנהלותו בדרך כלל לבין המעשים שעשה</w:t>
      </w:r>
      <w:r>
        <w:rPr>
          <w:rtl w:val="true"/>
        </w:rPr>
        <w:t xml:space="preserve">. </w:t>
      </w:r>
      <w:r>
        <w:rPr>
          <w:rtl w:val="true"/>
        </w:rPr>
        <w:t>צוין כי באישיותו אין קווים עבריינים</w:t>
      </w:r>
      <w:r>
        <w:rPr>
          <w:rtl w:val="true"/>
        </w:rPr>
        <w:t xml:space="preserve">, </w:t>
      </w:r>
      <w:r>
        <w:rPr>
          <w:rtl w:val="true"/>
        </w:rPr>
        <w:t>אך קיימים בה מאפיינים אימפולסיביים</w:t>
      </w:r>
      <w:r>
        <w:rPr>
          <w:rtl w:val="true"/>
        </w:rPr>
        <w:t xml:space="preserve">, </w:t>
      </w:r>
      <w:r>
        <w:rPr>
          <w:rtl w:val="true"/>
        </w:rPr>
        <w:t>ולמרות שהמערער נוטל אחריות למעשיו</w:t>
      </w:r>
      <w:r>
        <w:rPr>
          <w:rtl w:val="true"/>
        </w:rPr>
        <w:t xml:space="preserve">, </w:t>
      </w:r>
      <w:r>
        <w:rPr>
          <w:rtl w:val="true"/>
        </w:rPr>
        <w:t>הוא מתקשה לראות את חומרת מעשיו</w:t>
      </w:r>
      <w:r>
        <w:rPr>
          <w:rtl w:val="true"/>
        </w:rPr>
        <w:t xml:space="preserve">, </w:t>
      </w:r>
      <w:r>
        <w:rPr>
          <w:rtl w:val="true"/>
        </w:rPr>
        <w:t>כיוון שסביבתו אינה מוקיעה עבירות נשק</w:t>
      </w:r>
      <w:r>
        <w:rPr>
          <w:rtl w:val="true"/>
        </w:rPr>
        <w:t xml:space="preserve">. </w:t>
      </w:r>
      <w:r>
        <w:rPr>
          <w:rtl w:val="true"/>
        </w:rPr>
        <w:t>עוד נכתב בתסקיר שהסיכוי להישנות העבירות הוא נמוך</w:t>
      </w:r>
      <w:r>
        <w:rPr>
          <w:rtl w:val="true"/>
        </w:rPr>
        <w:t xml:space="preserve">, </w:t>
      </w:r>
      <w:r>
        <w:rPr>
          <w:rtl w:val="true"/>
        </w:rPr>
        <w:t>והומלץ להעמיד את המערער בצו מבחן למשך שנתיים</w:t>
      </w:r>
      <w:r>
        <w:rPr>
          <w:rtl w:val="true"/>
        </w:rPr>
        <w:t xml:space="preserve">, </w:t>
      </w:r>
      <w:r>
        <w:rPr>
          <w:rtl w:val="true"/>
        </w:rPr>
        <w:t>לשלבו בתכנית טיפולית</w:t>
      </w:r>
      <w:r>
        <w:rPr>
          <w:rtl w:val="true"/>
        </w:rPr>
        <w:t xml:space="preserve">, </w:t>
      </w:r>
      <w:r>
        <w:rPr>
          <w:rtl w:val="true"/>
        </w:rPr>
        <w:t>ולהטיל עליו עונש מאסר אותו ירצה בעבודות שירות ומאסר על תנאי</w:t>
      </w:r>
      <w:r>
        <w:rPr>
          <w:rtl w:val="true"/>
        </w:rPr>
        <w:t xml:space="preserve">. </w:t>
      </w:r>
      <w:r>
        <w:rPr>
          <w:rtl w:val="true"/>
        </w:rPr>
        <w:t>בשלב הטיעונים לעונש</w:t>
      </w:r>
      <w:r>
        <w:rPr>
          <w:rtl w:val="true"/>
        </w:rPr>
        <w:t xml:space="preserve">, </w:t>
      </w:r>
      <w:r>
        <w:rPr>
          <w:rtl w:val="true"/>
        </w:rPr>
        <w:t>טענה המשיבה למתחם עונש הנע בין שנה לשלוש שנות מאסר בפועל</w:t>
      </w:r>
      <w:r>
        <w:rPr>
          <w:rtl w:val="true"/>
        </w:rPr>
        <w:t xml:space="preserve">, </w:t>
      </w:r>
      <w:r>
        <w:rPr>
          <w:rtl w:val="true"/>
        </w:rPr>
        <w:t>לנוכח כך שהעבירות בוצעו לאורך זמן והיה ניתן לעצור את ביצוען</w:t>
      </w:r>
      <w:r>
        <w:rPr>
          <w:rtl w:val="true"/>
        </w:rPr>
        <w:t xml:space="preserve">; </w:t>
      </w:r>
      <w:r>
        <w:rPr>
          <w:rtl w:val="true"/>
        </w:rPr>
        <w:t>התוצאה הקשה האפשרית משימוש בכדורים</w:t>
      </w:r>
      <w:r>
        <w:rPr>
          <w:rtl w:val="true"/>
        </w:rPr>
        <w:t xml:space="preserve">; </w:t>
      </w:r>
      <w:r>
        <w:rPr>
          <w:rtl w:val="true"/>
        </w:rPr>
        <w:t>הרתעת הרבים מעבירות נשק</w:t>
      </w:r>
      <w:r>
        <w:rPr>
          <w:rtl w:val="true"/>
        </w:rPr>
        <w:t xml:space="preserve">; </w:t>
      </w:r>
      <w:r>
        <w:rPr>
          <w:rtl w:val="true"/>
        </w:rPr>
        <w:t>העובדה שהמערער לא מסר את זהות מוכרי ורוכשי הכדורים</w:t>
      </w:r>
      <w:r>
        <w:rPr>
          <w:rtl w:val="true"/>
        </w:rPr>
        <w:t xml:space="preserve">; </w:t>
      </w:r>
      <w:r>
        <w:rPr>
          <w:rtl w:val="true"/>
        </w:rPr>
        <w:t>ועל אף שהמערער הודה בהזדמנות הראשונה בחלק מהמעשים</w:t>
      </w:r>
      <w:r>
        <w:rPr>
          <w:rtl w:val="true"/>
        </w:rPr>
        <w:t xml:space="preserve">. </w:t>
      </w:r>
      <w:r>
        <w:rPr>
          <w:rtl w:val="true"/>
        </w:rPr>
        <w:t>באשר לעונש</w:t>
      </w:r>
      <w:r>
        <w:rPr>
          <w:rtl w:val="true"/>
        </w:rPr>
        <w:t xml:space="preserve">, </w:t>
      </w:r>
      <w:r>
        <w:rPr>
          <w:rtl w:val="true"/>
        </w:rPr>
        <w:t>טענה המשיבה</w:t>
      </w:r>
      <w:r>
        <w:rPr>
          <w:rtl w:val="true"/>
        </w:rPr>
        <w:t xml:space="preserve">, </w:t>
      </w:r>
      <w:r>
        <w:rPr>
          <w:rtl w:val="true"/>
        </w:rPr>
        <w:t>כי זה צריך להיות באמצע המתחם וקנס כבד בצידו</w:t>
      </w:r>
      <w:r>
        <w:rPr>
          <w:rtl w:val="true"/>
        </w:rPr>
        <w:t xml:space="preserve">. </w:t>
      </w:r>
      <w:r>
        <w:rPr>
          <w:rtl w:val="true"/>
        </w:rPr>
        <w:t>המערער מנגד</w:t>
      </w:r>
      <w:r>
        <w:rPr>
          <w:rtl w:val="true"/>
        </w:rPr>
        <w:t xml:space="preserve">, </w:t>
      </w:r>
      <w:r>
        <w:rPr>
          <w:rtl w:val="true"/>
        </w:rPr>
        <w:t>טען למתחם עונש הנע בין שישה לתשעה חודשי מאסר בפועל</w:t>
      </w:r>
      <w:r>
        <w:rPr>
          <w:rtl w:val="true"/>
        </w:rPr>
        <w:t xml:space="preserve">, </w:t>
      </w:r>
      <w:r>
        <w:rPr>
          <w:rtl w:val="true"/>
        </w:rPr>
        <w:t>וזאת נוכח הסיבות שהביאו אותו לביצוע העבירה</w:t>
      </w:r>
      <w:r>
        <w:rPr>
          <w:rtl w:val="true"/>
        </w:rPr>
        <w:t xml:space="preserve">, </w:t>
      </w:r>
      <w:r>
        <w:rPr>
          <w:rtl w:val="true"/>
        </w:rPr>
        <w:t>העובדה שמדובר בכדורים בלבד</w:t>
      </w:r>
      <w:r>
        <w:rPr>
          <w:rtl w:val="true"/>
        </w:rPr>
        <w:t xml:space="preserve">, </w:t>
      </w:r>
      <w:r>
        <w:rPr>
          <w:rtl w:val="true"/>
        </w:rPr>
        <w:t>נטילת האחריות על ידו</w:t>
      </w:r>
      <w:r>
        <w:rPr>
          <w:rtl w:val="true"/>
        </w:rPr>
        <w:t xml:space="preserve">, </w:t>
      </w:r>
      <w:r>
        <w:rPr>
          <w:rtl w:val="true"/>
        </w:rPr>
        <w:t>הודאתו החלקית ועברו הנקי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ביום </w:t>
      </w:r>
      <w:r>
        <w:rPr/>
        <w:t>27.5.2013</w:t>
      </w:r>
      <w:r>
        <w:rPr>
          <w:rtl w:val="true"/>
        </w:rPr>
        <w:t xml:space="preserve"> </w:t>
      </w:r>
      <w:r>
        <w:rPr>
          <w:rtl w:val="true"/>
        </w:rPr>
        <w:t>גזר בית המשפט המחוזי את דינו של המערער</w:t>
      </w:r>
      <w:r>
        <w:rPr>
          <w:rtl w:val="true"/>
        </w:rPr>
        <w:t xml:space="preserve">. </w:t>
      </w:r>
      <w:r>
        <w:rPr>
          <w:rtl w:val="true"/>
        </w:rPr>
        <w:t>בגזר הדין דן בית המשפט המחוזי בחומרת העבירות אותן עבר המערער וציין כי המעשים אינם עולים בקנה אחד עם טענתו שהוא אדם נורמטיבי</w:t>
      </w:r>
      <w:r>
        <w:rPr>
          <w:rtl w:val="true"/>
        </w:rPr>
        <w:t xml:space="preserve">. </w:t>
      </w:r>
      <w:r>
        <w:rPr>
          <w:rtl w:val="true"/>
        </w:rPr>
        <w:t xml:space="preserve">בית המשפט המחוזי הוסיף כי הפסיקה אליה הפנה המערער לא עסקה בעבירות של סחר בנשק לפי </w:t>
      </w:r>
      <w:hyperlink r:id="rId17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8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ולכן אין להקיש ממנה לעניינו</w:t>
      </w:r>
      <w:r>
        <w:rPr>
          <w:rtl w:val="true"/>
        </w:rPr>
        <w:t xml:space="preserve">. </w:t>
      </w:r>
      <w:r>
        <w:rPr>
          <w:rtl w:val="true"/>
        </w:rPr>
        <w:t>באשר למדיניות הענישה הנהוגה מצא בית המשפט המחוזי כי העונשים בעבירות שהורשע בהן המערער עולים על שנת מאסר אחת</w:t>
      </w:r>
      <w:r>
        <w:rPr>
          <w:rtl w:val="true"/>
        </w:rPr>
        <w:t xml:space="preserve">, </w:t>
      </w:r>
      <w:r>
        <w:rPr>
          <w:rtl w:val="true"/>
        </w:rPr>
        <w:t>בתלות בהיקף מכירת הנשק</w:t>
      </w:r>
      <w:r>
        <w:rPr>
          <w:rtl w:val="true"/>
        </w:rPr>
        <w:t xml:space="preserve">, </w:t>
      </w:r>
      <w:r>
        <w:rPr>
          <w:rtl w:val="true"/>
        </w:rPr>
        <w:t>סוגו וטיבו</w:t>
      </w:r>
      <w:r>
        <w:rPr>
          <w:rtl w:val="true"/>
        </w:rPr>
        <w:t xml:space="preserve">. </w:t>
      </w:r>
      <w:r>
        <w:rPr>
          <w:rtl w:val="true"/>
        </w:rPr>
        <w:t>עוד ציין בית המשפט כי גם אם בעבר נהגו בתי המשפט להסתפק לעיתים בענישה בת כמה חודשים</w:t>
      </w:r>
      <w:r>
        <w:rPr>
          <w:rtl w:val="true"/>
        </w:rPr>
        <w:t xml:space="preserve">, </w:t>
      </w:r>
      <w:r>
        <w:rPr>
          <w:rtl w:val="true"/>
        </w:rPr>
        <w:t>אין זה נכון לנהוג כך בתקופה זו</w:t>
      </w:r>
      <w:r>
        <w:rPr>
          <w:rtl w:val="true"/>
        </w:rPr>
        <w:t xml:space="preserve">, </w:t>
      </w:r>
      <w:r>
        <w:rPr>
          <w:rtl w:val="true"/>
        </w:rPr>
        <w:t>בה ההחזקה והשימוש בנשק הפכו כה נפוצים</w:t>
      </w:r>
      <w:r>
        <w:rPr>
          <w:rtl w:val="true"/>
        </w:rPr>
        <w:t xml:space="preserve">. </w:t>
      </w:r>
      <w:r>
        <w:rPr>
          <w:rtl w:val="true"/>
        </w:rPr>
        <w:t>לפיכך נקבע</w:t>
      </w:r>
      <w:r>
        <w:rPr>
          <w:rtl w:val="true"/>
        </w:rPr>
        <w:t xml:space="preserve">, </w:t>
      </w:r>
      <w:r>
        <w:rPr>
          <w:rtl w:val="true"/>
        </w:rPr>
        <w:t xml:space="preserve">כי מתחם העונש ההולם נע בין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 מאסר בפועל ל</w:t>
      </w:r>
      <w:r>
        <w:rPr>
          <w:rtl w:val="true"/>
        </w:rPr>
        <w:t>-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 מאסר בפועל</w:t>
      </w:r>
      <w:r>
        <w:rPr>
          <w:rtl w:val="true"/>
        </w:rPr>
        <w:t xml:space="preserve">. </w:t>
      </w:r>
      <w:r>
        <w:rPr>
          <w:rtl w:val="true"/>
        </w:rPr>
        <w:t>בהתחשב בנסיבות האישיות של המערער</w:t>
      </w:r>
      <w:r>
        <w:rPr>
          <w:rtl w:val="true"/>
        </w:rPr>
        <w:t xml:space="preserve">, </w:t>
      </w:r>
      <w:r>
        <w:rPr>
          <w:rtl w:val="true"/>
        </w:rPr>
        <w:t>גזר בית המשפט המחוזי את עונשו כאמור לעיל</w:t>
      </w:r>
      <w:r>
        <w:rPr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הערעור</w:t>
      </w:r>
    </w:p>
    <w:p>
      <w:pPr>
        <w:pStyle w:val="Ruller42"/>
        <w:numPr>
          <w:ilvl w:val="0"/>
          <w:numId w:val="0"/>
        </w:numPr>
        <w:spacing w:lineRule="auto" w:line="240"/>
        <w:ind w:hanging="0" w:start="0" w:end="0"/>
        <w:jc w:val="both"/>
        <w:rPr/>
      </w:pPr>
      <w:r>
        <w:rPr>
          <w:rFonts w:eastAsia="Garamond"/>
          <w:rtl w:val="true"/>
        </w:rPr>
        <w:t xml:space="preserve"> </w:t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  <w:sz w:val="22"/>
        </w:rPr>
      </w:pPr>
      <w:r>
        <w:rPr>
          <w:rFonts w:ascii="Century" w:hAnsi="Century" w:cs="Century"/>
          <w:sz w:val="22"/>
          <w:sz w:val="22"/>
          <w:rtl w:val="true"/>
        </w:rPr>
        <w:t>בתחילה הופנה הערעור הן כלפי הכרעת הדין והן כלפי גזר הדין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אך במהלך הדיון בפנינו חזר בו בא כוח המערער מטענותיו לעניין הכרעת הדין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לעניין גזר הדין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טען בא כוח המערער כי יש מקום להקל בעונשו של המערער ולהסתפק בעונש שריצה עד כה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ראשית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מפני שהמתחם שנקבע מחמיר ואינו מתיישב עם פסיקותיו של בית משפט זה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שנית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טען כי אף בתוך מתחם העונש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נסיבותיו של המערער מצדיקות את גזירת עונשו ברף התחתון של מתחם העונש ההולם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ואף סטייה לקולה ממנו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שכן למעשיו של המערער לא היו תוצאות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הוא הודה ברגע הראשון ושיתף פעולה עם המשטרה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ובהמשך ניהל הליך משפטי יעיל</w:t>
      </w:r>
      <w:r>
        <w:rPr>
          <w:rFonts w:cs="Century" w:ascii="Century" w:hAnsi="Century"/>
          <w:sz w:val="22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  <w:sz w:val="22"/>
        </w:rPr>
      </w:pPr>
      <w:r>
        <w:rPr>
          <w:rFonts w:cs="Century" w:ascii="Century" w:hAnsi="Century"/>
          <w:sz w:val="22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טרם הדיון הוגש לנו תסקיר משלים של שירות המבחן</w:t>
      </w:r>
      <w:r>
        <w:rPr>
          <w:rtl w:val="true"/>
        </w:rPr>
        <w:t xml:space="preserve">, </w:t>
      </w:r>
      <w:r>
        <w:rPr>
          <w:rtl w:val="true"/>
        </w:rPr>
        <w:t>בו צוינה התקדמותו החיובית של המערער במהלך מאסרו</w:t>
      </w:r>
      <w:r>
        <w:rPr>
          <w:rtl w:val="true"/>
        </w:rPr>
        <w:t xml:space="preserve">, </w:t>
      </w:r>
      <w:r>
        <w:rPr>
          <w:rtl w:val="true"/>
        </w:rPr>
        <w:t>במסגרתה שולב בחינוך</w:t>
      </w:r>
      <w:r>
        <w:rPr>
          <w:rtl w:val="true"/>
        </w:rPr>
        <w:t xml:space="preserve">, </w:t>
      </w:r>
      <w:r>
        <w:rPr>
          <w:rtl w:val="true"/>
        </w:rPr>
        <w:t>הוא משלים בגרויות</w:t>
      </w:r>
      <w:r>
        <w:rPr>
          <w:rtl w:val="true"/>
        </w:rPr>
        <w:t xml:space="preserve">, </w:t>
      </w:r>
      <w:r>
        <w:rPr>
          <w:rtl w:val="true"/>
        </w:rPr>
        <w:t>ומשתף פעולה בטיפול פרטני</w:t>
      </w:r>
      <w:r>
        <w:rPr>
          <w:rtl w:val="true"/>
        </w:rPr>
        <w:t xml:space="preserve">. </w:t>
      </w:r>
      <w:r>
        <w:rPr>
          <w:rtl w:val="true"/>
        </w:rPr>
        <w:t>צוין גם כי הוא אינו מחובר לצורך ממשי לקצר את עונשו ובהגשת הערעור הוא פעל מתוך רצון לרצות את משפחתו</w:t>
      </w:r>
      <w:r>
        <w:rPr>
          <w:rtl w:val="true"/>
        </w:rPr>
        <w:t xml:space="preserve">. </w:t>
      </w:r>
      <w:r>
        <w:rPr>
          <w:rtl w:val="true"/>
        </w:rPr>
        <w:t>לסיכום</w:t>
      </w:r>
      <w:r>
        <w:rPr>
          <w:rtl w:val="true"/>
        </w:rPr>
        <w:t xml:space="preserve">, </w:t>
      </w:r>
      <w:r>
        <w:rPr>
          <w:rtl w:val="true"/>
        </w:rPr>
        <w:t>שירות המבחן ציין כי התרשם שהמאסר ממנף את שיקומו של המערער ומאפשר לו בחינה והתבוננות בקשייו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Fonts w:ascii="Century" w:hAnsi="Century" w:cs="Century"/>
          <w:sz w:val="22"/>
          <w:sz w:val="22"/>
          <w:rtl w:val="true"/>
        </w:rPr>
        <w:t xml:space="preserve">בא כוח המשיבה </w:t>
      </w:r>
      <w:r>
        <w:rPr>
          <w:rtl w:val="true"/>
        </w:rPr>
        <w:t>טען בדיון לפנינו</w:t>
      </w:r>
      <w:r>
        <w:rPr>
          <w:rtl w:val="true"/>
        </w:rPr>
        <w:t xml:space="preserve">, </w:t>
      </w:r>
      <w:r>
        <w:rPr>
          <w:rtl w:val="true"/>
        </w:rPr>
        <w:t xml:space="preserve">כי בחודש יוני </w:t>
      </w:r>
      <w:r>
        <w:rPr/>
        <w:t>2014</w:t>
      </w:r>
      <w:r>
        <w:rPr>
          <w:rtl w:val="true"/>
        </w:rPr>
        <w:t xml:space="preserve"> </w:t>
      </w:r>
      <w:r>
        <w:rPr>
          <w:rtl w:val="true"/>
        </w:rPr>
        <w:t>יופיע המערער בפני ועדת שליש מקצועית</w:t>
      </w:r>
      <w:r>
        <w:rPr>
          <w:rtl w:val="true"/>
        </w:rPr>
        <w:t xml:space="preserve">. </w:t>
      </w:r>
      <w:r>
        <w:rPr>
          <w:rtl w:val="true"/>
        </w:rPr>
        <w:t>עוד ציין כי אין זה ראוי לקשור בין החזרה מהערעור על הכרעת הדין לבין הקלה כלשהי בעונש</w:t>
      </w:r>
      <w:r>
        <w:rPr>
          <w:rtl w:val="true"/>
        </w:rPr>
        <w:t xml:space="preserve">, </w:t>
      </w:r>
      <w:r>
        <w:rPr>
          <w:rtl w:val="true"/>
        </w:rPr>
        <w:t>כיוון שהערעור על הכרעת הדין היה חסר סיכוי מלכתחילה</w:t>
      </w:r>
      <w:r>
        <w:rPr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>
          <w:rFonts w:ascii="Garamond" w:hAnsi="Garamond" w:cs="Garamond"/>
          <w:sz w:val="24"/>
        </w:rPr>
      </w:pPr>
      <w:r>
        <w:rPr>
          <w:rFonts w:cs="Garamond" w:ascii="Garamond" w:hAnsi="Garamond"/>
          <w:sz w:val="24"/>
          <w:rtl w:val="true"/>
        </w:rPr>
      </w:r>
    </w:p>
    <w:p>
      <w:pPr>
        <w:pStyle w:val="Ruller41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דיון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והכרעה</w:t>
      </w:r>
    </w:p>
    <w:p>
      <w:pPr>
        <w:pStyle w:val="Ruller41"/>
        <w:spacing w:lineRule="auto" w:line="240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לאחר שעיינו בהודעת הערעור ובגזר הדין של בית המשפט המחוזי</w:t>
      </w:r>
      <w:r>
        <w:rPr>
          <w:rtl w:val="true"/>
        </w:rPr>
        <w:t xml:space="preserve">, </w:t>
      </w:r>
      <w:r>
        <w:rPr>
          <w:rtl w:val="true"/>
        </w:rPr>
        <w:t>ולאחר ששמענו את טענות הצדדים</w:t>
      </w:r>
      <w:r>
        <w:rPr>
          <w:rtl w:val="true"/>
        </w:rPr>
        <w:t xml:space="preserve">, </w:t>
      </w:r>
      <w:r>
        <w:rPr>
          <w:rtl w:val="true"/>
        </w:rPr>
        <w:t>הגענו למסקנה שיש לדחות את הערעור</w:t>
      </w:r>
      <w:r>
        <w:rPr>
          <w:rtl w:val="true"/>
        </w:rPr>
        <w:t xml:space="preserve">, </w:t>
      </w:r>
      <w:r>
        <w:rPr>
          <w:rtl w:val="true"/>
        </w:rPr>
        <w:t xml:space="preserve">כיוון שאינו נמנה עם המקרים החריגים בהם ערכאת הערעור תתערב בחומרת העונש שנקבעה על ידי הערכאה הדיונית </w:t>
      </w:r>
      <w:r>
        <w:rPr>
          <w:rtl w:val="true"/>
        </w:rPr>
        <w:t>(</w:t>
      </w:r>
      <w:hyperlink r:id="rId1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3091/08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טרייגר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29.1.2009</w:t>
      </w:r>
      <w:r>
        <w:rPr>
          <w:rFonts w:cs="Century" w:ascii="Century" w:hAnsi="Century"/>
          <w:rtl w:val="true"/>
        </w:rPr>
        <w:t xml:space="preserve">); </w:t>
      </w:r>
      <w:hyperlink r:id="rId20"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u w:val="single"/>
          </w:rPr>
          <w:t>7563/08</w:t>
        </w:r>
      </w:hyperlink>
      <w:r>
        <w:rPr>
          <w:rFonts w:cs="Century" w:ascii="Century" w:hAnsi="Century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אבו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סביח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4.3.2009</w:t>
      </w:r>
      <w:r>
        <w:rPr>
          <w:rFonts w:cs="Century" w:ascii="Century" w:hAnsi="Century"/>
          <w:rtl w:val="true"/>
        </w:rPr>
        <w:t xml:space="preserve">); </w:t>
      </w:r>
      <w:hyperlink r:id="rId2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5931/11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עבדולייב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22.10.2013</w:t>
      </w:r>
      <w:r>
        <w:rPr>
          <w:rFonts w:cs="Century" w:ascii="Century" w:hAnsi="Century"/>
          <w:sz w:val="22"/>
          <w:rtl w:val="true"/>
        </w:rPr>
        <w:t xml:space="preserve">); </w:t>
      </w:r>
      <w:r>
        <w:rPr>
          <w:rFonts w:ascii="Century" w:hAnsi="Century" w:cs="Century"/>
          <w:sz w:val="22"/>
          <w:sz w:val="22"/>
          <w:rtl w:val="true"/>
        </w:rPr>
        <w:t xml:space="preserve">ולאחר תיקון </w:t>
      </w:r>
      <w:r>
        <w:rPr>
          <w:rFonts w:cs="Century" w:ascii="Century" w:hAnsi="Century"/>
          <w:sz w:val="22"/>
        </w:rPr>
        <w:t>113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</w:t>
      </w:r>
      <w:hyperlink r:id="rId22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חוק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העונשין</w:t>
        </w:r>
      </w:hyperlink>
      <w:r>
        <w:rPr>
          <w:rFonts w:cs="Century" w:ascii="Century" w:hAnsi="Century"/>
          <w:sz w:val="22"/>
          <w:rtl w:val="true"/>
        </w:rPr>
        <w:t xml:space="preserve">: </w:t>
      </w:r>
      <w:hyperlink r:id="rId2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1846/13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עמאש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1.12.2013</w:t>
      </w:r>
      <w:r>
        <w:rPr>
          <w:rFonts w:cs="Century" w:ascii="Century" w:hAnsi="Century"/>
          <w:sz w:val="22"/>
          <w:rtl w:val="true"/>
        </w:rPr>
        <w:t xml:space="preserve">); </w:t>
      </w:r>
      <w:hyperlink r:id="rId24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ע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5316/13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מסאלחה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cs="Century"/>
          <w:sz w:val="22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9.12.2013</w:t>
      </w:r>
      <w:r>
        <w:rPr>
          <w:rFonts w:cs="Century" w:ascii="Century" w:hAnsi="Century"/>
          <w:sz w:val="22"/>
          <w:rtl w:val="true"/>
        </w:rPr>
        <w:t xml:space="preserve">)).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  <w:sz w:val="22"/>
        </w:rPr>
      </w:pPr>
      <w:r>
        <w:rPr>
          <w:rtl w:val="true"/>
        </w:rPr>
        <w:t>בא כוח המערער תמך טענותיו בפסק דין של בית משפט זה בו לטענתו בנסיבות דומות לענייננו נגזרו שישה חודשי מאסר לריצוי בעבודות שירות</w:t>
      </w:r>
      <w:r>
        <w:rPr>
          <w:rtl w:val="true"/>
        </w:rPr>
        <w:t xml:space="preserve">, </w:t>
      </w:r>
      <w:r>
        <w:rPr>
          <w:rtl w:val="true"/>
        </w:rPr>
        <w:t>ונדחה ערעור המדינה על קולת עונש זה</w:t>
      </w:r>
      <w:r>
        <w:rPr>
          <w:rtl w:val="true"/>
        </w:rPr>
        <w:t xml:space="preserve">, </w:t>
      </w:r>
      <w:r>
        <w:rPr>
          <w:rtl w:val="true"/>
        </w:rPr>
        <w:t>אלא שפסק דין זה אינו מסייע למערער כלל ועיקר</w:t>
      </w:r>
      <w:r>
        <w:rPr>
          <w:rtl w:val="true"/>
        </w:rPr>
        <w:t xml:space="preserve">. </w:t>
      </w:r>
      <w:r>
        <w:rPr>
          <w:rtl w:val="true"/>
        </w:rPr>
        <w:t>לעניין מתחם העונש ההולם</w:t>
      </w:r>
      <w:r>
        <w:rPr>
          <w:rtl w:val="true"/>
        </w:rPr>
        <w:t xml:space="preserve">, </w:t>
      </w:r>
      <w:r>
        <w:rPr>
          <w:rtl w:val="true"/>
        </w:rPr>
        <w:t xml:space="preserve">בפסק דין זה – </w:t>
      </w:r>
      <w:hyperlink r:id="rId2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4945/13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סלימאן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ascii="Century" w:hAnsi="Century" w:cs="Century"/>
          <w:sz w:val="22"/>
          <w:sz w:val="22"/>
          <w:rtl w:val="true"/>
        </w:rPr>
        <w:t xml:space="preserve">פסקה </w:t>
      </w:r>
      <w:r>
        <w:rPr>
          <w:rFonts w:cs="Century" w:ascii="Century" w:hAnsi="Century"/>
          <w:sz w:val="22"/>
        </w:rPr>
        <w:t>14</w:t>
      </w:r>
      <w:r>
        <w:rPr>
          <w:rFonts w:cs="Century" w:ascii="Century" w:hAnsi="Century"/>
          <w:sz w:val="22"/>
          <w:rtl w:val="true"/>
        </w:rPr>
        <w:t xml:space="preserve"> (</w:t>
      </w:r>
      <w:r>
        <w:rPr>
          <w:rFonts w:cs="Century" w:ascii="Century" w:hAnsi="Century"/>
          <w:sz w:val="22"/>
        </w:rPr>
        <w:t>19.1.2014</w:t>
      </w:r>
      <w:r>
        <w:rPr>
          <w:rFonts w:cs="Century" w:ascii="Century" w:hAnsi="Century"/>
          <w:sz w:val="22"/>
          <w:rtl w:val="true"/>
        </w:rPr>
        <w:t>) (</w:t>
      </w:r>
      <w:r>
        <w:rPr>
          <w:rFonts w:ascii="Century" w:hAnsi="Century" w:cs="Century"/>
          <w:sz w:val="22"/>
          <w:sz w:val="22"/>
          <w:rtl w:val="true"/>
        </w:rPr>
        <w:t>להלן</w:t>
      </w:r>
      <w:r>
        <w:rPr>
          <w:rFonts w:cs="Century" w:ascii="Century" w:hAnsi="Century"/>
          <w:sz w:val="22"/>
          <w:rtl w:val="true"/>
        </w:rPr>
        <w:t xml:space="preserve">: </w:t>
      </w:r>
      <w:r>
        <w:rPr>
          <w:rFonts w:ascii="Century" w:hAnsi="Century" w:cs="Century"/>
          <w:sz w:val="22"/>
          <w:sz w:val="22"/>
          <w:rtl w:val="true"/>
        </w:rPr>
        <w:t xml:space="preserve">עניין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סלימאן</w:t>
      </w:r>
      <w:r>
        <w:rPr>
          <w:rFonts w:cs="Century" w:ascii="Century" w:hAnsi="Century"/>
          <w:sz w:val="22"/>
          <w:rtl w:val="true"/>
        </w:rPr>
        <w:t xml:space="preserve">) – </w:t>
      </w:r>
      <w:r>
        <w:rPr>
          <w:rFonts w:ascii="Century" w:hAnsi="Century" w:cs="Century"/>
          <w:sz w:val="22"/>
          <w:sz w:val="22"/>
          <w:rtl w:val="true"/>
        </w:rPr>
        <w:t xml:space="preserve">עמדה השופטת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ע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ארבל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בהרחבה על מדיניות הענישה הנהוגה בעבירות הנשק השונות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ascii="Century" w:hAnsi="Century" w:cs="Century"/>
          <w:sz w:val="22"/>
          <w:sz w:val="22"/>
          <w:rtl w:val="true"/>
        </w:rPr>
        <w:t xml:space="preserve">בפסקה </w:t>
      </w:r>
      <w:r>
        <w:rPr>
          <w:rFonts w:cs="Century" w:ascii="Century" w:hAnsi="Century"/>
          <w:sz w:val="22"/>
        </w:rPr>
        <w:t>14</w:t>
      </w:r>
      <w:r>
        <w:rPr>
          <w:rFonts w:cs="Century" w:ascii="Century" w:hAnsi="Century"/>
          <w:sz w:val="22"/>
          <w:rtl w:val="true"/>
        </w:rPr>
        <w:t xml:space="preserve">), </w:t>
      </w:r>
      <w:r>
        <w:rPr>
          <w:rFonts w:ascii="Century" w:hAnsi="Century" w:cs="Century"/>
          <w:sz w:val="22"/>
          <w:sz w:val="22"/>
          <w:rtl w:val="true"/>
        </w:rPr>
        <w:t>ומצאה שמתחם העונש ההולם בעניינו של המערער שם – שבניגוד למערער כאן לא הורשע בעבירת סחר בנשק אלא בעבירות של רכישה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החזקה ונשיאת נשק ובנוסף ביצע את העבירות במקרה אחד ולא בשני מקרים נפרדים – נע בין </w:t>
      </w:r>
      <w:r>
        <w:rPr>
          <w:rFonts w:cs="Century" w:ascii="Century" w:hAnsi="Century"/>
          <w:sz w:val="22"/>
        </w:rPr>
        <w:t>12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ל</w:t>
      </w:r>
      <w:r>
        <w:rPr>
          <w:rFonts w:cs="Century" w:ascii="Century" w:hAnsi="Century"/>
          <w:sz w:val="22"/>
          <w:rtl w:val="true"/>
        </w:rPr>
        <w:t>-</w:t>
      </w:r>
      <w:r>
        <w:rPr>
          <w:rFonts w:cs="Century" w:ascii="Century" w:hAnsi="Century"/>
          <w:sz w:val="22"/>
        </w:rPr>
        <w:t>36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חודשי מאסר בפועל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זהו המתחם שקבע גם בית המשפט המחוזי בעניינו של המערער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מכאן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שלמצער ניתן לומר שמתחם העונש שקבע בית המשפט המחוזי אינו מחמיר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ולא מצאנו מקום לפרט מעבר לכך</w:t>
      </w:r>
      <w:r>
        <w:rPr>
          <w:rFonts w:cs="Century" w:ascii="Century" w:hAnsi="Century"/>
          <w:sz w:val="22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Century" w:hAnsi="Century" w:cs="Century"/>
          <w:sz w:val="22"/>
        </w:rPr>
      </w:pPr>
      <w:r>
        <w:rPr>
          <w:rFonts w:cs="Century" w:ascii="Century" w:hAnsi="Century"/>
          <w:sz w:val="22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  <w:sz w:val="22"/>
        </w:rPr>
      </w:pPr>
      <w:r>
        <w:rPr>
          <w:rFonts w:ascii="Century" w:hAnsi="Century" w:cs="Century"/>
          <w:sz w:val="22"/>
          <w:sz w:val="22"/>
          <w:rtl w:val="true"/>
        </w:rPr>
        <w:t>לעניין העונש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בעניין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סלימאן</w:t>
      </w:r>
      <w:r>
        <w:rPr>
          <w:rFonts w:ascii="Century" w:hAnsi="Century" w:cs="Century"/>
          <w:sz w:val="22"/>
          <w:sz w:val="22"/>
          <w:rtl w:val="true"/>
        </w:rPr>
        <w:t xml:space="preserve"> לא התערב בית משפט זה בקולת העונש מפני שמצא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לנוכח תסקיר שירות המבחן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 xml:space="preserve">כי סיכויי השיקום של המערער שם טובים ועדיפים מחוץ לבית הסוהר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ascii="Century" w:hAnsi="Century" w:cs="Century"/>
          <w:sz w:val="22"/>
          <w:sz w:val="22"/>
          <w:rtl w:val="true"/>
        </w:rPr>
        <w:t xml:space="preserve">בפסקה </w:t>
      </w:r>
      <w:r>
        <w:rPr>
          <w:rFonts w:cs="Century" w:ascii="Century" w:hAnsi="Century"/>
          <w:sz w:val="22"/>
        </w:rPr>
        <w:t>16</w:t>
      </w:r>
      <w:r>
        <w:rPr>
          <w:rFonts w:cs="Century" w:ascii="Century" w:hAnsi="Century"/>
          <w:sz w:val="22"/>
          <w:rtl w:val="true"/>
        </w:rPr>
        <w:t xml:space="preserve">), </w:t>
      </w:r>
      <w:r>
        <w:rPr>
          <w:rFonts w:ascii="Century" w:hAnsi="Century" w:cs="Century"/>
          <w:sz w:val="22"/>
          <w:sz w:val="22"/>
          <w:rtl w:val="true"/>
        </w:rPr>
        <w:t>אלא שבענייננו תסקיר שירות המבחן קובע להפך ועולה כי טרם המאסר נטה המערער לאימפולסיביות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סיכוי ההישנות הנמוך של העבירות נבע ממשפחתו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וסביבתו לא הוקיעה עבירות מהסוג שביצע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ועתה – במאסר – הוא השתקם וממשיך להשתקם בצורה מעוררת הערכה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Fonts w:ascii="Century" w:hAnsi="Century" w:cs="Century"/>
          <w:sz w:val="22"/>
          <w:sz w:val="22"/>
          <w:rtl w:val="true"/>
        </w:rPr>
        <w:t>לדעתנו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בית המשפט המחוזי איזן נכונה בין השיקולים השונים בעניינו של המערער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ואין מקום להתערבות בעונש שגזר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tl w:val="true"/>
        </w:rPr>
        <w:t>נראה כי המערער עבר כברת דרך במהלך מאסרו</w:t>
      </w:r>
      <w:r>
        <w:rPr>
          <w:rtl w:val="true"/>
        </w:rPr>
        <w:t xml:space="preserve">, </w:t>
      </w:r>
      <w:r>
        <w:rPr>
          <w:rtl w:val="true"/>
        </w:rPr>
        <w:t>ואנו תקווה</w:t>
      </w:r>
      <w:r>
        <w:rPr>
          <w:rtl w:val="true"/>
        </w:rPr>
        <w:t xml:space="preserve">, </w:t>
      </w:r>
      <w:r>
        <w:rPr>
          <w:rtl w:val="true"/>
        </w:rPr>
        <w:t>כי ימשיך בדרכו החיובית</w:t>
      </w:r>
      <w:r>
        <w:rPr>
          <w:rtl w:val="true"/>
        </w:rPr>
        <w:t xml:space="preserve">. </w:t>
      </w:r>
    </w:p>
    <w:p>
      <w:pPr>
        <w:pStyle w:val="Normal"/>
        <w:ind w:end="0"/>
        <w:jc w:val="start"/>
        <w:rPr>
          <w:rFonts w:ascii="Century" w:hAnsi="Century" w:cs="Century"/>
          <w:sz w:val="22"/>
        </w:rPr>
      </w:pPr>
      <w:r>
        <w:rPr>
          <w:rFonts w:cs="Century" w:ascii="Century" w:hAnsi="Century"/>
          <w:sz w:val="22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סוף דבר</w:t>
      </w:r>
      <w:r>
        <w:rPr>
          <w:rtl w:val="true"/>
        </w:rPr>
        <w:t xml:space="preserve">, </w:t>
      </w:r>
      <w:r>
        <w:rPr>
          <w:rtl w:val="true"/>
        </w:rPr>
        <w:t>הערעור נדחה</w:t>
      </w:r>
      <w:r>
        <w:rPr>
          <w:rtl w:val="true"/>
        </w:rPr>
        <w:t xml:space="preserve">. 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בסיון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8.6.2014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;Arial" w:cs="Arial TUR;Arial"/>
                <w:rtl w:val="true"/>
              </w:rPr>
              <w:t xml:space="preserve">     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;Arial" w:cs="Arial TUR;Arial"/>
                <w:rtl w:val="true"/>
              </w:rPr>
              <w:t xml:space="preserve">                 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129371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25" w:name="FileName"/>
      <w:r>
        <w:rPr>
          <w:sz w:val="16"/>
        </w:rPr>
        <w:t>13049560</w:t>
      </w:r>
      <w:r>
        <w:rPr>
          <w:sz w:val="16"/>
          <w:rtl w:val="true"/>
        </w:rPr>
        <w:t>_</w:t>
      </w:r>
      <w:r>
        <w:rPr>
          <w:sz w:val="16"/>
        </w:rPr>
        <w:t>H05.doc</w:t>
      </w:r>
      <w:r>
        <w:rPr>
          <w:sz w:val="16"/>
          <w:rtl w:val="true"/>
        </w:rPr>
        <w:t xml:space="preserve">   </w:t>
      </w:r>
      <w:bookmarkEnd w:id="25"/>
      <w:r>
        <w:rPr>
          <w:sz w:val="16"/>
          <w:sz w:val="16"/>
          <w:rtl w:val="true"/>
        </w:rPr>
        <w:t>שצ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26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ס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>ג</w:t>
      </w:r>
      <w:r>
        <w:rPr>
          <w:rFonts w:cs="David" w:ascii="David" w:hAnsi="David"/>
          <w:color w:val="000000"/>
          <w:szCs w:val="22"/>
          <w:rtl w:val="true"/>
        </w:rPr>
        <w:t>'</w:t>
      </w:r>
      <w:r>
        <w:rPr>
          <w:rFonts w:ascii="David" w:hAnsi="David"/>
          <w:color w:val="000000"/>
          <w:szCs w:val="22"/>
          <w:rtl w:val="true"/>
        </w:rPr>
        <w:t xml:space="preserve">ובראן </w:t>
      </w:r>
      <w:r>
        <w:rPr>
          <w:rFonts w:cs="David" w:ascii="David" w:hAnsi="David"/>
          <w:color w:val="000000"/>
          <w:szCs w:val="22"/>
        </w:rPr>
        <w:t>54678313-4956/13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27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28"/>
      <w:footerReference w:type="default" r:id="rId29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6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4956/13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וליד עיסאוי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  <w:rPr>
        <w:lang w:val="en-US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lang w:val="en-U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2">
    <w:name w:val="Ruller 4 ממוספר"/>
    <w:basedOn w:val="Ruller41"/>
    <w:next w:val="Ruller41"/>
    <w:qFormat/>
    <w:pPr>
      <w:numPr>
        <w:ilvl w:val="0"/>
        <w:numId w:val="1"/>
      </w:numPr>
      <w:ind w:hanging="0" w:start="0" w:end="0"/>
      <w:jc w:val="both"/>
    </w:pPr>
    <w:rPr>
      <w:rFonts w:ascii="Garamond" w:hAnsi="Garamond" w:cs="Garamond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3840609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5" TargetMode="External"/><Relationship Id="rId5" Type="http://schemas.openxmlformats.org/officeDocument/2006/relationships/hyperlink" Target="http://www.nevo.co.il/law/70301/144.a" TargetMode="External"/><Relationship Id="rId6" Type="http://schemas.openxmlformats.org/officeDocument/2006/relationships/hyperlink" Target="http://www.nevo.co.il/law/70301/144.b" TargetMode="External"/><Relationship Id="rId7" Type="http://schemas.openxmlformats.org/officeDocument/2006/relationships/hyperlink" Target="http://www.nevo.co.il/law/70301/144.b2" TargetMode="External"/><Relationship Id="rId8" Type="http://schemas.openxmlformats.org/officeDocument/2006/relationships/hyperlink" Target="http://www.nevo.co.il/law/70301/499.a.1" TargetMode="External"/><Relationship Id="rId9" Type="http://schemas.openxmlformats.org/officeDocument/2006/relationships/hyperlink" Target="http://www.nevo.co.il/case/3840609" TargetMode="External"/><Relationship Id="rId10" Type="http://schemas.openxmlformats.org/officeDocument/2006/relationships/hyperlink" Target="http://www.nevo.co.il/law/70301/144.b2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aw/70301/144.b2" TargetMode="External"/><Relationship Id="rId13" Type="http://schemas.openxmlformats.org/officeDocument/2006/relationships/hyperlink" Target="http://www.nevo.co.il/law/70301/25" TargetMode="External"/><Relationship Id="rId14" Type="http://schemas.openxmlformats.org/officeDocument/2006/relationships/hyperlink" Target="http://www.nevo.co.il/law/70301/144.a" TargetMode="External"/><Relationship Id="rId15" Type="http://schemas.openxmlformats.org/officeDocument/2006/relationships/hyperlink" Target="http://www.nevo.co.il/law/70301/144.b" TargetMode="External"/><Relationship Id="rId16" Type="http://schemas.openxmlformats.org/officeDocument/2006/relationships/hyperlink" Target="http://www.nevo.co.il/law/70301/499.a.1" TargetMode="External"/><Relationship Id="rId17" Type="http://schemas.openxmlformats.org/officeDocument/2006/relationships/hyperlink" Target="http://www.nevo.co.il/law/70301/144.b2" TargetMode="External"/><Relationship Id="rId18" Type="http://schemas.openxmlformats.org/officeDocument/2006/relationships/hyperlink" Target="http://www.nevo.co.il/law/70301" TargetMode="External"/><Relationship Id="rId19" Type="http://schemas.openxmlformats.org/officeDocument/2006/relationships/hyperlink" Target="http://www.nevo.co.il/links/psika/?link=&#1506;&#1508;%203091/08" TargetMode="External"/><Relationship Id="rId20" Type="http://schemas.openxmlformats.org/officeDocument/2006/relationships/hyperlink" Target="http://www.nevo.co.il/case/6107146" TargetMode="External"/><Relationship Id="rId21" Type="http://schemas.openxmlformats.org/officeDocument/2006/relationships/hyperlink" Target="http://www.nevo.co.il/case/6040836" TargetMode="External"/><Relationship Id="rId22" Type="http://schemas.openxmlformats.org/officeDocument/2006/relationships/hyperlink" Target="http://www.nevo.co.il/law/70301" TargetMode="External"/><Relationship Id="rId23" Type="http://schemas.openxmlformats.org/officeDocument/2006/relationships/hyperlink" Target="http://www.nevo.co.il/case/6731208" TargetMode="External"/><Relationship Id="rId24" Type="http://schemas.openxmlformats.org/officeDocument/2006/relationships/hyperlink" Target="http://www.nevo.co.il/case/7812324" TargetMode="External"/><Relationship Id="rId25" Type="http://schemas.openxmlformats.org/officeDocument/2006/relationships/hyperlink" Target="http://www.nevo.co.il/case/7791493" TargetMode="External"/><Relationship Id="rId26" Type="http://schemas.openxmlformats.org/officeDocument/2006/relationships/hyperlink" Target="http://www.court.gov.il/" TargetMode="External"/><Relationship Id="rId27" Type="http://schemas.openxmlformats.org/officeDocument/2006/relationships/hyperlink" Target="http://www.nevo.co.il/advertisements/nevo-100.doc" TargetMode="External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13049560.H05.doc</Template>
  <TotalTime>4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2014-06-10T08:51:00Z</dcterms:created>
  <dc:creator> </dc:creator>
  <dc:description/>
  <cp:keywords/>
  <dc:language>en-IL</dc:language>
  <cp:lastModifiedBy>orly</cp:lastModifiedBy>
  <cp:lastPrinted>2009-02-15T10:12:00Z</cp:lastPrinted>
  <dcterms:modified xsi:type="dcterms:W3CDTF">2014-06-10T09:09:00Z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וליד עיסאוי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NOTES1">
    <vt:lpwstr>ProcID=133&amp;PartA=3091&amp;PartC=08</vt:lpwstr>
  </property>
  <property fmtid="{D5CDD505-2E9C-101B-9397-08002B2CF9AE}" pid="9" name="CASESLISTTMP1">
    <vt:lpwstr>3840609:2;6107146;6040836;6731208;7812324;7791493</vt:lpwstr>
  </property>
  <property fmtid="{D5CDD505-2E9C-101B-9397-08002B2CF9AE}" pid="10" name="CITY">
    <vt:lpwstr/>
  </property>
  <property fmtid="{D5CDD505-2E9C-101B-9397-08002B2CF9AE}" pid="11" name="DATE">
    <vt:lpwstr>20140608</vt:lpwstr>
  </property>
  <property fmtid="{D5CDD505-2E9C-101B-9397-08002B2CF9AE}" pid="12" name="DELEMATA">
    <vt:lpwstr/>
  </property>
  <property fmtid="{D5CDD505-2E9C-101B-9397-08002B2CF9AE}" pid="13" name="ISABSTRACT">
    <vt:lpwstr>Y</vt:lpwstr>
  </property>
  <property fmtid="{D5CDD505-2E9C-101B-9397-08002B2CF9AE}" pid="14" name="JUDGE">
    <vt:lpwstr>ס' ג'ובראן;ח' מלצר;נ' סולברג</vt:lpwstr>
  </property>
  <property fmtid="{D5CDD505-2E9C-101B-9397-08002B2CF9AE}" pid="15" name="LAWLISTTMP1">
    <vt:lpwstr>70301/144.b2:3;025;144.a;144.b;499.a.1</vt:lpwstr>
  </property>
  <property fmtid="{D5CDD505-2E9C-101B-9397-08002B2CF9AE}" pid="16" name="LAWYER">
    <vt:lpwstr>אופיר טישלר;עדנאן עלאדין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METAKZER">
    <vt:lpwstr>קרן</vt:lpwstr>
  </property>
  <property fmtid="{D5CDD505-2E9C-101B-9397-08002B2CF9AE}" pid="23" name="NEWPARTA">
    <vt:lpwstr/>
  </property>
  <property fmtid="{D5CDD505-2E9C-101B-9397-08002B2CF9AE}" pid="24" name="NEWPARTB">
    <vt:lpwstr/>
  </property>
  <property fmtid="{D5CDD505-2E9C-101B-9397-08002B2CF9AE}" pid="25" name="NEWPARTC">
    <vt:lpwstr/>
  </property>
  <property fmtid="{D5CDD505-2E9C-101B-9397-08002B2CF9AE}" pid="26" name="NEWPROC">
    <vt:lpwstr/>
  </property>
  <property fmtid="{D5CDD505-2E9C-101B-9397-08002B2CF9AE}" pid="27" name="NOSE11">
    <vt:lpwstr>עונשין</vt:lpwstr>
  </property>
  <property fmtid="{D5CDD505-2E9C-101B-9397-08002B2CF9AE}" pid="28" name="NOSE110">
    <vt:lpwstr/>
  </property>
  <property fmtid="{D5CDD505-2E9C-101B-9397-08002B2CF9AE}" pid="29" name="NOSE12">
    <vt:lpwstr>דיון פלילי</vt:lpwstr>
  </property>
  <property fmtid="{D5CDD505-2E9C-101B-9397-08002B2CF9AE}" pid="30" name="NOSE13">
    <vt:lpwstr/>
  </property>
  <property fmtid="{D5CDD505-2E9C-101B-9397-08002B2CF9AE}" pid="31" name="NOSE14">
    <vt:lpwstr/>
  </property>
  <property fmtid="{D5CDD505-2E9C-101B-9397-08002B2CF9AE}" pid="32" name="NOSE15">
    <vt:lpwstr/>
  </property>
  <property fmtid="{D5CDD505-2E9C-101B-9397-08002B2CF9AE}" pid="33" name="NOSE16">
    <vt:lpwstr/>
  </property>
  <property fmtid="{D5CDD505-2E9C-101B-9397-08002B2CF9AE}" pid="34" name="NOSE17">
    <vt:lpwstr/>
  </property>
  <property fmtid="{D5CDD505-2E9C-101B-9397-08002B2CF9AE}" pid="35" name="NOSE18">
    <vt:lpwstr/>
  </property>
  <property fmtid="{D5CDD505-2E9C-101B-9397-08002B2CF9AE}" pid="36" name="NOSE19">
    <vt:lpwstr/>
  </property>
  <property fmtid="{D5CDD505-2E9C-101B-9397-08002B2CF9AE}" pid="37" name="NOSE1ID">
    <vt:lpwstr>77;18</vt:lpwstr>
  </property>
  <property fmtid="{D5CDD505-2E9C-101B-9397-08002B2CF9AE}" pid="38" name="NOSE21">
    <vt:lpwstr>ענישה</vt:lpwstr>
  </property>
  <property fmtid="{D5CDD505-2E9C-101B-9397-08002B2CF9AE}" pid="39" name="NOSE210">
    <vt:lpwstr/>
  </property>
  <property fmtid="{D5CDD505-2E9C-101B-9397-08002B2CF9AE}" pid="40" name="NOSE22">
    <vt:lpwstr>עונש</vt:lpwstr>
  </property>
  <property fmtid="{D5CDD505-2E9C-101B-9397-08002B2CF9AE}" pid="41" name="NOSE23">
    <vt:lpwstr/>
  </property>
  <property fmtid="{D5CDD505-2E9C-101B-9397-08002B2CF9AE}" pid="42" name="NOSE24">
    <vt:lpwstr/>
  </property>
  <property fmtid="{D5CDD505-2E9C-101B-9397-08002B2CF9AE}" pid="43" name="NOSE25">
    <vt:lpwstr/>
  </property>
  <property fmtid="{D5CDD505-2E9C-101B-9397-08002B2CF9AE}" pid="44" name="NOSE26">
    <vt:lpwstr/>
  </property>
  <property fmtid="{D5CDD505-2E9C-101B-9397-08002B2CF9AE}" pid="45" name="NOSE27">
    <vt:lpwstr/>
  </property>
  <property fmtid="{D5CDD505-2E9C-101B-9397-08002B2CF9AE}" pid="46" name="NOSE28">
    <vt:lpwstr/>
  </property>
  <property fmtid="{D5CDD505-2E9C-101B-9397-08002B2CF9AE}" pid="47" name="NOSE29">
    <vt:lpwstr/>
  </property>
  <property fmtid="{D5CDD505-2E9C-101B-9397-08002B2CF9AE}" pid="48" name="NOSE2ID">
    <vt:lpwstr>1446;498</vt:lpwstr>
  </property>
  <property fmtid="{D5CDD505-2E9C-101B-9397-08002B2CF9AE}" pid="49" name="NOSE31">
    <vt:lpwstr>מדיניות ענישה: עבירות נשק</vt:lpwstr>
  </property>
  <property fmtid="{D5CDD505-2E9C-101B-9397-08002B2CF9AE}" pid="50" name="NOSE310">
    <vt:lpwstr/>
  </property>
  <property fmtid="{D5CDD505-2E9C-101B-9397-08002B2CF9AE}" pid="51" name="NOSE32">
    <vt:lpwstr>ערעור</vt:lpwstr>
  </property>
  <property fmtid="{D5CDD505-2E9C-101B-9397-08002B2CF9AE}" pid="52" name="NOSE33">
    <vt:lpwstr/>
  </property>
  <property fmtid="{D5CDD505-2E9C-101B-9397-08002B2CF9AE}" pid="53" name="NOSE34">
    <vt:lpwstr/>
  </property>
  <property fmtid="{D5CDD505-2E9C-101B-9397-08002B2CF9AE}" pid="54" name="NOSE35">
    <vt:lpwstr/>
  </property>
  <property fmtid="{D5CDD505-2E9C-101B-9397-08002B2CF9AE}" pid="55" name="NOSE36">
    <vt:lpwstr/>
  </property>
  <property fmtid="{D5CDD505-2E9C-101B-9397-08002B2CF9AE}" pid="56" name="NOSE37">
    <vt:lpwstr/>
  </property>
  <property fmtid="{D5CDD505-2E9C-101B-9397-08002B2CF9AE}" pid="57" name="NOSE38">
    <vt:lpwstr/>
  </property>
  <property fmtid="{D5CDD505-2E9C-101B-9397-08002B2CF9AE}" pid="58" name="NOSE39">
    <vt:lpwstr/>
  </property>
  <property fmtid="{D5CDD505-2E9C-101B-9397-08002B2CF9AE}" pid="59" name="NOSE3ID">
    <vt:lpwstr>13800;3814</vt:lpwstr>
  </property>
  <property fmtid="{D5CDD505-2E9C-101B-9397-08002B2CF9AE}" pid="60" name="PADIDATE">
    <vt:lpwstr>20140610</vt:lpwstr>
  </property>
  <property fmtid="{D5CDD505-2E9C-101B-9397-08002B2CF9AE}" pid="61" name="PADIMAIL">
    <vt:lpwstr>YES</vt:lpwstr>
  </property>
  <property fmtid="{D5CDD505-2E9C-101B-9397-08002B2CF9AE}" pid="62" name="PAGE">
    <vt:lpwstr/>
  </property>
  <property fmtid="{D5CDD505-2E9C-101B-9397-08002B2CF9AE}" pid="63" name="PART">
    <vt:lpwstr/>
  </property>
  <property fmtid="{D5CDD505-2E9C-101B-9397-08002B2CF9AE}" pid="64" name="PROCESS">
    <vt:lpwstr>עפ</vt:lpwstr>
  </property>
  <property fmtid="{D5CDD505-2E9C-101B-9397-08002B2CF9AE}" pid="65" name="PROCNUM">
    <vt:lpwstr>4956</vt:lpwstr>
  </property>
  <property fmtid="{D5CDD505-2E9C-101B-9397-08002B2CF9AE}" pid="66" name="PROCYEAR">
    <vt:lpwstr>13</vt:lpwstr>
  </property>
  <property fmtid="{D5CDD505-2E9C-101B-9397-08002B2CF9AE}" pid="67" name="PSAKDIN">
    <vt:lpwstr>פסק-דין</vt:lpwstr>
  </property>
  <property fmtid="{D5CDD505-2E9C-101B-9397-08002B2CF9AE}" pid="68" name="TYPE">
    <vt:lpwstr>1</vt:lpwstr>
  </property>
  <property fmtid="{D5CDD505-2E9C-101B-9397-08002B2CF9AE}" pid="69" name="TYPE_ABS_DATE">
    <vt:lpwstr>410120140608</vt:lpwstr>
  </property>
  <property fmtid="{D5CDD505-2E9C-101B-9397-08002B2CF9AE}" pid="70" name="TYPE_N_DATE">
    <vt:lpwstr>41020140608</vt:lpwstr>
  </property>
  <property fmtid="{D5CDD505-2E9C-101B-9397-08002B2CF9AE}" pid="71" name="VOLUME">
    <vt:lpwstr/>
  </property>
  <property fmtid="{D5CDD505-2E9C-101B-9397-08002B2CF9AE}" pid="72" name="WORDNUMPAGES">
    <vt:lpwstr>6</vt:lpwstr>
  </property>
</Properties>
</file>