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spacing w:after="60"/>
      </w:pPr>
      <w:r>
        <w:rPr>
          <w:rFonts w:ascii="Times New Roman" w:hAnsi="Times New Roman" w:cs="Times New Roman"/>
          <w:sz w:val="24"/>
          <w:sz-cs w:val="24"/>
        </w:rPr>
        <w:t xml:space="preserve">ע"פ 4998/95</w:t>
      </w:r>
    </w:p>
    <w:p>
      <w:pPr>
        <w:jc w:val="both"/>
        <w:bidi/>
        <w:spacing w:before="120"/>
      </w:pPr>
      <w:r>
        <w:rPr>
          <w:rFonts w:ascii="Times New Roman" w:hAnsi="Times New Roman" w:cs="Times New Roman"/>
          <w:sz w:val="22"/>
          <w:sz-cs w:val="22"/>
          <w:u w:val="single"/>
          <w:color w:val="0000FF"/>
        </w:rPr>
        <w:t xml:space="preserve"> HYPERLINK "http://www.nevo.co.il/case/6002564" ע"פ 5267/95</w:t>
      </w:r>
    </w:p>
    <w:p>
      <w:pPr>
        <w:jc w:val="both"/>
        <w:bidi/>
        <w:spacing w:before="120"/>
      </w:pPr>
      <w:r>
        <w:rPr>
          <w:rFonts w:ascii="Times New Roman" w:hAnsi="Times New Roman" w:cs="Times New Roman"/>
          <w:sz w:val="22"/>
          <w:sz-cs w:val="22"/>
          <w:u w:val="single"/>
          <w:color w:val="0000FF"/>
        </w:rPr>
        <w:t xml:space="preserve"> HYPERLINK "http://www.nevo.co.il/case/6006100" ע"פ 5313/95</w:t>
      </w:r>
    </w:p>
    <w:p>
      <w:pPr>
        <w:jc w:val="both"/>
        <w:bidi/>
        <w:spacing w:before="120"/>
      </w:pPr>
      <w:r>
        <w:rPr>
          <w:rFonts w:ascii="Times New Roman" w:hAnsi="Times New Roman" w:cs="Times New Roman"/>
          <w:sz w:val="22"/>
          <w:sz-cs w:val="22"/>
          <w:u w:val="single"/>
          <w:color w:val="0000FF"/>
        </w:rPr>
        <w:t xml:space="preserve"> HYPERLINK "http://www.nevo.co.il/case/6045416" </w:t>
      </w:r>
      <w:r>
        <w:rPr>
          <w:rFonts w:ascii="Times New Roman" w:hAnsi="Times New Roman" w:cs="Times New Roman"/>
          <w:sz w:val="20"/>
          <w:sz-cs w:val="20"/>
          <w:u w:val="single"/>
          <w:color w:val="0000FF"/>
        </w:rPr>
        <w:t xml:space="preserve">ע"פ 6021/95</w:t>
      </w:r>
    </w:p>
    <w:p>
      <w:pPr>
        <w:jc w:val="both"/>
        <w:bidi/>
        <w:spacing w:before="120"/>
      </w:pPr>
      <w:r>
        <w:rPr>
          <w:rFonts w:ascii="Times New Roman" w:hAnsi="Times New Roman" w:cs="Times New Roman"/>
          <w:sz w:val="22"/>
          <w:sz-cs w:val="22"/>
        </w:rPr>
        <w:t xml:space="preserve">מדינת ישראל    </w:t>
      </w:r>
    </w:p>
    <w:p>
      <w:pPr>
        <w:jc w:val="both"/>
        <w:bidi/>
        <w:spacing w:after="100"/>
      </w:pPr>
      <w:r>
        <w:rPr>
          <w:rFonts w:ascii="Times New Roman" w:hAnsi="Times New Roman" w:cs="Times New Roman"/>
          <w:sz w:val="22"/>
          <w:sz-cs w:val="22"/>
        </w:rPr>
        <w:t xml:space="preserve">נגד</w:t>
      </w:r>
    </w:p>
    <w:p>
      <w:pPr>
        <w:jc w:val="both"/>
        <w:bidi/>
        <w:spacing w:after="100"/>
      </w:pPr>
      <w:r>
        <w:rPr>
          <w:rFonts w:ascii="Times New Roman" w:hAnsi="Times New Roman" w:cs="Times New Roman"/>
          <w:sz w:val="22"/>
          <w:sz-cs w:val="22"/>
        </w:rPr>
        <w:t xml:space="preserve">1. מיגל אוקטביו גומז</w:t>
      </w:r>
      <w:r>
        <w:rPr>
          <w:rFonts w:ascii="Times New Roman" w:hAnsi="Times New Roman" w:cs="Times New Roman"/>
          <w:sz w:val="22"/>
          <w:sz-cs w:val="22"/>
          <w:position w:val="5"/>
        </w:rPr>
        <w:t xml:space="preserve">-</w:t>
      </w:r>
      <w:r>
        <w:rPr>
          <w:rFonts w:ascii="Times New Roman" w:hAnsi="Times New Roman" w:cs="Times New Roman"/>
          <w:sz w:val="22"/>
          <w:sz-cs w:val="22"/>
        </w:rPr>
        <w:t xml:space="preserve">קרדוסו</w:t>
        <w:tab/>
        <w:t xml:space="preserve">   </w:t>
      </w:r>
    </w:p>
    <w:p>
      <w:pPr>
        <w:jc w:val="both"/>
        <w:bidi/>
        <w:spacing w:after="100"/>
      </w:pPr>
      <w:r>
        <w:rPr>
          <w:rFonts w:ascii="Times New Roman" w:hAnsi="Times New Roman" w:cs="Times New Roman"/>
          <w:sz w:val="22"/>
          <w:sz-cs w:val="22"/>
        </w:rPr>
        <w:t xml:space="preserve">2. שלום בן נסים ברזני</w:t>
        <w:tab/>
        <w:t xml:space="preserve"/>
      </w:r>
    </w:p>
    <w:p>
      <w:pPr>
        <w:jc w:val="both"/>
        <w:bidi/>
        <w:spacing w:after="100"/>
      </w:pPr>
      <w:r>
        <w:rPr>
          <w:rFonts w:ascii="Times New Roman" w:hAnsi="Times New Roman" w:cs="Times New Roman"/>
          <w:sz w:val="22"/>
          <w:sz-cs w:val="22"/>
        </w:rPr>
        <w:t xml:space="preserve">3. מאיר בן אהרון זהבי</w:t>
        <w:tab/>
        <w:t xml:space="preserve"/>
        <w:tab/>
        <w:t xml:space="preserve"/>
        <w:tab/>
        <w:t xml:space="preserve"/>
      </w:r>
      <w:r>
        <w:rPr>
          <w:rFonts w:ascii="Times New Roman" w:hAnsi="Times New Roman" w:cs="Times New Roman"/>
          <w:sz w:val="22"/>
          <w:sz-cs w:val="22"/>
          <w:u w:val="single"/>
          <w:color w:val="0000FF"/>
        </w:rPr>
        <w:t xml:space="preserve"> HYPERLINK "http://www.nevo.co.il/case/5988308" </w:t>
      </w:r>
      <w:r>
        <w:rPr>
          <w:rFonts w:ascii="Times New Roman" w:hAnsi="Times New Roman" w:cs="Times New Roman"/>
          <w:sz w:val="24"/>
          <w:sz-cs w:val="24"/>
          <w:u w:val="single"/>
          <w:color w:val="0000FF"/>
        </w:rPr>
        <w:t xml:space="preserve">ע"פ 4998/95</w:t>
        <w:tab/>
        <w:t xml:space="preserve"/>
      </w:r>
      <w:r>
        <w:rPr>
          <w:rFonts w:ascii="Times New Roman" w:hAnsi="Times New Roman" w:cs="Times New Roman"/>
          <w:sz w:val="22"/>
          <w:sz-cs w:val="22"/>
        </w:rPr>
        <w:t xml:space="preserve"/>
      </w:r>
    </w:p>
    <w:p>
      <w:pPr>
        <w:jc w:val="both"/>
        <w:bidi/>
        <w:spacing w:after="100"/>
      </w:pPr>
      <w:r>
        <w:rPr>
          <w:rFonts w:ascii="Times New Roman" w:hAnsi="Times New Roman" w:cs="Times New Roman"/>
          <w:sz w:val="22"/>
          <w:sz-cs w:val="22"/>
        </w:rPr>
        <w:t xml:space="preserve"/>
      </w:r>
    </w:p>
    <w:p>
      <w:pPr>
        <w:jc w:val="both"/>
        <w:bidi/>
        <w:spacing w:after="100"/>
      </w:pPr>
      <w:r>
        <w:rPr>
          <w:rFonts w:ascii="Times New Roman" w:hAnsi="Times New Roman" w:cs="Times New Roman"/>
          <w:sz w:val="22"/>
          <w:sz-cs w:val="22"/>
        </w:rPr>
        <w:t xml:space="preserve">1. שלום בן נסים ברזני</w:t>
        <w:tab/>
        <w:t xml:space="preserve"/>
        <w:tab/>
        <w:t xml:space="preserve"/>
        <w:tab/>
        <w:t xml:space="preserve"/>
      </w:r>
      <w:r>
        <w:rPr>
          <w:rFonts w:ascii="Times New Roman" w:hAnsi="Times New Roman" w:cs="Times New Roman"/>
          <w:sz w:val="22"/>
          <w:sz-cs w:val="22"/>
          <w:u w:val="single"/>
          <w:color w:val="0000FF"/>
        </w:rPr>
        <w:t xml:space="preserve">HYPERLINK "http://www.nevo.co.il/case/6002564"ע"פ 5267/95</w:t>
      </w:r>
    </w:p>
    <w:p>
      <w:pPr>
        <w:jc w:val="both"/>
        <w:bidi/>
        <w:spacing w:after="100"/>
      </w:pPr>
      <w:r>
        <w:rPr>
          <w:rFonts w:ascii="Times New Roman" w:hAnsi="Times New Roman" w:cs="Times New Roman"/>
          <w:sz w:val="22"/>
          <w:sz-cs w:val="22"/>
        </w:rPr>
        <w:t xml:space="preserve">2. מאיר בן אהרון זהבי</w:t>
        <w:tab/>
        <w:t xml:space="preserve"/>
        <w:tab/>
        <w:t xml:space="preserve"/>
        <w:tab/>
        <w:t xml:space="preserve"/>
      </w:r>
      <w:r>
        <w:rPr>
          <w:rFonts w:ascii="Times New Roman" w:hAnsi="Times New Roman" w:cs="Times New Roman"/>
          <w:sz w:val="22"/>
          <w:sz-cs w:val="22"/>
          <w:u w:val="single"/>
          <w:color w:val="0000FF"/>
        </w:rPr>
        <w:t xml:space="preserve">HYPERLINK "http://www.nevo.co.il/case/6006100"ע"פ 5313/95</w:t>
      </w:r>
    </w:p>
    <w:p>
      <w:pPr>
        <w:jc w:val="both"/>
        <w:bidi/>
        <w:spacing w:after="100"/>
      </w:pPr>
      <w:r>
        <w:rPr>
          <w:rFonts w:ascii="Times New Roman" w:hAnsi="Times New Roman" w:cs="Times New Roman"/>
          <w:sz w:val="22"/>
          <w:sz-cs w:val="22"/>
        </w:rPr>
        <w:t xml:space="preserve">3. מיגל אוקטביו גומז</w:t>
      </w:r>
      <w:r>
        <w:rPr>
          <w:rFonts w:ascii="Times New Roman" w:hAnsi="Times New Roman" w:cs="Times New Roman"/>
          <w:sz w:val="22"/>
          <w:sz-cs w:val="22"/>
          <w:position w:val="5"/>
        </w:rPr>
        <w:t xml:space="preserve">-</w:t>
      </w:r>
      <w:r>
        <w:rPr>
          <w:rFonts w:ascii="Times New Roman" w:hAnsi="Times New Roman" w:cs="Times New Roman"/>
          <w:sz w:val="22"/>
          <w:sz-cs w:val="22"/>
        </w:rPr>
        <w:t xml:space="preserve">קרדוסו</w:t>
        <w:tab/>
        <w:t xml:space="preserve"/>
        <w:tab/>
        <w:t xml:space="preserve"/>
        <w:tab/>
        <w:t xml:space="preserve"/>
      </w:r>
      <w:r>
        <w:rPr>
          <w:rFonts w:ascii="Times New Roman" w:hAnsi="Times New Roman" w:cs="Times New Roman"/>
          <w:sz w:val="22"/>
          <w:sz-cs w:val="22"/>
          <w:u w:val="single"/>
          <w:color w:val="0000FF"/>
        </w:rPr>
        <w:t xml:space="preserve">HYPERLINK "http://www.nevo.co.il/case/6045416"ע"פ 6021/95</w:t>
      </w:r>
    </w:p>
    <w:p>
      <w:pPr>
        <w:jc w:val="both"/>
        <w:bidi/>
        <w:spacing w:after="100"/>
      </w:pPr>
      <w:r>
        <w:rPr>
          <w:rFonts w:ascii="Times New Roman" w:hAnsi="Times New Roman" w:cs="Times New Roman"/>
          <w:sz w:val="22"/>
          <w:sz-cs w:val="22"/>
        </w:rPr>
        <w:t xml:space="preserve">נגד</w:t>
      </w:r>
    </w:p>
    <w:p>
      <w:pPr>
        <w:jc w:val="both"/>
        <w:bidi/>
        <w:spacing w:after="100"/>
      </w:pPr>
      <w:r>
        <w:rPr>
          <w:rFonts w:ascii="Times New Roman" w:hAnsi="Times New Roman" w:cs="Times New Roman"/>
          <w:sz w:val="22"/>
          <w:sz-cs w:val="22"/>
        </w:rPr>
        <w:t xml:space="preserve">מדינת ישראל</w:t>
      </w:r>
    </w:p>
    <w:p>
      <w:pPr>
        <w:jc w:val="center"/>
        <w:bidi/>
        <w:spacing w:before="360"/>
      </w:pPr>
      <w:r>
        <w:rPr>
          <w:rFonts w:ascii="Times New Roman" w:hAnsi="Times New Roman" w:cs="Times New Roman"/>
          <w:sz w:val="24"/>
          <w:sz-cs w:val="24"/>
        </w:rPr>
        <w:t xml:space="preserve">בבית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העליון בשבתו כבית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לערעורים פליליים</w:t>
      </w:r>
    </w:p>
    <w:p>
      <w:pPr>
        <w:jc w:val="center"/>
        <w:bidi/>
        <w:spacing w:after="120"/>
      </w:pPr>
      <w:r>
        <w:rPr>
          <w:rFonts w:ascii="Times New Roman" w:hAnsi="Times New Roman" w:cs="Times New Roman"/>
          <w:sz w:val="24"/>
          <w:sz-cs w:val="24"/>
        </w:rPr>
        <w:t xml:space="preserve">[31.7.1997]</w:t>
      </w:r>
    </w:p>
    <w:p>
      <w:pPr>
        <w:jc w:val="center"/>
        <w:bidi/>
        <w:spacing w:after="120"/>
      </w:pPr>
      <w:r>
        <w:rPr>
          <w:rFonts w:ascii="Times New Roman" w:hAnsi="Times New Roman" w:cs="Times New Roman"/>
          <w:sz w:val="24"/>
          <w:sz-cs w:val="24"/>
        </w:rPr>
        <w:t xml:space="preserve">לפני השופטים </w:t>
      </w:r>
      <w:r>
        <w:rPr>
          <w:rFonts w:ascii="Times New Roman" w:hAnsi="Times New Roman" w:cs="Times New Roman"/>
          <w:sz w:val="24"/>
          <w:sz-cs w:val="24"/>
          <w:spacing w:val="20"/>
        </w:rPr>
        <w:t xml:space="preserve">מ' חשין, י' זמיר, י' טירקל</w:t>
      </w:r>
    </w:p>
    <w:p>
      <w:pPr>
        <w:jc w:val="both"/>
        <w:bidi/>
        <w:spacing w:after="120"/>
      </w:pPr>
      <w:r>
        <w:rPr>
          <w:rFonts w:ascii="Times New Roman" w:hAnsi="Times New Roman" w:cs="Times New Roman"/>
          <w:sz w:val="24"/>
          <w:sz-cs w:val="24"/>
          <w:spacing w:val="20"/>
        </w:rPr>
        <w:t xml:space="preserve"/>
      </w:r>
    </w:p>
    <w:p>
      <w:pPr>
        <w:jc w:val="both"/>
        <w:bidi/>
        <w:spacing w:after="120"/>
      </w:pPr>
      <w:r>
        <w:rPr>
          <w:rFonts w:ascii="Times New Roman" w:hAnsi="Times New Roman" w:cs="Times New Roman"/>
          <w:sz w:val="22"/>
          <w:sz-cs w:val="22"/>
        </w:rPr>
        <w:t xml:space="preserve">המערערים הורשעו בעבירות סמים שונות בגין ייבוא כמויות נכבדות של קוקאין לישראל. ההרשעה סמכה עצמה, בחלקיה העיקריים, על עדותו של עד התביעה שהיה שותף למעשי העבירה, אך הסכים לשתף פעולה עם המשטרה. לטענת המערערים, עד התביעה לא היה רק שותף לעבירה, שעדותו דורשת "דבר לחיזוקה", אלא שותף שהוא עד מדינה, שעדותו נצרכת ל"סיוע"; ובהיעדר סיוע לעדותו, יש לזכותם. לחלופין טענו המערערים נגד חומרת העונשים שנגזרו עליהם, והמדינה מצדה ערערה על קולתם</w:t>
      </w:r>
      <w:r>
        <w:rPr>
          <w:rFonts w:ascii="Times New Roman" w:hAnsi="Times New Roman" w:cs="Times New Roman"/>
          <w:sz w:val="24"/>
          <w:sz-cs w:val="24"/>
        </w:rPr>
        <w:t xml:space="preserve">.</w:t>
      </w:r>
    </w:p>
    <w:p>
      <w:pPr>
        <w:jc w:val="both"/>
        <w:bidi/>
      </w:pPr>
      <w:r>
        <w:rPr>
          <w:rFonts w:ascii="Times New Roman" w:hAnsi="Times New Roman" w:cs="Times New Roman"/>
          <w:sz w:val="18"/>
          <w:sz-cs w:val="18"/>
        </w:rPr>
        <w:t xml:space="preserve"/>
      </w:r>
    </w:p>
    <w:p>
      <w:pPr>
        <w:jc w:val="both"/>
        <w:bidi/>
        <w:ind w:right="680"/>
      </w:pPr>
      <w:r>
        <w:rPr>
          <w:rFonts w:ascii="Times New Roman" w:hAnsi="Times New Roman" w:cs="Times New Roman"/>
          <w:sz w:val="18"/>
          <w:sz-cs w:val="18"/>
        </w:rPr>
        <w:t xml:space="preserve">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העליון פסק</w:t>
      </w:r>
      <w:r>
        <w:rPr>
          <w:rFonts w:ascii="Times New Roman" w:hAnsi="Times New Roman" w:cs="Times New Roman"/>
          <w:sz w:val="24"/>
          <w:sz-cs w:val="24"/>
        </w:rPr>
        <w:t xml:space="preserve">:</w:t>
      </w:r>
      <w:r>
        <w:rPr>
          <w:rFonts w:ascii="Times New Roman" w:hAnsi="Times New Roman" w:cs="Times New Roman"/>
          <w:sz w:val="18"/>
          <w:sz-cs w:val="18"/>
        </w:rPr>
        <w:t xml:space="preserve"/>
      </w:r>
    </w:p>
    <w:p>
      <w:pPr>
        <w:jc w:val="both"/>
        <w:bidi/>
        <w:ind w:right="680"/>
      </w:pPr>
      <w:r>
        <w:rPr>
          <w:rFonts w:ascii="Times New Roman" w:hAnsi="Times New Roman" w:cs="Times New Roman"/>
          <w:sz w:val="18"/>
          <w:sz-cs w:val="18"/>
        </w:rPr>
        <w:t xml:space="preserve">א.</w:t>
        <w:tab/>
        <w:t xml:space="preserve">(1)</w:t>
        <w:tab/>
        <w:t xml:space="preserve">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פי סעיף 54א(א) ל</w:t>
      </w:r>
      <w:r>
        <w:rPr>
          <w:rFonts w:ascii="Times New Roman" w:hAnsi="Times New Roman" w:cs="Times New Roman"/>
          <w:sz w:val="18"/>
          <w:sz-cs w:val="18"/>
          <w:u w:val="single"/>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Times New Roman" w:hAnsi="Times New Roman" w:cs="Times New Roman"/>
          <w:sz w:val="18"/>
          <w:sz-cs w:val="18"/>
        </w:rPr>
        <w:t xml:space="preserve"> [נוסח חדש], תשל"א-1971, הרשעה על סמך עדותו היחידה </w:t>
      </w:r>
      <w:r>
        <w:rPr>
          <w:rFonts w:ascii="Times New Roman" w:hAnsi="Times New Roman" w:cs="Times New Roman"/>
          <w:sz w:val="18"/>
          <w:sz-cs w:val="18"/>
          <w:spacing w:val="-8"/>
        </w:rPr>
        <w:t xml:space="preserve">של "עד מדינה" נצרכת לסיוע מתוך חומר הראיות. המבחין </w:t>
      </w:r>
      <w:r>
        <w:rPr>
          <w:rFonts w:ascii="Times New Roman" w:hAnsi="Times New Roman" w:cs="Times New Roman"/>
          <w:sz w:val="18"/>
          <w:sz-cs w:val="18"/>
        </w:rPr>
        <w:t xml:space="preserve">בין שותף</w:t>
      </w:r>
      <w:r>
        <w:rPr>
          <w:rFonts w:ascii="Times New Roman" w:hAnsi="Times New Roman" w:cs="Times New Roman"/>
          <w:sz w:val="18"/>
          <w:sz-cs w:val="18"/>
          <w:spacing w:val="-8"/>
        </w:rPr>
        <w:t xml:space="preserve"> </w:t>
      </w:r>
    </w:p>
    <w:p>
      <w:pPr>
        <w:jc w:val="both"/>
        <w:bidi/>
        <w:ind w:right="680" w:first-line="41"/>
      </w:pPr>
      <w:r>
        <w:rPr>
          <w:rFonts w:ascii="Times New Roman" w:hAnsi="Times New Roman" w:cs="Times New Roman"/>
          <w:sz w:val="18"/>
          <w:sz-cs w:val="18"/>
        </w:rPr>
        <w:t xml:space="preserve"/>
        <w:br w:type="page"/>
        <w:t xml:space="preserve">לעבירה ובין שותף לעבירה שהוא עד מדינה הוא, שהשותף עד המדינה מעיד נגד שותפיו לאחר שניתנה לו או הובטחה לו טובת הנאה (772ז – 773ד).</w:t>
      </w:r>
    </w:p>
    <w:p>
      <w:pPr>
        <w:jc w:val="both"/>
        <w:bidi/>
        <w:ind w:right="680"/>
      </w:pPr>
      <w:r>
        <w:rPr>
          <w:rFonts w:ascii="Times New Roman" w:hAnsi="Times New Roman" w:cs="Times New Roman"/>
          <w:sz w:val="18"/>
          <w:sz-cs w:val="18"/>
        </w:rPr>
        <w:t xml:space="preserve"/>
        <w:tab/>
        <w:t xml:space="preserve">(2)</w:t>
        <w:tab/>
        <w:t xml:space="preserve">הטעם לדרישת ה"סיוע" לעדותו של עד מדינה הוא החשש שטובת ההנאה הניתנת או המובטחת לעד תטה אותו לומר בעדותו דברים שאינם אמת. תכלית ההסדר מתווה את גבולות הדרישה לתמיכת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סיוע בעדותו של עד מדינה</w:t>
      </w:r>
      <w:r>
        <w:rPr>
          <w:rFonts w:ascii="Times New Roman" w:hAnsi="Times New Roman" w:cs="Times New Roman"/>
          <w:sz w:val="24"/>
          <w:sz-cs w:val="24"/>
        </w:rPr>
        <w:t xml:space="preserve">:</w:t>
      </w:r>
      <w:r>
        <w:rPr>
          <w:rFonts w:ascii="Times New Roman" w:hAnsi="Times New Roman" w:cs="Times New Roman"/>
          <w:sz w:val="18"/>
          <w:sz-cs w:val="18"/>
        </w:rPr>
        <w:t xml:space="preserve"> "טובת הנאה" היא דבר המיטיב את מצבו של העד</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השותף, אשר אין העד</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השותף זכאי לו במהלכם הרגיל של הדברים. לשון אחר</w:t>
      </w:r>
      <w:r>
        <w:rPr>
          <w:rFonts w:ascii="Times New Roman" w:hAnsi="Times New Roman" w:cs="Times New Roman"/>
          <w:sz w:val="24"/>
          <w:sz-cs w:val="24"/>
        </w:rPr>
        <w:t xml:space="preserve">:</w:t>
      </w:r>
      <w:r>
        <w:rPr>
          <w:rFonts w:ascii="Times New Roman" w:hAnsi="Times New Roman" w:cs="Times New Roman"/>
          <w:sz w:val="18"/>
          <w:sz-cs w:val="18"/>
        </w:rPr>
        <w:t xml:space="preserve"> "טובת הנאה" הוא דבר הניתן לעד והוא מעבר לזכויותיו, דוגמת הימנעות מהגשת כתב</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אישום, המרת אישום חמור באישום קל יותר או עיכוב הליכים. במקרים רגילים, דבר המגיע לעד</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שותף 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פי זכויותיו אינו בגדר טובת הנאה (775ז – 776ב).</w:t>
      </w:r>
    </w:p>
    <w:p>
      <w:pPr>
        <w:jc w:val="both"/>
        <w:bidi/>
        <w:ind w:right="680"/>
      </w:pPr>
      <w:r>
        <w:rPr>
          <w:rFonts w:ascii="Times New Roman" w:hAnsi="Times New Roman" w:cs="Times New Roman"/>
          <w:sz w:val="18"/>
          <w:sz-cs w:val="18"/>
        </w:rPr>
        <w:t xml:space="preserve"/>
        <w:tab/>
        <w:t xml:space="preserve">(3)</w:t>
        <w:tab/>
        <w:t xml:space="preserve">בנסיבות העניין, כל שאמר חוקר המשטרה לעד התביעה הוא כי דבר שיתוף הפעולה שלו עם המשטרה יימסר לבית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וכי קרוב לוודאי שתהיה לכך השפעה על גזר</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הדין. עד התביעה זכאי היה לכך שהדברים יובאו לידיעת בית</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המשפט שידון בעניינו, ועל</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כן מבחינה אובייקטיבית לא ניתנה ולא הובטחה לו טובת הנאה כלשהי העושה עד</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שותף לעד מדינה (775ב – ד, 776ג – ד).</w:t>
      </w:r>
    </w:p>
    <w:p>
      <w:pPr>
        <w:jc w:val="both"/>
        <w:bidi/>
        <w:ind w:right="680"/>
      </w:pPr>
      <w:r>
        <w:rPr>
          <w:rFonts w:ascii="Times New Roman" w:hAnsi="Times New Roman" w:cs="Times New Roman"/>
          <w:sz w:val="18"/>
          <w:sz-cs w:val="18"/>
        </w:rPr>
        <w:t xml:space="preserve"/>
        <w:tab/>
        <w:t xml:space="preserve">(4)</w:t>
        <w:tab/>
        <w:t xml:space="preserve">לכאורה, החשש מפני שקריו של עד</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שותף מקנן גם כאשר לא ניתנת לו טובת הנאה מבחינה אובייקטיבית, אך הוא סובר כך בטעות. אכן, יש לנטות לדעה כי בבחינתה של "טובת הנאה" יש להעמיד בצד המבחן האובייקטיבי גם מבחן סובייקטיבי, וכי רק בעוברו שני מבחנים אלה גם יחד, לא יהיה דבר הניתן לשותף</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עד בחינת "טובת הנאה". אולם אין צורך להכריע בשאלה זו במקרה דנן, שכן העד הבין שלא יזכה בטובת </w:t>
      </w:r>
      <w:r>
        <w:rPr>
          <w:rFonts w:ascii="Times New Roman" w:hAnsi="Times New Roman" w:cs="Times New Roman"/>
          <w:sz w:val="18"/>
          <w:sz-cs w:val="18"/>
          <w:spacing w:val="-8"/>
        </w:rPr>
        <w:t xml:space="preserve">הנאה תמורת חשיפת האמת (776ו – 777ז).</w:t>
      </w:r>
    </w:p>
    <w:p>
      <w:pPr>
        <w:jc w:val="both"/>
        <w:bidi/>
        <w:ind w:right="680"/>
      </w:pPr>
      <w:r>
        <w:rPr>
          <w:rFonts w:ascii="Times New Roman" w:hAnsi="Times New Roman" w:cs="Times New Roman"/>
          <w:sz w:val="18"/>
          <w:sz-cs w:val="18"/>
        </w:rPr>
        <w:t xml:space="preserve"/>
        <w:tab/>
        <w:t xml:space="preserve">(5)</w:t>
        <w:tab/>
        <w:t xml:space="preserve">המסקנה היא שעד התביעה היה שותף לדבר עבירה אך לא עד מדינה. מכאן שעדותו – אשר נמצאה מהימנה – </w:t>
      </w:r>
      <w:r>
        <w:rPr>
          <w:rFonts w:ascii="Times New Roman" w:hAnsi="Times New Roman" w:cs="Times New Roman"/>
          <w:sz w:val="18"/>
          <w:sz-cs w:val="18"/>
          <w:spacing w:val="-8"/>
        </w:rPr>
        <w:t xml:space="preserve">נדרשה אך ל"חיזוק" ולא ל"סיוע" (777ז – 778ב).</w:t>
      </w:r>
    </w:p>
    <w:p>
      <w:pPr>
        <w:jc w:val="both"/>
        <w:bidi/>
        <w:ind w:left="425" w:right="425" w:first-line="-425"/>
      </w:pPr>
      <w:r>
        <w:rPr>
          <w:rFonts w:ascii="Times New Roman" w:hAnsi="Times New Roman" w:cs="Times New Roman"/>
          <w:sz w:val="18"/>
          <w:sz-cs w:val="18"/>
        </w:rPr>
        <w:t xml:space="preserve">ב.</w:t>
        <w:tab/>
        <w:t xml:space="preserve">אין לקבל את טענת המערער ב</w:t>
      </w:r>
      <w:r>
        <w:rPr>
          <w:rFonts w:ascii="Times New Roman" w:hAnsi="Times New Roman" w:cs="Times New Roman"/>
          <w:sz w:val="18"/>
          <w:sz-cs w:val="18"/>
          <w:u w:val="single"/>
          <w:color w:val="0000FF"/>
        </w:rPr>
        <w:t xml:space="preserve">HYPERLINK "http://www.nevo.co.il/case/6002564"</w:t>
      </w:r>
      <w:r>
        <w:rPr>
          <w:rFonts w:ascii="Times New Roman" w:hAnsi="Times New Roman" w:cs="Times New Roman"/>
          <w:sz w:val="24"/>
          <w:sz-cs w:val="24"/>
          <w:u w:val="single"/>
          <w:color w:val="0000FF"/>
        </w:rPr>
        <w:t xml:space="preserve">ע"פ 5267/95</w:t>
      </w:r>
      <w:r>
        <w:rPr>
          <w:rFonts w:ascii="Times New Roman" w:hAnsi="Times New Roman" w:cs="Times New Roman"/>
          <w:sz w:val="18"/>
          <w:sz-cs w:val="18"/>
        </w:rPr>
        <w:t xml:space="preserve"> המועלית לראשונה בערעור, כי יש לזכותו מאחר שלא הוכח שהסמים אשר יובאו לארץ הכילו קוקאין בריכוז העולה על 0.1%, ריכוז הנדרש לשם הגדרת הסם כ"סם מסוכן". קיימת חזקה</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שבעובדה – חזקה שהיא ילידת השכל הישר ומציאות החיים – כי הסם שיובא מקולומביה, באמצעי מתוחכם של המסה </w:t>
      </w:r>
      <w:r>
        <w:rPr>
          <w:rFonts w:ascii="Times New Roman" w:hAnsi="Times New Roman" w:cs="Times New Roman"/>
          <w:sz w:val="18"/>
          <w:sz-cs w:val="18"/>
          <w:spacing w:val="-4"/>
        </w:rPr>
        <w:t xml:space="preserve">בבקבוקי משקה חריף, היה בריכוז שעשה אותו ראוי למסחר, קרי</w:t>
      </w:r>
      <w:r>
        <w:rPr>
          <w:rFonts w:ascii="Times New Roman" w:hAnsi="Times New Roman" w:cs="Times New Roman"/>
          <w:sz w:val="24"/>
          <w:sz-cs w:val="24"/>
          <w:spacing w:val="-4"/>
        </w:rPr>
        <w:t xml:space="preserve">:</w:t>
      </w:r>
      <w:r>
        <w:rPr>
          <w:rFonts w:ascii="Times New Roman" w:hAnsi="Times New Roman" w:cs="Times New Roman"/>
          <w:sz w:val="18"/>
          <w:sz-cs w:val="18"/>
          <w:spacing w:val="-4"/>
        </w:rPr>
        <w:t xml:space="preserve"> סם מסוכן (781ז – 783א).</w:t>
      </w:r>
      <w:r>
        <w:rPr>
          <w:rFonts w:ascii="Times New Roman" w:hAnsi="Times New Roman" w:cs="Times New Roman"/>
          <w:sz w:val="18"/>
          <w:sz-cs w:val="18"/>
        </w:rPr>
        <w:t xml:space="preserve"/>
      </w:r>
    </w:p>
    <w:p>
      <w:pPr>
        <w:jc w:val="both"/>
        <w:bidi/>
        <w:ind w:right="340"/>
      </w:pPr>
      <w:r>
        <w:rPr>
          <w:rFonts w:ascii="Times New Roman" w:hAnsi="Times New Roman" w:cs="Times New Roman"/>
          <w:sz w:val="18"/>
          <w:sz-cs w:val="18"/>
        </w:rPr>
        <w:t xml:space="preserve">ג.</w:t>
        <w:tab/>
        <w:t xml:space="preserve">יש לקבל את ערעור המדינה על קולת העונש שנגזר לנאשמים. סקירת הפרשיות השונות  נושא המשפט לפרטיהן מלמדת על בנייתה של רשת מתוחכמת שאותה הקימו המערערים, להברחתו של סם הקוקאין ארצה. כמויות הקוקאין שהוברחו היו כמויות עצומות, וכעוצמת הנזק שנגרם ואשר עלול היה להיגרם לכלל ולפרט, כן ראויה שתהיה עוצמת העונש. שניים מהמערערים הורשעו בעבר בחוץ</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לארץ בעבירות סמים ואף רצו עונשי מאסר, והנה חזרו לסורם. אנשים רעים כמערערים מנצלים את תלותם של צרכני סמים אומללים לגריפת כסף</w:t>
      </w:r>
      <w:r>
        <w:rPr>
          <w:rFonts w:ascii="Times New Roman" w:hAnsi="Times New Roman" w:cs="Times New Roman"/>
          <w:sz w:val="18"/>
          <w:sz-cs w:val="18"/>
          <w:position w:val="3"/>
        </w:rPr>
        <w:t xml:space="preserve">-</w:t>
      </w:r>
      <w:r>
        <w:rPr>
          <w:rFonts w:ascii="Times New Roman" w:hAnsi="Times New Roman" w:cs="Times New Roman"/>
          <w:sz w:val="18"/>
          <w:sz-cs w:val="18"/>
        </w:rPr>
        <w:t xml:space="preserve">רע לכיסיהם. מלחמת החורמה בעברייני סמים נמשכת והולכת. המערערים הם עבריינים קשים הסוחרים בסמים קשים, ועבריינים קשים הסוחרים בסמים קשים ראויים לעונש קשה (786ה – 788א).</w:t>
      </w:r>
    </w:p>
    <w:p>
      <w:pPr>
        <w:jc w:val="both"/>
        <w:bidi/>
        <w:ind w:right="567"/>
        <w:spacing w:before="240"/>
      </w:pPr>
      <w:r>
        <w:rPr>
          <w:rFonts w:ascii="Times New Roman" w:hAnsi="Times New Roman" w:cs="Times New Roman"/>
          <w:sz w:val="24"/>
          <w:sz-cs w:val="24"/>
        </w:rPr>
        <w:t xml:space="preserve"/>
        <w:br w:type="page"/>
        <w:t xml:space="preserve">חקיקה ראשית שאוזכרה:</w:t>
      </w:r>
    </w:p>
    <w:p>
      <w:pPr>
        <w:jc w:val="both"/>
        <w:bidi/>
        <w:ind w:right="567"/>
        <w:spacing w:after="6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Times New Roman" w:hAnsi="Times New Roman" w:cs="Times New Roman"/>
          <w:sz w:val="24"/>
          <w:sz-cs w:val="24"/>
        </w:rPr>
        <w:t xml:space="preserve"> [נוסח חדש], תשל"א-1971, </w:t>
      </w:r>
      <w:r>
        <w:rPr>
          <w:rFonts w:ascii="Times New Roman" w:hAnsi="Times New Roman" w:cs="Times New Roman"/>
          <w:sz w:val="24"/>
          <w:sz-cs w:val="24"/>
          <w:u w:val="single"/>
          <w:color w:val="0000FF"/>
        </w:rPr>
        <w:t xml:space="preserve"> HYPERLINK "http://www.nevo.co.il/law/98569/54a.a." סעיף 54א(א).</w:t>
      </w:r>
      <w:r>
        <w:rPr>
          <w:rFonts w:ascii="Times New Roman" w:hAnsi="Times New Roman" w:cs="Times New Roman"/>
          <w:sz w:val="24"/>
          <w:sz-cs w:val="24"/>
        </w:rPr>
        <w:t xml:space="preserve"/>
      </w:r>
    </w:p>
    <w:p>
      <w:pPr>
        <w:jc w:val="both"/>
        <w:bidi/>
        <w:ind w:right="567"/>
        <w:spacing w:after="6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[נוסח משולב], תשמ"ב-1982, </w:t>
      </w:r>
      <w:r>
        <w:rPr>
          <w:rFonts w:ascii="Times New Roman" w:hAnsi="Times New Roman" w:cs="Times New Roman"/>
          <w:sz w:val="24"/>
          <w:sz-cs w:val="24"/>
          <w:u w:val="single"/>
          <w:color w:val="0000FF"/>
        </w:rPr>
        <w:t xml:space="preserve"> HYPERLINK "http://www.nevo.co.il/law/74903/152.b." סעיף 152(ב)</w:t>
      </w:r>
      <w:r>
        <w:rPr>
          <w:rFonts w:ascii="Times New Roman" w:hAnsi="Times New Roman" w:cs="Times New Roman"/>
          <w:sz w:val="24"/>
          <w:sz-cs w:val="24"/>
        </w:rPr>
        <w:t xml:space="preserve">.</w:t>
      </w:r>
    </w:p>
    <w:p>
      <w:pPr>
        <w:jc w:val="both"/>
        <w:bidi/>
        <w:ind w:right="567"/>
        <w:spacing w:after="6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"http://www.nevo.co.il/law/131281" </w:t>
      </w:r>
      <w:r>
        <w:rPr>
          <w:rFonts w:ascii="Times New Roman" w:hAnsi="Times New Roman" w:cs="Times New Roman"/>
          <w:sz w:val="24"/>
          <w:sz-cs w:val="24"/>
          <w:u w:val="single"/>
          <w:color w:val="0000FF"/>
        </w:rPr>
        <w:t xml:space="preserve">פקודת הסמים המסוכנים, 1936</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"http://www.nevo.co.il/law/131281/16.1." סעיף 16(1).</w:t>
      </w:r>
      <w:r>
        <w:rPr>
          <w:rFonts w:ascii="Times New Roman" w:hAnsi="Times New Roman" w:cs="Times New Roman"/>
          <w:sz w:val="24"/>
          <w:sz-cs w:val="24"/>
        </w:rPr>
        <w:t xml:space="preserve"/>
      </w:r>
    </w:p>
    <w:p>
      <w:pPr>
        <w:jc w:val="both"/>
        <w:bidi/>
        <w:ind w:right="567"/>
        <w:spacing w:after="60"/>
      </w:pPr>
      <w:r>
        <w:rPr>
          <w:rFonts w:ascii="Times New Roman" w:hAnsi="Times New Roman" w:cs="Times New Roman"/>
          <w:sz w:val="24"/>
          <w:sz-cs w:val="24"/>
        </w:rPr>
        <w:t xml:space="preserve">–</w:t>
        <w:tab/>
        <w:t xml:space="preserve"/>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[נוסח חדש], תשל"ג-1973, </w:t>
      </w:r>
      <w:r>
        <w:rPr>
          <w:rFonts w:ascii="Times New Roman" w:hAnsi="Times New Roman" w:cs="Times New Roman"/>
          <w:sz w:val="24"/>
          <w:sz-cs w:val="24"/>
          <w:u w:val="single"/>
          <w:color w:val="0000FF"/>
        </w:rPr>
        <w:t xml:space="preserve"> HYPERLINK "http://www.nevo.co.il/law/4216/1" סעיפים 1</w:t>
      </w:r>
      <w:r>
        <w:rPr>
          <w:rFonts w:ascii="Times New Roman" w:hAnsi="Times New Roman" w:cs="Times New Roman"/>
          <w:sz w:val="24"/>
          <w:sz-cs w:val="24"/>
        </w:rPr>
        <w:t xml:space="preserve"> (המונח "סם מסוכן"), </w:t>
      </w:r>
      <w:r>
        <w:rPr>
          <w:rFonts w:ascii="Times New Roman" w:hAnsi="Times New Roman" w:cs="Times New Roman"/>
          <w:sz w:val="24"/>
          <w:sz-cs w:val="24"/>
          <w:u w:val="single"/>
          <w:color w:val="0000FF"/>
        </w:rPr>
        <w:t xml:space="preserve"> HYPERLINK "http://www.nevo.co.il/law/4216/19a" 19א</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"http://www.nevo.co.il/law/4216/32" 32</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"http://www.nevo.co.il/law/4216/cC" פרק ג'</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"http://www.nevo.co.il/law/4216/cCbS" סימן ב'</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"http://www.nevo.co.il/law/4216/1T" התוספת הראשונה</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"http://www.nevo.co.il/law/4216/1TbP" חלק ב'</w:t>
      </w:r>
      <w:r>
        <w:rPr>
          <w:rFonts w:ascii="Times New Roman" w:hAnsi="Times New Roman" w:cs="Times New Roman"/>
          <w:sz w:val="24"/>
          <w:sz-cs w:val="24"/>
        </w:rPr>
        <w:t xml:space="preserve">, </w:t>
      </w:r>
      <w:r>
        <w:rPr>
          <w:rFonts w:ascii="Times New Roman" w:hAnsi="Times New Roman" w:cs="Times New Roman"/>
          <w:sz w:val="24"/>
          <w:sz-cs w:val="24"/>
          <w:u w:val="single"/>
          <w:color w:val="0000FF"/>
        </w:rPr>
        <w:t xml:space="preserve"> HYPERLINK "http://www.nevo.co.il/law/4216/1TbPaS" סימן א'</w:t>
      </w:r>
      <w:r>
        <w:rPr>
          <w:rFonts w:ascii="Times New Roman" w:hAnsi="Times New Roman" w:cs="Times New Roman"/>
          <w:sz w:val="24"/>
          <w:sz-cs w:val="24"/>
        </w:rPr>
        <w:t xml:space="preserve">,</w:t>
        <w:br/>
        <w:t xml:space="preserve"/>
      </w:r>
      <w:r>
        <w:rPr>
          <w:rFonts w:ascii="Times New Roman" w:hAnsi="Times New Roman" w:cs="Times New Roman"/>
          <w:sz w:val="24"/>
          <w:sz-cs w:val="24"/>
          <w:u w:val="single"/>
          <w:color w:val="0000FF"/>
        </w:rPr>
        <w:t xml:space="preserve"> HYPERLINK "http://www.nevo.co.il/law/4216/1T19" פריט 19.</w:t>
      </w:r>
      <w:r>
        <w:rPr>
          <w:rFonts w:ascii="Times New Roman" w:hAnsi="Times New Roman" w:cs="Times New Roman"/>
          <w:sz w:val="24"/>
          <w:sz-cs w:val="24"/>
        </w:rPr>
        <w:t xml:space="preserve"/>
      </w:r>
    </w:p>
    <w:p>
      <w:pPr>
        <w:jc w:val="both"/>
        <w:bidi/>
        <w:ind w:right="567"/>
        <w:spacing w:after="60"/>
      </w:pPr>
      <w:r>
        <w:rPr>
          <w:rFonts w:ascii="Times New Roman" w:hAnsi="Times New Roman" w:cs="Times New Roman"/>
          <w:sz w:val="24"/>
          <w:sz-cs w:val="24"/>
        </w:rPr>
        <w:t xml:space="preserve">–</w:t>
        <w:tab/>
        <w:t xml:space="preserve">חוק לתיקון </w:t>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תשל"ט-1979.</w:t>
      </w:r>
    </w:p>
    <w:p>
      <w:pPr>
        <w:jc w:val="both"/>
        <w:bidi/>
        <w:ind w:right="567"/>
        <w:spacing w:after="60"/>
      </w:pPr>
      <w:r>
        <w:rPr>
          <w:rFonts w:ascii="Times New Roman" w:hAnsi="Times New Roman" w:cs="Times New Roman"/>
          <w:sz w:val="24"/>
          <w:sz-cs w:val="24"/>
        </w:rPr>
        <w:t xml:space="preserve">–</w:t>
        <w:tab/>
        <w:t xml:space="preserve">חוק לתיקון </w:t>
      </w:r>
      <w:r>
        <w:rPr>
          <w:rFonts w:ascii="Times New Roman" w:hAnsi="Times New Roman" w:cs="Times New Roman"/>
          <w:sz w:val="24"/>
          <w:sz-cs w:val="24"/>
          <w:u w:val="single"/>
          <w:color w:val="0000FF"/>
        </w:rPr>
        <w:t xml:space="preserve"> HYPERLINK "http://www.nevo.co.il/law/4216" פקודת הסמים המסוכנים</w:t>
      </w:r>
      <w:r>
        <w:rPr>
          <w:rFonts w:ascii="Times New Roman" w:hAnsi="Times New Roman" w:cs="Times New Roman"/>
          <w:sz w:val="24"/>
          <w:sz-cs w:val="24"/>
        </w:rPr>
        <w:t xml:space="preserve"> (מס' 3), תשמ"ט-1989, סעיף 6.</w:t>
      </w:r>
    </w:p>
    <w:p>
      <w:pPr>
        <w:jc w:val="both"/>
        <w:bidi/>
        <w:ind w:right="567"/>
        <w:spacing w:before="240"/>
      </w:pPr>
      <w:r>
        <w:rPr>
          <w:rFonts w:ascii="Times New Roman" w:hAnsi="Times New Roman" w:cs="Times New Roman"/>
          <w:sz w:val="24"/>
          <w:sz-cs w:val="24"/>
        </w:rPr>
        <w:t xml:space="preserve">פסקי</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דין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העליון שאוזכרו:</w:t>
      </w:r>
    </w:p>
    <w:p>
      <w:pPr>
        <w:jc w:val="both"/>
        <w:bidi/>
        <w:ind w:right="567"/>
        <w:spacing w:after="60"/>
      </w:pPr>
      <w:r>
        <w:rPr>
          <w:rFonts w:ascii="Times New Roman" w:hAnsi="Times New Roman" w:cs="Times New Roman"/>
          <w:sz w:val="24"/>
          <w:sz-cs w:val="24"/>
        </w:rPr>
        <w:t xml:space="preserve">[1]</w:t>
        <w:tab/>
        <w:t xml:space="preserve"/>
      </w:r>
      <w:r>
        <w:rPr>
          <w:rFonts w:ascii="Times New Roman" w:hAnsi="Times New Roman" w:cs="Times New Roman"/>
          <w:sz w:val="24"/>
          <w:sz-cs w:val="24"/>
          <w:u w:val="single"/>
          <w:color w:val="0000FF"/>
        </w:rPr>
        <w:t xml:space="preserve">HYPERLINK "http://www.nevo.co.il/case/17924951"</w:t>
      </w:r>
      <w:r>
        <w:rPr>
          <w:rFonts w:ascii="Times New Roman" w:hAnsi="Times New Roman" w:cs="Times New Roman"/>
          <w:sz w:val="24"/>
          <w:sz-cs w:val="24"/>
          <w:u w:val="single"/>
          <w:color w:val="0000FF"/>
        </w:rPr>
        <w:t xml:space="preserve">ע"פ 4938/94, 5036 שמרלינג ואח' נ' מדינת ישראל, פ"ד נ</w:t>
      </w:r>
      <w:r>
        <w:rPr>
          <w:rFonts w:ascii="Times New Roman" w:hAnsi="Times New Roman" w:cs="Times New Roman"/>
          <w:sz w:val="24"/>
          <w:sz-cs w:val="24"/>
        </w:rPr>
        <w:t xml:space="preserve">(5) 181.</w:t>
      </w:r>
    </w:p>
    <w:p>
      <w:pPr>
        <w:jc w:val="both"/>
        <w:bidi/>
        <w:ind w:right="567"/>
        <w:spacing w:after="60"/>
      </w:pPr>
      <w:r>
        <w:rPr>
          <w:rFonts w:ascii="Times New Roman" w:hAnsi="Times New Roman" w:cs="Times New Roman"/>
          <w:sz w:val="24"/>
          <w:sz-cs w:val="24"/>
        </w:rPr>
        <w:t xml:space="preserve">[2]</w:t>
        <w:tab/>
        <w:t xml:space="preserve"/>
      </w:r>
      <w:r>
        <w:rPr>
          <w:rFonts w:ascii="Times New Roman" w:hAnsi="Times New Roman" w:cs="Times New Roman"/>
          <w:sz w:val="24"/>
          <w:sz-cs w:val="24"/>
          <w:u w:val="single"/>
          <w:color w:val="0000FF"/>
        </w:rPr>
        <w:t xml:space="preserve">HYPERLINK "http://www.nevo.co.il/case/17917307"</w:t>
      </w:r>
      <w:r>
        <w:rPr>
          <w:rFonts w:ascii="Times New Roman" w:hAnsi="Times New Roman" w:cs="Times New Roman"/>
          <w:sz w:val="24"/>
          <w:sz-cs w:val="24"/>
          <w:u w:val="single"/>
          <w:color w:val="0000FF"/>
        </w:rPr>
        <w:t xml:space="preserve">ע"פ 2780/90</w:t>
      </w:r>
      <w:r>
        <w:rPr>
          <w:rFonts w:ascii="Times New Roman" w:hAnsi="Times New Roman" w:cs="Times New Roman"/>
          <w:sz w:val="24"/>
          <w:sz-cs w:val="24"/>
        </w:rPr>
        <w:t xml:space="preserve"> קצירו נ' מדינת ישראל (לא פורסם).</w:t>
      </w:r>
    </w:p>
    <w:p>
      <w:pPr>
        <w:jc w:val="both"/>
        <w:bidi/>
        <w:ind w:right="567"/>
        <w:spacing w:after="60"/>
      </w:pPr>
      <w:r>
        <w:rPr>
          <w:rFonts w:ascii="Times New Roman" w:hAnsi="Times New Roman" w:cs="Times New Roman"/>
          <w:sz w:val="24"/>
          <w:sz-cs w:val="24"/>
        </w:rPr>
        <w:t xml:space="preserve">[3]</w:t>
        <w:tab/>
        <w:t xml:space="preserve"/>
      </w:r>
      <w:r>
        <w:rPr>
          <w:rFonts w:ascii="Times New Roman" w:hAnsi="Times New Roman" w:cs="Times New Roman"/>
          <w:sz w:val="24"/>
          <w:sz-cs w:val="24"/>
          <w:u w:val="single"/>
          <w:color w:val="0000FF"/>
        </w:rPr>
        <w:t xml:space="preserve">HYPERLINK "http://www.nevo.co.il/case/17942831"</w:t>
      </w:r>
      <w:r>
        <w:rPr>
          <w:rFonts w:ascii="Times New Roman" w:hAnsi="Times New Roman" w:cs="Times New Roman"/>
          <w:sz w:val="24"/>
          <w:sz-cs w:val="24"/>
          <w:u w:val="single"/>
          <w:color w:val="0000FF"/>
        </w:rPr>
        <w:t xml:space="preserve">ע"פ 840/79, 854 גבריאלי ואח' נ' מדינת ישראל, פ"ד לה</w:t>
      </w:r>
      <w:r>
        <w:rPr>
          <w:rFonts w:ascii="Times New Roman" w:hAnsi="Times New Roman" w:cs="Times New Roman"/>
          <w:sz w:val="24"/>
          <w:sz-cs w:val="24"/>
        </w:rPr>
        <w:t xml:space="preserve">(2) 371.</w:t>
      </w:r>
    </w:p>
    <w:p>
      <w:pPr>
        <w:jc w:val="both"/>
        <w:bidi/>
        <w:ind w:right="567"/>
        <w:spacing w:after="60"/>
      </w:pPr>
      <w:r>
        <w:rPr>
          <w:rFonts w:ascii="Times New Roman" w:hAnsi="Times New Roman" w:cs="Times New Roman"/>
          <w:sz w:val="24"/>
          <w:sz-cs w:val="24"/>
        </w:rPr>
        <w:t xml:space="preserve">[4]</w:t>
        <w:tab/>
        <w:t xml:space="preserve"/>
      </w:r>
      <w:r>
        <w:rPr>
          <w:rFonts w:ascii="Times New Roman" w:hAnsi="Times New Roman" w:cs="Times New Roman"/>
          <w:sz w:val="24"/>
          <w:sz-cs w:val="24"/>
          <w:u w:val="single"/>
          <w:color w:val="0000FF"/>
        </w:rPr>
        <w:t xml:space="preserve">HYPERLINK "http://www.nevo.co.il/case/17915888"</w:t>
      </w:r>
      <w:r>
        <w:rPr>
          <w:rFonts w:ascii="Times New Roman" w:hAnsi="Times New Roman" w:cs="Times New Roman"/>
          <w:sz w:val="24"/>
          <w:sz-cs w:val="24"/>
          <w:u w:val="single"/>
          <w:color w:val="0000FF"/>
        </w:rPr>
        <w:t xml:space="preserve">ע"פ 242/85 חזן ואח' נ' מדינת ישראל, פ"ד מא</w:t>
      </w:r>
      <w:r>
        <w:rPr>
          <w:rFonts w:ascii="Times New Roman" w:hAnsi="Times New Roman" w:cs="Times New Roman"/>
          <w:sz w:val="24"/>
          <w:sz-cs w:val="24"/>
        </w:rPr>
        <w:t xml:space="preserve">(1) 512.</w:t>
      </w:r>
    </w:p>
    <w:p>
      <w:pPr>
        <w:jc w:val="both"/>
        <w:bidi/>
        <w:ind w:right="567"/>
        <w:spacing w:after="60"/>
      </w:pPr>
      <w:r>
        <w:rPr>
          <w:rFonts w:ascii="Times New Roman" w:hAnsi="Times New Roman" w:cs="Times New Roman"/>
          <w:sz w:val="24"/>
          <w:sz-cs w:val="24"/>
        </w:rPr>
        <w:t xml:space="preserve">[5]</w:t>
        <w:tab/>
        <w:t xml:space="preserve"/>
      </w:r>
      <w:r>
        <w:rPr>
          <w:rFonts w:ascii="Times New Roman" w:hAnsi="Times New Roman" w:cs="Times New Roman"/>
          <w:sz w:val="24"/>
          <w:sz-cs w:val="24"/>
          <w:u w:val="single"/>
          <w:color w:val="0000FF"/>
        </w:rPr>
        <w:t xml:space="preserve">HYPERLINK "http://www.nevo.co.il/case/17937011"</w:t>
      </w:r>
      <w:r>
        <w:rPr>
          <w:rFonts w:ascii="Times New Roman" w:hAnsi="Times New Roman" w:cs="Times New Roman"/>
          <w:sz w:val="24"/>
          <w:sz-cs w:val="24"/>
          <w:u w:val="single"/>
          <w:color w:val="0000FF"/>
        </w:rPr>
        <w:t xml:space="preserve">ב"ש 519/82 קדמי נ' מדינת ישראל, פ"ד לו</w:t>
      </w:r>
      <w:r>
        <w:rPr>
          <w:rFonts w:ascii="Times New Roman" w:hAnsi="Times New Roman" w:cs="Times New Roman"/>
          <w:sz w:val="24"/>
          <w:sz-cs w:val="24"/>
        </w:rPr>
        <w:t xml:space="preserve">(3) 218.</w:t>
      </w:r>
    </w:p>
    <w:p>
      <w:pPr>
        <w:jc w:val="both"/>
        <w:bidi/>
        <w:ind w:right="567"/>
        <w:spacing w:after="60"/>
      </w:pPr>
      <w:r>
        <w:rPr>
          <w:rFonts w:ascii="Times New Roman" w:hAnsi="Times New Roman" w:cs="Times New Roman"/>
          <w:sz w:val="24"/>
          <w:sz-cs w:val="24"/>
        </w:rPr>
        <w:t xml:space="preserve">[6]</w:t>
        <w:tab/>
        <w:t xml:space="preserve"/>
      </w:r>
      <w:r>
        <w:rPr>
          <w:rFonts w:ascii="Times New Roman" w:hAnsi="Times New Roman" w:cs="Times New Roman"/>
          <w:sz w:val="24"/>
          <w:sz-cs w:val="24"/>
          <w:u w:val="single"/>
          <w:color w:val="0000FF"/>
        </w:rPr>
        <w:t xml:space="preserve">HYPERLINK "http://www.nevo.co.il/case/17921630"</w:t>
      </w:r>
      <w:r>
        <w:rPr>
          <w:rFonts w:ascii="Times New Roman" w:hAnsi="Times New Roman" w:cs="Times New Roman"/>
          <w:sz w:val="24"/>
          <w:sz-cs w:val="24"/>
          <w:u w:val="single"/>
          <w:color w:val="0000FF"/>
        </w:rPr>
        <w:t xml:space="preserve">ע"פ 3974/92 אזולאי ואח' נ' מדינת ישראל, פ"ד מז</w:t>
      </w:r>
      <w:r>
        <w:rPr>
          <w:rFonts w:ascii="Times New Roman" w:hAnsi="Times New Roman" w:cs="Times New Roman"/>
          <w:sz w:val="24"/>
          <w:sz-cs w:val="24"/>
        </w:rPr>
        <w:t xml:space="preserve">(2) 565.</w:t>
      </w:r>
    </w:p>
    <w:p>
      <w:pPr>
        <w:jc w:val="both"/>
        <w:bidi/>
        <w:ind w:right="567"/>
        <w:spacing w:after="60"/>
      </w:pPr>
      <w:r>
        <w:rPr>
          <w:rFonts w:ascii="Times New Roman" w:hAnsi="Times New Roman" w:cs="Times New Roman"/>
          <w:sz w:val="24"/>
          <w:sz-cs w:val="24"/>
        </w:rPr>
        <w:t xml:space="preserve">[7]</w:t>
        <w:tab/>
        <w:t xml:space="preserve"/>
      </w:r>
      <w:r>
        <w:rPr>
          <w:rFonts w:ascii="Times New Roman" w:hAnsi="Times New Roman" w:cs="Times New Roman"/>
          <w:sz w:val="24"/>
          <w:sz-cs w:val="24"/>
          <w:u w:val="single"/>
          <w:color w:val="0000FF"/>
        </w:rPr>
        <w:t xml:space="preserve">HYPERLINK "http://www.nevo.co.il/case/6051850"</w:t>
      </w:r>
      <w:r>
        <w:rPr>
          <w:rFonts w:ascii="Times New Roman" w:hAnsi="Times New Roman" w:cs="Times New Roman"/>
          <w:sz w:val="24"/>
          <w:sz-cs w:val="24"/>
          <w:u w:val="single"/>
          <w:color w:val="0000FF"/>
        </w:rPr>
        <w:t xml:space="preserve">ע"פ 6147/92 מדינת ישראל נ' כהן, פ"ד מח</w:t>
      </w:r>
      <w:r>
        <w:rPr>
          <w:rFonts w:ascii="Times New Roman" w:hAnsi="Times New Roman" w:cs="Times New Roman"/>
          <w:sz w:val="24"/>
          <w:sz-cs w:val="24"/>
        </w:rPr>
        <w:t xml:space="preserve">(1) 62.</w:t>
      </w:r>
    </w:p>
    <w:p>
      <w:pPr>
        <w:jc w:val="both"/>
        <w:bidi/>
        <w:ind w:right="567"/>
        <w:spacing w:after="60"/>
      </w:pPr>
      <w:r>
        <w:rPr>
          <w:rFonts w:ascii="Times New Roman" w:hAnsi="Times New Roman" w:cs="Times New Roman"/>
          <w:sz w:val="24"/>
          <w:sz-cs w:val="24"/>
        </w:rPr>
        <w:t xml:space="preserve">[8]</w:t>
        <w:tab/>
        <w:t xml:space="preserve"/>
      </w:r>
      <w:r>
        <w:rPr>
          <w:rFonts w:ascii="Times New Roman" w:hAnsi="Times New Roman" w:cs="Times New Roman"/>
          <w:sz w:val="24"/>
          <w:sz-cs w:val="24"/>
          <w:u w:val="single"/>
          <w:color w:val="0000FF"/>
        </w:rPr>
        <w:t xml:space="preserve">HYPERLINK "http://www.nevo.co.il/case/17939812"ע"פ 575/88 עודה נ' מדינת ישראל, פ"ד מב</w:t>
      </w:r>
      <w:r>
        <w:rPr>
          <w:rFonts w:ascii="Times New Roman" w:hAnsi="Times New Roman" w:cs="Times New Roman"/>
          <w:sz w:val="24"/>
          <w:sz-cs w:val="24"/>
        </w:rPr>
        <w:t xml:space="preserve">(4) 242. </w:t>
      </w:r>
    </w:p>
    <w:p>
      <w:pPr>
        <w:jc w:val="both"/>
        <w:bidi/>
        <w:spacing w:before="280" w:after="220"/>
      </w:pPr>
      <w:r>
        <w:rPr>
          <w:rFonts w:ascii="Times New Roman" w:hAnsi="Times New Roman" w:cs="Times New Roman"/>
          <w:sz w:val="24"/>
          <w:sz-cs w:val="24"/>
        </w:rPr>
        <w:t xml:space="preserve">ערעורים על 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המשפט המחוזי בתל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אביב</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יפו מיום 12.7.1995 בתפ"ח 244/94 שניתן 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ידי השופט ח' אדר. הערעור ב</w:t>
      </w:r>
      <w:r>
        <w:rPr>
          <w:rFonts w:ascii="Times New Roman" w:hAnsi="Times New Roman" w:cs="Times New Roman"/>
          <w:sz w:val="24"/>
          <w:sz-cs w:val="24"/>
          <w:u w:val="single"/>
          <w:color w:val="0000FF"/>
        </w:rPr>
        <w:t xml:space="preserve">HYPERLINK "http://www.nevo.co.il/case/5988308"ע"פ 4998/95</w:t>
      </w:r>
      <w:r>
        <w:rPr>
          <w:rFonts w:ascii="Times New Roman" w:hAnsi="Times New Roman" w:cs="Times New Roman"/>
          <w:sz w:val="24"/>
          <w:sz-cs w:val="24"/>
        </w:rPr>
        <w:t xml:space="preserve"> נתקבל. הערעורים ב</w:t>
      </w:r>
      <w:r>
        <w:rPr>
          <w:rFonts w:ascii="Times New Roman" w:hAnsi="Times New Roman" w:cs="Times New Roman"/>
          <w:sz w:val="24"/>
          <w:sz-cs w:val="24"/>
          <w:u w:val="single"/>
          <w:color w:val="0000FF"/>
        </w:rPr>
        <w:t xml:space="preserve">HYPERLINK "http://www.nevo.co.il/case/6045416"ע"פ 6021/95</w:t>
      </w:r>
      <w:r>
        <w:rPr>
          <w:rFonts w:ascii="Times New Roman" w:hAnsi="Times New Roman" w:cs="Times New Roman"/>
          <w:sz w:val="24"/>
          <w:sz-cs w:val="24"/>
        </w:rPr>
        <w:t xml:space="preserve">, 5267/95, 5313/95 נדחו.</w:t>
      </w:r>
    </w:p>
    <w:p>
      <w:pPr>
        <w:jc w:val="both"/>
        <w:bidi/>
        <w:ind w:left="284" w:right="284" w:first-line="-284"/>
        <w:spacing w:before="60"/>
      </w:pPr>
      <w:r>
        <w:rPr>
          <w:rFonts w:ascii="Times New Roman" w:hAnsi="Times New Roman" w:cs="Times New Roman"/>
          <w:sz w:val="24"/>
          <w:sz-cs w:val="24"/>
        </w:rPr>
        <w:t xml:space="preserve">יהודית לייבה, סגנית בכירה לפרקליטת מחוז תל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אביב (פלילי) – בשם המערערת ב</w:t>
      </w:r>
      <w:r>
        <w:rPr>
          <w:rFonts w:ascii="Times New Roman" w:hAnsi="Times New Roman" w:cs="Times New Roman"/>
          <w:sz w:val="24"/>
          <w:sz-cs w:val="24"/>
          <w:u w:val="single"/>
          <w:color w:val="0000FF"/>
        </w:rPr>
        <w:t xml:space="preserve">HYPERLINK "http://www.nevo.co.il/case/5988308"ע"פ 4998/95</w:t>
      </w:r>
      <w:r>
        <w:rPr>
          <w:rFonts w:ascii="Times New Roman" w:hAnsi="Times New Roman" w:cs="Times New Roman"/>
          <w:sz w:val="24"/>
          <w:sz-cs w:val="24"/>
        </w:rPr>
        <w:t xml:space="preserve"> (המשיבה ב</w:t>
      </w:r>
      <w:r>
        <w:rPr>
          <w:rFonts w:ascii="Times New Roman" w:hAnsi="Times New Roman" w:cs="Times New Roman"/>
          <w:sz w:val="24"/>
          <w:sz-cs w:val="24"/>
          <w:u w:val="single"/>
          <w:color w:val="0000FF"/>
        </w:rPr>
        <w:t xml:space="preserve">HYPERLINK "http://www.nevo.co.il/case/6002564"ע"פ 5267/95</w:t>
      </w:r>
      <w:r>
        <w:rPr>
          <w:rFonts w:ascii="Times New Roman" w:hAnsi="Times New Roman" w:cs="Times New Roman"/>
          <w:sz w:val="24"/>
          <w:sz-cs w:val="24"/>
        </w:rPr>
        <w:t xml:space="preserve">, 5313, 6021);</w:t>
      </w:r>
    </w:p>
    <w:p>
      <w:pPr>
        <w:jc w:val="both"/>
        <w:bidi/>
        <w:spacing w:before="60" w:after="100"/>
      </w:pPr>
      <w:r>
        <w:rPr>
          <w:rFonts w:ascii="Times New Roman" w:hAnsi="Times New Roman" w:cs="Times New Roman"/>
          <w:sz w:val="24"/>
          <w:sz-cs w:val="24"/>
        </w:rPr>
        <w:t xml:space="preserve">יעקב לוי – בשם המשיב 1 ב</w:t>
      </w:r>
      <w:r>
        <w:rPr>
          <w:rFonts w:ascii="Times New Roman" w:hAnsi="Times New Roman" w:cs="Times New Roman"/>
          <w:sz w:val="24"/>
          <w:sz-cs w:val="24"/>
          <w:u w:val="single"/>
          <w:color w:val="0000FF"/>
        </w:rPr>
        <w:t xml:space="preserve">HYPERLINK "http://www.nevo.co.il/case/5988308"ע"פ 4998/95</w:t>
      </w:r>
      <w:r>
        <w:rPr>
          <w:rFonts w:ascii="Times New Roman" w:hAnsi="Times New Roman" w:cs="Times New Roman"/>
          <w:sz w:val="24"/>
          <w:sz-cs w:val="24"/>
        </w:rPr>
        <w:t xml:space="preserve"> (המערער ב</w:t>
      </w:r>
      <w:r>
        <w:rPr>
          <w:rFonts w:ascii="Times New Roman" w:hAnsi="Times New Roman" w:cs="Times New Roman"/>
          <w:sz w:val="24"/>
          <w:sz-cs w:val="24"/>
          <w:u w:val="single"/>
          <w:color w:val="0000FF"/>
        </w:rPr>
        <w:t xml:space="preserve">HYPERLINK "http://www.nevo.co.il/case/6045416"ע"פ 6021/95</w:t>
      </w:r>
      <w:r>
        <w:rPr>
          <w:rFonts w:ascii="Times New Roman" w:hAnsi="Times New Roman" w:cs="Times New Roman"/>
          <w:sz w:val="24"/>
          <w:sz-cs w:val="24"/>
        </w:rPr>
        <w:t xml:space="preserve">);</w:t>
      </w:r>
    </w:p>
    <w:p>
      <w:pPr>
        <w:jc w:val="both"/>
        <w:bidi/>
        <w:spacing w:after="100"/>
      </w:pPr>
      <w:r>
        <w:rPr>
          <w:rFonts w:ascii="Times New Roman" w:hAnsi="Times New Roman" w:cs="Times New Roman"/>
          <w:sz w:val="24"/>
          <w:sz-cs w:val="24"/>
        </w:rPr>
        <w:t xml:space="preserve">דן כרמון – בשם המשיב 2 ב</w:t>
      </w:r>
      <w:r>
        <w:rPr>
          <w:rFonts w:ascii="Times New Roman" w:hAnsi="Times New Roman" w:cs="Times New Roman"/>
          <w:sz w:val="24"/>
          <w:sz-cs w:val="24"/>
          <w:u w:val="single"/>
          <w:color w:val="0000FF"/>
        </w:rPr>
        <w:t xml:space="preserve">HYPERLINK "http://www.nevo.co.il/case/5988308"</w:t>
      </w:r>
      <w:r>
        <w:rPr>
          <w:rFonts w:ascii="Times New Roman" w:hAnsi="Times New Roman" w:cs="Times New Roman"/>
          <w:sz w:val="24"/>
          <w:sz-cs w:val="24"/>
          <w:u w:val="single"/>
          <w:color w:val="0000FF"/>
        </w:rPr>
        <w:t xml:space="preserve">ע"פ 4998/95</w:t>
      </w:r>
      <w:r>
        <w:rPr>
          <w:rFonts w:ascii="Times New Roman" w:hAnsi="Times New Roman" w:cs="Times New Roman"/>
          <w:sz w:val="24"/>
          <w:sz-cs w:val="24"/>
        </w:rPr>
        <w:t xml:space="preserve"> (המערער ב</w:t>
      </w:r>
      <w:r>
        <w:rPr>
          <w:rFonts w:ascii="Times New Roman" w:hAnsi="Times New Roman" w:cs="Times New Roman"/>
          <w:sz w:val="24"/>
          <w:sz-cs w:val="24"/>
          <w:u w:val="single"/>
          <w:color w:val="0000FF"/>
        </w:rPr>
        <w:t xml:space="preserve">HYPERLINK "http://www.nevo.co.il/case/6002564"</w:t>
      </w:r>
      <w:r>
        <w:rPr>
          <w:rFonts w:ascii="Times New Roman" w:hAnsi="Times New Roman" w:cs="Times New Roman"/>
          <w:sz w:val="24"/>
          <w:sz-cs w:val="24"/>
          <w:u w:val="single"/>
          <w:color w:val="0000FF"/>
        </w:rPr>
        <w:t xml:space="preserve">ע"פ 5267/95</w:t>
      </w:r>
      <w:r>
        <w:rPr>
          <w:rFonts w:ascii="Times New Roman" w:hAnsi="Times New Roman" w:cs="Times New Roman"/>
          <w:sz w:val="24"/>
          <w:sz-cs w:val="24"/>
        </w:rPr>
        <w:t xml:space="preserve">);</w:t>
      </w:r>
    </w:p>
    <w:p>
      <w:pPr>
        <w:jc w:val="both"/>
        <w:bidi/>
        <w:spacing w:after="100"/>
      </w:pPr>
      <w:r>
        <w:rPr>
          <w:rFonts w:ascii="Times New Roman" w:hAnsi="Times New Roman" w:cs="Times New Roman"/>
          <w:sz w:val="24"/>
          <w:sz-cs w:val="24"/>
        </w:rPr>
        <w:t xml:space="preserve">דרור מקרין – בשם המשיב 3 ב</w:t>
      </w:r>
      <w:r>
        <w:rPr>
          <w:rFonts w:ascii="Times New Roman" w:hAnsi="Times New Roman" w:cs="Times New Roman"/>
          <w:sz w:val="24"/>
          <w:sz-cs w:val="24"/>
          <w:u w:val="single"/>
          <w:color w:val="0000FF"/>
        </w:rPr>
        <w:t xml:space="preserve">HYPERLINK "http://www.nevo.co.il/case/5988308"ע"פ 4998/95</w:t>
      </w:r>
      <w:r>
        <w:rPr>
          <w:rFonts w:ascii="Times New Roman" w:hAnsi="Times New Roman" w:cs="Times New Roman"/>
          <w:sz w:val="24"/>
          <w:sz-cs w:val="24"/>
        </w:rPr>
        <w:t xml:space="preserve"> (המערער ב</w:t>
      </w:r>
      <w:r>
        <w:rPr>
          <w:rFonts w:ascii="Times New Roman" w:hAnsi="Times New Roman" w:cs="Times New Roman"/>
          <w:sz w:val="24"/>
          <w:sz-cs w:val="24"/>
          <w:u w:val="single"/>
          <w:color w:val="0000FF"/>
        </w:rPr>
        <w:t xml:space="preserve">HYPERLINK "http://www.nevo.co.il/case/6006100"ע"פ 5313/95</w:t>
      </w:r>
      <w:r>
        <w:rPr>
          <w:rFonts w:ascii="Times New Roman" w:hAnsi="Times New Roman" w:cs="Times New Roman"/>
          <w:sz w:val="24"/>
          <w:sz-cs w:val="24"/>
        </w:rPr>
        <w:t xml:space="preserve">).</w:t>
      </w:r>
    </w:p>
    <w:p>
      <w:pPr>
        <w:jc w:val="center"/>
        <w:bidi/>
        <w:spacing w:before="120" w:after="120"/>
      </w:pPr>
      <w:r>
        <w:rPr>
          <w:rFonts w:ascii="Times New Roman" w:hAnsi="Times New Roman" w:cs="Times New Roman"/>
          <w:sz w:val="24"/>
          <w:sz-cs w:val="24"/>
          <w:spacing w:val="20"/>
        </w:rPr>
        <w:t xml:space="preserve"/>
        <w:br w:type="page"/>
        <w:t xml:space="preserve"/>
        <w:br w:type="page"/>
        <w:t xml:space="preserve">פסק</w:t>
      </w:r>
      <w:r>
        <w:rPr>
          <w:rFonts w:ascii="Times New Roman" w:hAnsi="Times New Roman" w:cs="Times New Roman"/>
          <w:sz w:val="24"/>
          <w:sz-cs w:val="24"/>
          <w:position w:val="4"/>
          <w:spacing w:val="20"/>
        </w:rPr>
        <w:t xml:space="preserve">-</w:t>
      </w:r>
      <w:r>
        <w:rPr>
          <w:rFonts w:ascii="Times New Roman" w:hAnsi="Times New Roman" w:cs="Times New Roman"/>
          <w:sz w:val="24"/>
          <w:sz-cs w:val="24"/>
          <w:spacing w:val="20"/>
        </w:rPr>
        <w:t xml:space="preserve">דין</w:t>
      </w:r>
    </w:p>
    <w:p>
      <w:pPr>
        <w:jc w:val="both"/>
        <w:bidi/>
        <w:spacing w:before="240" w:after="240"/>
      </w:pPr>
      <w:r>
        <w:rPr>
          <w:rFonts w:ascii="Arial" w:hAnsi="Arial" w:cs="Arial"/>
          <w:sz w:val="24"/>
          <w:sz-cs w:val="24"/>
        </w:rPr>
        <w:t xml:space="preserve">השופט מ' חשין</w:t>
      </w:r>
    </w:p>
    <w:p>
      <w:pPr>
        <w:jc w:val="both"/>
        <w:bidi/>
        <w:spacing w:after="220"/>
      </w:pPr>
      <w:r>
        <w:rPr>
          <w:rFonts w:ascii="Times New Roman" w:hAnsi="Times New Roman" w:cs="Times New Roman"/>
          <w:sz w:val="24"/>
          <w:sz-cs w:val="24"/>
        </w:rPr>
        <w:t xml:space="preserve">מונחים לפנינו ארבעה ערעורים על פסק</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דינו של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המחוזי בתל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אביב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יפו (מפי השופט ח' אדר). שלושה ערעורים הם על הרשעה בדין ועל גזר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הדין, ואלה הם המערערים (להלן נכנה אותם – המערערים): מאיר בן אהרון זהבי (להלן נכנה אותו – זהבי), שלום בן נסים ברזני (להלן נכנה אותו – ברזני) ומיגל בן אוקטביו גומז</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קרדוסו (להלן נכנה אותו – קרדוסו). ערעור רביעי הוא ערעורה של המדינה, על קולת העונשים שהוטלו על כל אחד משלושת המערערים.</w:t>
      </w:r>
    </w:p>
    <w:p>
      <w:pPr>
        <w:jc w:val="both"/>
        <w:bidi/>
        <w:spacing w:after="220"/>
      </w:pPr>
      <w:r>
        <w:rPr>
          <w:rFonts w:ascii="Times New Roman" w:hAnsi="Times New Roman" w:cs="Times New Roman"/>
          <w:sz w:val="24"/>
          <w:sz-cs w:val="24"/>
        </w:rPr>
        <w:t xml:space="preserve">עיקרי העובדות שלעניין ופסק</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דינו של בית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משפט קמא</w:t>
      </w:r>
    </w:p>
    <w:p>
      <w:pPr>
        <w:jc w:val="both"/>
        <w:bidi/>
        <w:spacing w:after="220"/>
      </w:pPr>
      <w:r>
        <w:rPr>
          <w:rFonts w:ascii="Times New Roman" w:hAnsi="Times New Roman" w:cs="Times New Roman"/>
          <w:sz w:val="24"/>
          <w:sz-cs w:val="24"/>
        </w:rPr>
        <w:t xml:space="preserve">2.  הפרשה שלפנינו עניינה הוא בייבוא כמויות נכבדות של סם קוקאין ממדינת קולומביה לישראל, בסדרה של עיסקאות סם. המערערים היו קשורים לתכנון הפעולות ולביצוען, כל אחד מהם לפי חלקו. העבירות שיוחסו למערערים ואשר בהן הורשעו – כל אחד מהם בעניינו – הן: קשירת קשר לביצוע פשע; עשיית עיסקה בסם מסוכן; ייבוא סם מסוכן לארץ; החזקת סם שלא לצריכה עצמית בלבד. ברזני הואשם והורשע גם בעבירה של הכשלת שוטר. לאחר הרשעתם בדינם גזר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על המערערים עונשים אלה: זהבי וברזני נדונו, כל אחד מהם, לשמונה שנות מאסר בפועל ולשנתיים וחצי מאסר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תנאי, ואילו קרדוסו נדון למאסר בפועל בן שבע שנים ולשתי שנים וחצי מאסר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תנאי.</w:t>
      </w:r>
    </w:p>
    <w:p>
      <w:pPr>
        <w:jc w:val="both"/>
        <w:bidi/>
        <w:spacing w:after="220"/>
      </w:pPr>
      <w:r>
        <w:rPr>
          <w:rFonts w:ascii="Times New Roman" w:hAnsi="Times New Roman" w:cs="Times New Roman"/>
          <w:sz w:val="24"/>
          <w:sz-cs w:val="24"/>
        </w:rPr>
        <w:t xml:space="preserve">3.  פסק</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הדין המרשיע סומך עצמו, בחלקיו העיקריים, על עדותו של עד התביעה שפיגל. שפיגל היה שותף למעשי העבירה, אך הסכים לשתף פעולה עם המשטרה, הודה בעבירות שיוחסו לו, הורשע באותן עבירות, ודינו נגזר למאסר בן שש שנים וחצי. כיום תלוי ועומד לפני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זה ערעורו על חומרת העונש. בהיותו שותף למעשי העבירה, נדרשת עדותו של שפיגל ל"דבר לחיזוקה", כהוראת </w:t>
      </w:r>
      <w:r>
        <w:rPr>
          <w:rFonts w:ascii="Times New Roman" w:hAnsi="Times New Roman" w:cs="Times New Roman"/>
          <w:sz w:val="24"/>
          <w:sz-cs w:val="24"/>
          <w:u w:val="single"/>
          <w:color w:val="0000FF"/>
        </w:rPr>
        <w:t xml:space="preserve"> HYPERLINK "http://www.nevo.co.il/law/98569/54a.a." סעיף 54א(א)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Times New Roman" w:hAnsi="Times New Roman" w:cs="Times New Roman"/>
          <w:sz w:val="24"/>
          <w:sz-cs w:val="24"/>
        </w:rPr>
        <w:t xml:space="preserve"> [נוסח חדש], תשל"א-1971.</w:t>
      </w:r>
    </w:p>
    <w:p>
      <w:pPr>
        <w:jc w:val="both"/>
        <w:bidi/>
        <w:spacing w:after="220"/>
      </w:pPr>
      <w:r>
        <w:rPr>
          <w:rFonts w:ascii="Times New Roman" w:hAnsi="Times New Roman" w:cs="Times New Roman"/>
          <w:sz w:val="24"/>
          <w:sz-cs w:val="24"/>
        </w:rPr>
        <w:t xml:space="preserve">עדות השותף – עדות עד מדינה?</w:t>
      </w:r>
    </w:p>
    <w:p>
      <w:pPr>
        <w:jc w:val="both"/>
        <w:bidi/>
        <w:spacing w:after="220"/>
      </w:pPr>
      <w:r>
        <w:rPr>
          <w:rFonts w:ascii="Times New Roman" w:hAnsi="Times New Roman" w:cs="Times New Roman"/>
          <w:sz w:val="24"/>
          <w:sz-cs w:val="24"/>
        </w:rPr>
        <w:t xml:space="preserve">4.  קובע ומורה אותנו </w:t>
      </w:r>
      <w:r>
        <w:rPr>
          <w:rFonts w:ascii="Times New Roman" w:hAnsi="Times New Roman" w:cs="Times New Roman"/>
          <w:sz w:val="24"/>
          <w:sz-cs w:val="24"/>
          <w:u w:val="single"/>
          <w:color w:val="0000FF"/>
        </w:rPr>
        <w:t xml:space="preserve"> HYPERLINK "http://www.nevo.co.il/law/98569/54a.a." סעיף 54א(א)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"http://www.nevo.co.il/law/98569" פקודת הראיות</w:t>
      </w:r>
      <w:r>
        <w:rPr>
          <w:rFonts w:ascii="Times New Roman" w:hAnsi="Times New Roman" w:cs="Times New Roman"/>
          <w:sz w:val="24"/>
          <w:sz-cs w:val="24"/>
        </w:rPr>
        <w:t xml:space="preserve"> [נוסח חדש]:</w:t>
      </w:r>
    </w:p>
    <w:p>
      <w:pPr>
        <w:jc w:val="right"/>
        <w:bidi/>
      </w:pPr>
      <w:r>
        <w:rPr>
          <w:rFonts w:ascii="Times New Roman" w:hAnsi="Times New Roman" w:cs="Times New Roman"/>
          <w:sz w:val="24"/>
          <w:sz-cs w:val="24"/>
        </w:rPr>
        <w:t xml:space="preserve"/>
        <w:br w:type="page"/>
        <w:t xml:space="preserve"/>
      </w:r>
    </w:p>
    <w:p>
      <w:pPr>
        <w:jc w:val="both"/>
        <w:bidi/>
        <w:ind w:left="884" w:first-line="-850"/>
        <w:spacing w:after="210"/>
      </w:pPr>
      <w:r>
        <w:rPr>
          <w:rFonts w:ascii="Times New Roman" w:hAnsi="Times New Roman" w:cs="Times New Roman"/>
          <w:sz w:val="24"/>
          <w:sz-cs w:val="24"/>
        </w:rPr>
        <w:t xml:space="preserve"/>
        <w:br w:type="page"/>
        <w:t xml:space="preserve">54א. (א)  בית המשפט לא ירשיע נאשם על סמך עדותו היחידה של שותפו לעבירה, אלא אם מצא בחומר הראיות דבר לחיזוקה; ואולם אם היה השותף עד מדינה – טעונה עדותו סיוע; לענין זה, 'עד מדינה' – שותף לאותה עבירה המעיד מטעם התביעה לאחר שניתנה או שהובטחה לו טובת הנאה".</w:t>
      </w:r>
    </w:p>
    <w:p>
      <w:pPr>
        <w:jc w:val="right"/>
        <w:bidi/>
        <w:spacing w:after="210"/>
      </w:pPr>
      <w:r>
        <w:rPr>
          <w:rFonts w:ascii="Times New Roman" w:hAnsi="Times New Roman" w:cs="Times New Roman"/>
          <w:sz w:val="24"/>
          <w:sz-cs w:val="24"/>
        </w:rPr>
        <w:t xml:space="preserve">"הכרעה על</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פי עדות יחידה במשפט פלילי</w:t>
      </w:r>
    </w:p>
    <w:p>
      <w:pPr>
        <w:jc w:val="both"/>
        <w:bidi/>
        <w:spacing w:after="210"/>
      </w:pPr>
      <w:r>
        <w:rPr>
          <w:rFonts w:ascii="Times New Roman" w:hAnsi="Times New Roman" w:cs="Times New Roman"/>
          <w:sz w:val="24"/>
          <w:sz-cs w:val="24"/>
        </w:rPr>
        <w:t xml:space="preserve">ידענו ולמדנו מכאן, שיש הרשעה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סמך עדותו (היחידה) של שותף לעבירה, ויש הרשעה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סמך עדותו (היחידה) של שותף לעבירה שהוא עד מדינה: שעדותו של שותף גרידא נצרכת ל"חיזוק" מתוך חומר הראיות, בעוד אשר עדותו של 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לעבירה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מדינה נצרכת ל"סיוע" מתוך חומר הראיות. ומה בין שותף לבין 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מדינה, ששותף זה האחרון הוא:</w:t>
      </w:r>
    </w:p>
    <w:p>
      <w:pPr>
        <w:jc w:val="both"/>
        <w:bidi/>
        <w:ind w:left="454" w:right="454"/>
        <w:spacing w:after="210"/>
      </w:pPr>
      <w:r>
        <w:rPr>
          <w:rFonts w:ascii="Times New Roman" w:hAnsi="Times New Roman" w:cs="Times New Roman"/>
          <w:sz w:val="24"/>
          <w:sz-cs w:val="24"/>
        </w:rPr>
        <w:t xml:space="preserve">"שותף לאותה עבירה המעיד מטעם התביעה לאחר שניתנה או שהובטחה לו טובת הנאה".</w:t>
      </w:r>
    </w:p>
    <w:p>
      <w:pPr>
        <w:jc w:val="both"/>
        <w:bidi/>
        <w:spacing w:after="210"/>
      </w:pPr>
      <w:r>
        <w:rPr>
          <w:rFonts w:ascii="Times New Roman" w:hAnsi="Times New Roman" w:cs="Times New Roman"/>
          <w:sz w:val="24"/>
          <w:sz-cs w:val="24"/>
        </w:rPr>
        <w:t xml:space="preserve">הסימן הניתן בשותף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מדינה הוא אפוא זה, שהעד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מעיד נגד שותפיו לאחר שניתנה לו או הובטחה לו טובת הנאה.</w:t>
      </w:r>
    </w:p>
    <w:p>
      <w:pPr>
        <w:jc w:val="both"/>
        <w:bidi/>
        <w:spacing w:after="210"/>
      </w:pPr>
      <w:r>
        <w:rPr>
          <w:rFonts w:ascii="Times New Roman" w:hAnsi="Times New Roman" w:cs="Times New Roman"/>
          <w:sz w:val="24"/>
          <w:sz-cs w:val="24"/>
        </w:rPr>
        <w:t xml:space="preserve">5.  הכול מסכימים כי שפיגל היה שותף שעדותו נצרכת ל"חיזוק". ואולם, כך טוענים באי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 המערערים, שפיגל היה לא אך שותף לדבר עבירה אלא שותף שהוא עד מדינה, וממילא נצרכת עדותו ל"סיוע" כדרישת </w:t>
      </w:r>
      <w:r>
        <w:rPr>
          <w:rFonts w:ascii="Times New Roman" w:hAnsi="Times New Roman" w:cs="Times New Roman"/>
          <w:sz w:val="24"/>
          <w:sz-cs w:val="24"/>
          <w:u w:val="single"/>
          <w:color w:val="0000FF"/>
        </w:rPr>
        <w:t xml:space="preserve"> HYPERLINK "http://www.nevo.co.il/law/98569/54a.a." סעיף 54א(א)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Times New Roman" w:hAnsi="Times New Roman" w:cs="Times New Roman"/>
          <w:sz w:val="24"/>
          <w:sz-cs w:val="24"/>
        </w:rPr>
        <w:t xml:space="preserve"> [נוסח חדש]. ומשלא נמצא סיוע כנדרש, כך מוסיפים הם וטוענים, מסקנה מתבקשת מאליה היא כי יש לזכות את מרשיהם מאותן האשמות התולות עצמן על עדותו של שפיגל.</w:t>
      </w:r>
    </w:p>
    <w:p>
      <w:pPr>
        <w:jc w:val="both"/>
        <w:bidi/>
        <w:spacing w:after="210"/>
      </w:pPr>
      <w:r>
        <w:rPr>
          <w:rFonts w:ascii="Times New Roman" w:hAnsi="Times New Roman" w:cs="Times New Roman"/>
          <w:sz w:val="24"/>
          <w:sz-cs w:val="24"/>
        </w:rPr>
        <w:t xml:space="preserve">השאלה הנשאלת היא אפוא – ושאלה ראשונה במניין היא: האם היה שפיגל שותף שהוא עד מדינה או שמא היה שותף שאינו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מדינה? לשון אחר: האם העיד שפיגל לאחר שניתנה או שהובטחה לו טובת הנאה? </w:t>
      </w:r>
    </w:p>
    <w:p>
      <w:pPr>
        <w:jc w:val="both"/>
        <w:bidi/>
        <w:spacing w:after="210"/>
      </w:pPr>
      <w:r>
        <w:rPr>
          <w:rFonts w:ascii="Times New Roman" w:hAnsi="Times New Roman" w:cs="Times New Roman"/>
          <w:sz w:val="24"/>
          <w:sz-cs w:val="24"/>
        </w:rPr>
        <w:t xml:space="preserve">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נדרש לשאלה, וקבע כי שפיגל היה שותף שאינו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מדינה. ובלשונו: </w:t>
      </w:r>
    </w:p>
    <w:p>
      <w:pPr>
        <w:jc w:val="both"/>
        <w:bidi/>
        <w:ind w:left="454" w:right="454"/>
        <w:spacing w:after="210"/>
      </w:pPr>
      <w:r>
        <w:rPr>
          <w:rFonts w:ascii="Times New Roman" w:hAnsi="Times New Roman" w:cs="Times New Roman"/>
          <w:sz w:val="24"/>
          <w:sz-cs w:val="24"/>
        </w:rPr>
        <w:t xml:space="preserve">"שפיגל נתן אימרותיו וכן העיד מבלי שהייתה לו ציפיה או שקיבל או שהובטח לו שיקבל פרס או טובת הנאה כלשהם". </w:t>
      </w:r>
    </w:p>
    <w:p>
      <w:pPr>
        <w:jc w:val="both"/>
        <w:bidi/>
        <w:spacing w:after="210"/>
      </w:pPr>
      <w:r>
        <w:rPr>
          <w:rFonts w:ascii="Times New Roman" w:hAnsi="Times New Roman" w:cs="Times New Roman"/>
          <w:sz w:val="24"/>
          <w:sz-cs w:val="24"/>
        </w:rPr>
        <w:t xml:space="preserve"/>
        <w:br w:type="page"/>
        <w:t xml:space="preserve">וכן:</w:t>
      </w:r>
    </w:p>
    <w:p>
      <w:pPr>
        <w:jc w:val="both"/>
        <w:bidi/>
        <w:ind w:left="454" w:right="454"/>
        <w:spacing w:after="210"/>
      </w:pPr>
      <w:r>
        <w:rPr>
          <w:rFonts w:ascii="Times New Roman" w:hAnsi="Times New Roman" w:cs="Times New Roman"/>
          <w:sz w:val="24"/>
          <w:sz-cs w:val="24"/>
        </w:rPr>
        <w:t xml:space="preserve">"בנסיבות האמורות לא ניתנה או הובטחה טובת הנאה כלשהיא לשפיגל בגין עדותו, וכן... לא הוקנה לו יתרון ממוני או משפטי או הנאה אחרת, וכיוצא בזה".</w:t>
      </w:r>
    </w:p>
    <w:p>
      <w:pPr>
        <w:jc w:val="both"/>
        <w:bidi/>
        <w:spacing w:after="210"/>
      </w:pPr>
      <w:r>
        <w:rPr>
          <w:rFonts w:ascii="Times New Roman" w:hAnsi="Times New Roman" w:cs="Times New Roman"/>
          <w:sz w:val="24"/>
          <w:sz-cs w:val="24"/>
        </w:rPr>
        <w:t xml:space="preserve">עתה מעלים באי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 המערערים את השאלה להכרעתנו אף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היא.</w:t>
      </w:r>
    </w:p>
    <w:p>
      <w:pPr>
        <w:jc w:val="both"/>
        <w:bidi/>
        <w:spacing w:after="210"/>
      </w:pPr>
      <w:r>
        <w:rPr>
          <w:rFonts w:ascii="Times New Roman" w:hAnsi="Times New Roman" w:cs="Times New Roman"/>
          <w:sz w:val="24"/>
          <w:sz-cs w:val="24"/>
        </w:rPr>
        <w:t xml:space="preserve">6.  ומדוע יש לראות בשפיגל שותף עד מדינה? לעניין זה סומכים באי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 המערערים את עיקרי טיעוניהם על קטע משיחה שהייתה בין שפיגל לבין פקד זוהר זייף, איש המשטרה הראשון שחקר את שפיגל מיד לאחר מעצרו. שיחה זו הוקלטה ותומללה, והשאלה הנשאלת היא, האם דברים שאמר פקד זייף לשפיגל עולים כדי "טובת הנאה" שניתנה או שהובטחה לשפיגל, והכול כהוראת </w:t>
      </w:r>
      <w:r>
        <w:rPr>
          <w:rFonts w:ascii="Times New Roman" w:hAnsi="Times New Roman" w:cs="Times New Roman"/>
          <w:sz w:val="24"/>
          <w:sz-cs w:val="24"/>
          <w:u w:val="single"/>
          <w:color w:val="0000FF"/>
        </w:rPr>
        <w:t xml:space="preserve"> HYPERLINK "http://www.nevo.co.il/law/98569/54a.a." סעיף 54א(א)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"http://www.nevo.co.il/law/98569" פקודת הראיות</w:t>
      </w:r>
      <w:r>
        <w:rPr>
          <w:rFonts w:ascii="Times New Roman" w:hAnsi="Times New Roman" w:cs="Times New Roman"/>
          <w:sz w:val="24"/>
          <w:sz-cs w:val="24"/>
        </w:rPr>
        <w:t xml:space="preserve"> [נוסח חדש]? באי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 המערערים מסתמכים בעיקר על אמירות מסוימות שהוחלפו בין פקד זייף לבין שפיגל, וראוי כי נתבונן בחילופי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הדברים מקרוב:</w:t>
      </w:r>
    </w:p>
    <w:p>
      <w:pPr>
        <w:jc w:val="both"/>
        <w:bidi/>
        <w:ind w:left="738" w:right="738" w:first-line="-284"/>
        <w:spacing w:after="60"/>
      </w:pPr>
      <w:r>
        <w:rPr>
          <w:rFonts w:ascii="Times New Roman" w:hAnsi="Times New Roman" w:cs="Times New Roman"/>
          <w:sz w:val="24"/>
          <w:sz-cs w:val="24"/>
        </w:rPr>
        <w:t xml:space="preserve">"שפיגל: אתם תעזרו לי.</w:t>
      </w:r>
    </w:p>
    <w:p>
      <w:pPr>
        <w:jc w:val="both"/>
        <w:bidi/>
        <w:ind w:left="738" w:right="738" w:first-line="-284"/>
        <w:spacing w:after="60"/>
      </w:pPr>
      <w:r>
        <w:rPr>
          <w:rFonts w:ascii="Times New Roman" w:hAnsi="Times New Roman" w:cs="Times New Roman"/>
          <w:sz w:val="24"/>
          <w:sz-cs w:val="24"/>
        </w:rPr>
        <w:t xml:space="preserve">זייף: אז גם אנחנו נבוא לקראתך ונסביר את זה בבית משפט ונסביר את זה שאתה באת ועזרת לנו וגם בית המשפט עד כמה שרואים מנסיון העבר, והסברתי לך את זה סך הכל...</w:t>
      </w:r>
    </w:p>
    <w:p>
      <w:pPr>
        <w:jc w:val="both"/>
        <w:bidi/>
        <w:ind w:left="738" w:right="738" w:first-line="-284"/>
        <w:spacing w:after="60"/>
      </w:pPr>
      <w:r>
        <w:rPr>
          <w:rFonts w:ascii="Times New Roman" w:hAnsi="Times New Roman" w:cs="Times New Roman"/>
          <w:sz w:val="24"/>
          <w:sz-cs w:val="24"/>
        </w:rPr>
        <w:t xml:space="preserve">שפיגל: על תנאי זאת אומרת שאני אקבל...</w:t>
      </w:r>
    </w:p>
    <w:p>
      <w:pPr>
        <w:jc w:val="both"/>
        <w:bidi/>
        <w:ind w:left="738" w:right="738" w:first-line="-284"/>
        <w:spacing w:after="60"/>
      </w:pPr>
      <w:r>
        <w:rPr>
          <w:rFonts w:ascii="Times New Roman" w:hAnsi="Times New Roman" w:cs="Times New Roman"/>
          <w:sz w:val="24"/>
          <w:sz-cs w:val="24"/>
        </w:rPr>
        <w:t xml:space="preserve">זייף: לא אמרתי לך זה בית סוהר, בטוח.</w:t>
      </w:r>
    </w:p>
    <w:p>
      <w:pPr>
        <w:jc w:val="both"/>
        <w:bidi/>
        <w:ind w:left="738" w:right="738" w:first-line="-284"/>
        <w:spacing w:after="60"/>
      </w:pPr>
      <w:r>
        <w:rPr>
          <w:rFonts w:ascii="Times New Roman" w:hAnsi="Times New Roman" w:cs="Times New Roman"/>
          <w:sz w:val="24"/>
          <w:sz-cs w:val="24"/>
        </w:rPr>
        <w:t xml:space="preserve">שפיגל: בטוח? זאת אומרת שמעכשיו אני אשב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סוהר עד המשפט.</w:t>
      </w:r>
    </w:p>
    <w:p>
      <w:pPr>
        <w:jc w:val="both"/>
        <w:bidi/>
        <w:ind w:left="738" w:right="738" w:first-line="-284"/>
      </w:pPr>
      <w:r>
        <w:rPr>
          <w:rFonts w:ascii="Times New Roman" w:hAnsi="Times New Roman" w:cs="Times New Roman"/>
          <w:sz w:val="24"/>
          <w:sz-cs w:val="24"/>
        </w:rPr>
        <w:t xml:space="preserve">זייף: אני מאמין שכן, אני לא רוצה לשקר אותך. אני אמרתי לך, אני לא אשקר אותך, אז לא אספר לך סיפורים...</w:t>
      </w:r>
    </w:p>
    <w:p>
      <w:pPr>
        <w:jc w:val="both"/>
        <w:bidi/>
        <w:ind w:left="738" w:right="738" w:first-line="-284"/>
        <w:spacing w:after="60"/>
      </w:pPr>
      <w:r>
        <w:rPr>
          <w:rFonts w:ascii="Times New Roman" w:hAnsi="Times New Roman" w:cs="Times New Roman"/>
          <w:sz w:val="24"/>
          <w:sz-cs w:val="24"/>
        </w:rPr>
        <w:t xml:space="preserve">...</w:t>
      </w:r>
    </w:p>
    <w:p>
      <w:pPr>
        <w:jc w:val="both"/>
        <w:bidi/>
        <w:ind w:left="738" w:right="738" w:first-line="-284"/>
        <w:spacing w:after="60"/>
      </w:pPr>
      <w:r>
        <w:rPr>
          <w:rFonts w:ascii="Times New Roman" w:hAnsi="Times New Roman" w:cs="Times New Roman"/>
          <w:sz w:val="24"/>
          <w:sz-cs w:val="24"/>
        </w:rPr>
        <w:t xml:space="preserve">זייף: ואנחנו לא יכולים לעזור.</w:t>
      </w:r>
    </w:p>
    <w:p>
      <w:pPr>
        <w:jc w:val="both"/>
        <w:bidi/>
        <w:ind w:left="738" w:right="738" w:first-line="-284"/>
        <w:spacing w:after="60"/>
      </w:pPr>
      <w:r>
        <w:rPr>
          <w:rFonts w:ascii="Times New Roman" w:hAnsi="Times New Roman" w:cs="Times New Roman"/>
          <w:sz w:val="24"/>
          <w:sz-cs w:val="24"/>
        </w:rPr>
        <w:t xml:space="preserve">שפיגל: לא, אבל בשביל לתפוס ולעזור לכם אני אלך לעשות עוד עיסקאות עם אנשים.</w:t>
      </w:r>
    </w:p>
    <w:p>
      <w:pPr>
        <w:jc w:val="both"/>
        <w:bidi/>
        <w:ind w:left="738" w:right="738" w:first-line="-284"/>
        <w:spacing w:after="60"/>
      </w:pPr>
      <w:r>
        <w:rPr>
          <w:rFonts w:ascii="Times New Roman" w:hAnsi="Times New Roman" w:cs="Times New Roman"/>
          <w:sz w:val="24"/>
          <w:sz-cs w:val="24"/>
        </w:rPr>
        <w:t xml:space="preserve">זייף: לא, לא, זה טוב בסרטים הדברים האלה...</w:t>
      </w:r>
    </w:p>
    <w:p>
      <w:pPr>
        <w:jc w:val="both"/>
        <w:bidi/>
        <w:ind w:left="738" w:right="738" w:first-line="-284"/>
      </w:pPr>
      <w:r>
        <w:rPr>
          <w:rFonts w:ascii="Times New Roman" w:hAnsi="Times New Roman" w:cs="Times New Roman"/>
          <w:sz w:val="24"/>
          <w:sz-cs w:val="24"/>
        </w:rPr>
        <w:t xml:space="preserve">שפיגל: לא יודע, אני יודע?...</w:t>
      </w:r>
    </w:p>
    <w:p>
      <w:pPr>
        <w:jc w:val="both"/>
        <w:bidi/>
        <w:ind w:left="738" w:right="738" w:first-line="-284"/>
        <w:spacing w:after="60"/>
      </w:pPr>
      <w:r>
        <w:rPr>
          <w:rFonts w:ascii="Times New Roman" w:hAnsi="Times New Roman" w:cs="Times New Roman"/>
          <w:sz w:val="24"/>
          <w:sz-cs w:val="24"/>
        </w:rPr>
        <w:t xml:space="preserve">...</w:t>
      </w:r>
    </w:p>
    <w:p>
      <w:pPr>
        <w:jc w:val="both"/>
        <w:bidi/>
        <w:ind w:left="738" w:right="738" w:first-line="-284"/>
        <w:spacing w:after="60"/>
      </w:pPr>
      <w:r>
        <w:rPr>
          <w:rFonts w:ascii="Times New Roman" w:hAnsi="Times New Roman" w:cs="Times New Roman"/>
          <w:sz w:val="24"/>
          <w:sz-cs w:val="24"/>
        </w:rPr>
        <w:t xml:space="preserve">שפיגל: זאת אומרת אתם במשפט תבואו ותעזרו לי...</w:t>
      </w:r>
    </w:p>
    <w:p>
      <w:pPr>
        <w:jc w:val="both"/>
        <w:bidi/>
        <w:ind w:left="738" w:right="738" w:first-line="-284"/>
        <w:spacing w:after="60"/>
      </w:pPr>
      <w:r>
        <w:rPr>
          <w:rFonts w:ascii="Times New Roman" w:hAnsi="Times New Roman" w:cs="Times New Roman"/>
          <w:sz w:val="24"/>
          <w:sz-cs w:val="24"/>
        </w:rPr>
        <w:t xml:space="preserve"/>
        <w:br w:type="page"/>
        <w:t xml:space="preserve">זייף: עוד פעם, אנחנו נבוא ונגיד הכל ונעשה את כל המאמץ ואמרתי לך...</w:t>
      </w:r>
    </w:p>
    <w:p>
      <w:pPr>
        <w:jc w:val="both"/>
        <w:bidi/>
        <w:ind w:left="738" w:right="738" w:first-line="-284"/>
        <w:spacing w:after="60"/>
      </w:pPr>
      <w:r>
        <w:rPr>
          <w:rFonts w:ascii="Times New Roman" w:hAnsi="Times New Roman" w:cs="Times New Roman"/>
          <w:sz w:val="24"/>
          <w:sz-cs w:val="24"/>
        </w:rPr>
        <w:t xml:space="preserve">שפיגל: אתה אישית? או לא?</w:t>
      </w:r>
    </w:p>
    <w:p>
      <w:pPr>
        <w:jc w:val="both"/>
        <w:bidi/>
        <w:ind w:left="738" w:right="738" w:first-line="-284"/>
        <w:spacing w:after="210"/>
      </w:pPr>
      <w:r>
        <w:rPr>
          <w:rFonts w:ascii="Times New Roman" w:hAnsi="Times New Roman" w:cs="Times New Roman"/>
          <w:sz w:val="24"/>
          <w:sz-cs w:val="24"/>
        </w:rPr>
        <w:t xml:space="preserve">זייף: זה לא אני אישית, זה כל היחידה, משטרת ישראל, היחידה המרכזית, הפרקליטות, כולם. סה"כ זה שאתה משתף פעולה, הענין הזה כולו תלוי בך לבדך..." (עמ' 2, 3, 4 למסמך נ/2).</w:t>
      </w:r>
    </w:p>
    <w:p>
      <w:pPr>
        <w:jc w:val="both"/>
        <w:bidi/>
        <w:spacing w:after="210"/>
      </w:pPr>
      <w:r>
        <w:rPr>
          <w:rFonts w:ascii="Times New Roman" w:hAnsi="Times New Roman" w:cs="Times New Roman"/>
          <w:sz w:val="24"/>
          <w:sz-cs w:val="24"/>
        </w:rPr>
        <w:t xml:space="preserve">היש בדברים אלה שאמר פקד זייף לשפיגל משום נתינתה של טובת הנאה או הבטחתה של טובת הנאה?</w:t>
      </w:r>
    </w:p>
    <w:p>
      <w:pPr>
        <w:jc w:val="both"/>
        <w:bidi/>
        <w:spacing w:after="210"/>
      </w:pPr>
      <w:r>
        <w:rPr>
          <w:rFonts w:ascii="Times New Roman" w:hAnsi="Times New Roman" w:cs="Times New Roman"/>
          <w:sz w:val="24"/>
          <w:sz-cs w:val="24"/>
        </w:rPr>
        <w:t xml:space="preserve">7.  מסתבר כי קודם שהחל משתף פעולה עם המשטרה, התעניין שפיגל לדעת מה יהא בהמשך ההליכים, ומה יהא עונשו לכשיועמד לדין. פקד זייף הבטיח לשפיגל כי משיועמד למשפט, תסביר המשטרה ותסביר הפרקליטות לבית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כי הוא, שפיגל, שיתף פעולה עם המשטרה. והשניים הבינו זה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את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זה: שניהם הבינו כי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יראה את הדבר בעין יפה, וכי קרוב לוודאי תהיה לדברים שייאמרו לבית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השפעה על גזר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הדין. האם דברים אלה עושים את שפיגל עד מדינה? האם יש בהם בדברים אלה משום מתן טובת הנאה או הבטחה של טובת הנאה?</w:t>
      </w:r>
    </w:p>
    <w:p>
      <w:pPr>
        <w:jc w:val="both"/>
        <w:bidi/>
        <w:spacing w:after="210"/>
      </w:pPr>
      <w:r>
        <w:rPr>
          <w:rFonts w:ascii="Times New Roman" w:hAnsi="Times New Roman" w:cs="Times New Roman"/>
          <w:sz w:val="24"/>
          <w:sz-cs w:val="24"/>
        </w:rPr>
        <w:t xml:space="preserve">8.  "עד מדינה" הוא "שותף לאותה עבירה המעיד מטעם התביעה לאחר שניתנה או שהובטחה לו טובת הנאה". שלושה המה יסודות העושים את ראובן עד מדינה: ראובן הוא שותף לעבירה שבגינה עומד שמעון לדין; לראובן ניתנה או הובטחה טובת הנאה; ראובן מעיד במשפטו של שמעון לאחר שניתנה או הובטחה לו טובת הנאה (וכמסתבר, תוך זיקת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קשר בין העדות לבין טובת ההנאה; ראו </w:t>
      </w:r>
      <w:r>
        <w:rPr>
          <w:rFonts w:ascii="Times New Roman" w:hAnsi="Times New Roman" w:cs="Times New Roman"/>
          <w:sz w:val="24"/>
          <w:sz-cs w:val="24"/>
          <w:u w:val="single"/>
          <w:color w:val="0000FF"/>
        </w:rPr>
        <w:t xml:space="preserve">HYPERLINK "http://www.nevo.co.il/case/17924951"</w:t>
      </w:r>
      <w:r>
        <w:rPr>
          <w:rFonts w:ascii="Times New Roman" w:hAnsi="Times New Roman" w:cs="Times New Roman"/>
          <w:sz w:val="24"/>
          <w:sz-cs w:val="24"/>
          <w:u w:val="single"/>
          <w:color w:val="0000FF"/>
        </w:rPr>
        <w:t xml:space="preserve">ע"פ 4938/94</w:t>
      </w:r>
      <w:r>
        <w:rPr>
          <w:rFonts w:ascii="Times New Roman" w:hAnsi="Times New Roman" w:cs="Times New Roman"/>
          <w:sz w:val="24"/>
          <w:sz-cs w:val="24"/>
        </w:rPr>
        <w:t xml:space="preserve">, 5036 שמרלינג ואח' נ' מדינת ישראל [1]).</w:t>
      </w:r>
    </w:p>
    <w:p>
      <w:pPr>
        <w:jc w:val="both"/>
        <w:bidi/>
        <w:spacing w:after="210"/>
      </w:pPr>
      <w:r>
        <w:rPr>
          <w:rFonts w:ascii="Times New Roman" w:hAnsi="Times New Roman" w:cs="Times New Roman"/>
          <w:sz w:val="24"/>
          <w:sz-cs w:val="24"/>
        </w:rPr>
        <w:t xml:space="preserve">לענייננו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שלנו, אין חולקים על קיומו של היסוד הראשון: כי שפיגל היה שותף לעבירה שבגינה עמדו המערערים לדין. אין גם חולקים על כך ששפיגל העיד לאחר שניתנה לו או הובטחה לו, כנטען, טובת הנאה. חילוקי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הדעות נסבים אך על השאלה האם ניתנה לשפיגל או הובטחה לו טובת הנאה? </w:t>
      </w:r>
    </w:p>
    <w:p>
      <w:pPr>
        <w:jc w:val="both"/>
        <w:bidi/>
        <w:spacing w:after="210"/>
      </w:pPr>
      <w:r>
        <w:rPr>
          <w:rFonts w:ascii="Times New Roman" w:hAnsi="Times New Roman" w:cs="Times New Roman"/>
          <w:sz w:val="24"/>
          <w:sz-cs w:val="24"/>
        </w:rPr>
        <w:t xml:space="preserve">9.  מה פירושו של הביטוי "טובת הנאה"? נראה כי לקביעת תחום התפרשותו של הדיבור "טובת הנאה" ראוי שניעזר בתכליתו של ההסדר. וכך, בלכתנו יד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ביד עם התכלית נתווה את גבולות הדרישה לתמיכת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סיוע בעדותו של עד מדינה. מה טעם נדרש "סיוע" לעדותו של עד מדינה, ומדוע אין החוק מספק עצמו ב"חיזוק" הנדרש לעדותו של שותף? החשש הוא, כמובן, כי אותה טובת הנאה הניתנת או המובטחת תטה אותו 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לדבר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עבירה לומר בעדותו דברים שאינם אמת: ברצותו להציל את עורו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שלו, או </w:t>
      </w:r>
    </w:p>
    <w:p>
      <w:pPr>
        <w:jc w:val="both"/>
        <w:bidi/>
        <w:ind w:first-line="21"/>
        <w:spacing w:after="210"/>
      </w:pPr>
      <w:r>
        <w:rPr>
          <w:rFonts w:ascii="Times New Roman" w:hAnsi="Times New Roman" w:cs="Times New Roman"/>
          <w:sz w:val="24"/>
          <w:sz-cs w:val="24"/>
        </w:rPr>
        <w:t xml:space="preserve"/>
        <w:br w:type="page"/>
        <w:t xml:space="preserve">לקבל את טובת ההנאה המובטחת לו, יאמר לגמול לתביעה טובה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תחת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טובה, ויבקש להפליל את הנאשם בהעידו 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אמת. משידענו את תכלית ההסדר, נוסיף ונדע את גבולות ההסדר אף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הם: "טובת הנאה" היא דבר המיטיב את מצבו של 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ואשר אין 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זכאי לו במהלכם הרגיל של הדברים. לשון אחר: "טובת הנאה" היא דבר הניתן לעד והוא מעבר לזכויותיו. כך, למשל, הבטחת התביעה כי אם יעיד נגד שותפו לא יוגש אישום נגד ראובן; כי אישום חמור יומר באישום קל יותר; כי יעוכבו הליכים נגדו. כל אלו "טובות הנאה" הן, שכן העד אינו זכאי לקבלן במהלכם הרגיל של הדברים. לא כך הם דברים המגיעים לעד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שותף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פי זכויותיו, שאז אין הוא זוכה בטובת הנאה. טובת הנאה היא דבר שמעבר לזכויותיו של העד; ואילו אם זכאי הוא לדברים אלה ואחרים, שוב אין הוא מקבל טובת הנאה.</w:t>
      </w:r>
    </w:p>
    <w:p>
      <w:pPr>
        <w:jc w:val="both"/>
        <w:bidi/>
        <w:spacing w:after="210"/>
      </w:pPr>
      <w:r>
        <w:rPr>
          <w:rFonts w:ascii="Times New Roman" w:hAnsi="Times New Roman" w:cs="Times New Roman"/>
          <w:sz w:val="24"/>
          <w:sz-cs w:val="24"/>
        </w:rPr>
        <w:t xml:space="preserve">10.  עיון בדבריו של פקד זייף לשפיגל ילמדנו, כי גם אם נאמרו הדברים כדי לעודד את שפיגל לשתף פעולה עם המשטרה – וניתן להניח שזו הייתה אמנם כוונתו של פקד זייף – לא היה בהם, כשהם לעצמם, לא מתן טובת הנאה ולא הבטחה לטובת הנאה. והרי בשתפו פעולה עם המשטרה, זכאי הוא שפיגל – כדבר הלמד מעניינו – כי הדברים יובאו במלואם לידיעת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שידון בעניינו. וכזאת אמר לו פקד זייף. אכן, מבחינה אובייקטיבית לא ניתנה לשפיגל ולא הובטחה לו טובת הנאה כלשהי העושה 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שותף לעד מדינה. ב</w:t>
      </w:r>
      <w:r>
        <w:rPr>
          <w:rFonts w:ascii="Times New Roman" w:hAnsi="Times New Roman" w:cs="Times New Roman"/>
          <w:sz w:val="24"/>
          <w:sz-cs w:val="24"/>
          <w:u w:val="single"/>
          <w:color w:val="0000FF"/>
        </w:rPr>
        <w:t xml:space="preserve">HYPERLINK "http://www.nevo.co.il/case/17917307"ע"פ 2780/90</w:t>
      </w:r>
      <w:r>
        <w:rPr>
          <w:rFonts w:ascii="Times New Roman" w:hAnsi="Times New Roman" w:cs="Times New Roman"/>
          <w:sz w:val="24"/>
          <w:sz-cs w:val="24"/>
        </w:rPr>
        <w:t xml:space="preserve"> קצירו נ' מדינת ישראל [2] נטען על עד פלוני כי עד מדינה הוא וכי בשל כך נצרכת עדותו לסיוע. אמר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כך הנשיא שמגר:</w:t>
      </w:r>
    </w:p>
    <w:p>
      <w:pPr>
        <w:jc w:val="both"/>
        <w:bidi/>
        <w:ind w:left="454" w:right="454"/>
        <w:spacing w:after="210"/>
      </w:pPr>
      <w:r>
        <w:rPr>
          <w:rFonts w:ascii="Times New Roman" w:hAnsi="Times New Roman" w:cs="Times New Roman"/>
          <w:sz w:val="24"/>
          <w:sz-cs w:val="24"/>
        </w:rPr>
        <w:t xml:space="preserve">"...המדינה הודיעה כי לא הובטחו לעד טובות הנאה כלשהן, וכי סניגורו הזמין מיוזמתו את איש המשטרה שיעיד על שיתוף הפעולה של העד עם חוקריו. בכך בלבד אין אכן כדי להפכו לעד מדינה, כהגדרתו של מונח זה לפי סעיף 54א לפקודה...".</w:t>
      </w:r>
    </w:p>
    <w:p>
      <w:pPr>
        <w:jc w:val="both"/>
        <w:bidi/>
        <w:spacing w:after="220"/>
      </w:pPr>
      <w:r>
        <w:rPr>
          <w:rFonts w:ascii="Times New Roman" w:hAnsi="Times New Roman" w:cs="Times New Roman"/>
          <w:sz w:val="24"/>
          <w:sz-cs w:val="24"/>
        </w:rPr>
        <w:t xml:space="preserve">11.  ועדיין שאלה היא. אמרנו כי אמת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מידה היא לנתינתה או להבטחתה של טובת הנאה, אם מבחינה אובייקטיבית ניתן לעד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דבר שאין הוא זכאי לו ממילא. ואולם מה הוא דין, אם הדבר הניתן או המובטח לעד אין הוא טובת הנאה מבחינה אובייקטיבית, אך העד סובר – בטעות – כי תמורת עדותו עומד הוא לזכות בדבר שאפשר אין הוא זכאי לו ממילא? אם סובר העד, בטעות, כי עומד הוא לזכות בטובת הנאה – אף שאין הוא עומד לזכות בטובת הנאה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פי המבחן האובייקטיבי – מה חשיבות יש לעובדה כי רוב בני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האדם לא היו סוברים כמותו? עד מדינה, חוששים אנו מפני עדותו שמא יפליל אחרים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עוול בכפם, כדי שיזכה הוא בטובת הנאה הניתנת או המובטחת לו. חשש זה יקנן בלבנו גם במקום בו אין ניתנת לעד טובת הנאה אך הוא סובר, בטעות, </w:t>
      </w:r>
      <w:r>
        <w:rPr>
          <w:rFonts w:ascii="Times New Roman" w:hAnsi="Times New Roman" w:cs="Times New Roman"/>
          <w:sz w:val="24"/>
          <w:sz-cs w:val="24"/>
          <w:spacing w:val="8"/>
        </w:rPr>
        <w:t xml:space="preserve">כי </w:t>
      </w:r>
      <w:r>
        <w:rPr>
          <w:rFonts w:ascii="Times New Roman" w:hAnsi="Times New Roman" w:cs="Times New Roman"/>
          <w:sz w:val="24"/>
          <w:sz-cs w:val="24"/>
        </w:rPr>
        <w:t xml:space="preserve">ניתנת לו טובת הנאה. נמצא לנו, </w:t>
      </w:r>
      <w:r>
        <w:rPr>
          <w:rFonts w:ascii="Times New Roman" w:hAnsi="Times New Roman" w:cs="Times New Roman"/>
          <w:sz w:val="24"/>
          <w:sz-cs w:val="24"/>
          <w:spacing w:val="8"/>
        </w:rPr>
        <w:t xml:space="preserve">לכאורה,</w:t>
      </w:r>
      <w:r>
        <w:rPr>
          <w:rFonts w:ascii="Times New Roman" w:hAnsi="Times New Roman" w:cs="Times New Roman"/>
          <w:sz w:val="24"/>
          <w:sz-cs w:val="24"/>
        </w:rPr>
        <w:t xml:space="preserve"> </w:t>
      </w:r>
      <w:r>
        <w:rPr>
          <w:rFonts w:ascii="Times New Roman" w:hAnsi="Times New Roman" w:cs="Times New Roman"/>
          <w:sz w:val="24"/>
          <w:sz-cs w:val="24"/>
          <w:spacing w:val="8"/>
        </w:rPr>
        <w:t xml:space="preserve">כי החשש מפני</w:t>
      </w:r>
      <w:r>
        <w:rPr>
          <w:rFonts w:ascii="Times New Roman" w:hAnsi="Times New Roman" w:cs="Times New Roman"/>
          <w:sz w:val="24"/>
          <w:sz-cs w:val="24"/>
        </w:rPr>
        <w:t xml:space="preserve"> </w:t>
      </w:r>
    </w:p>
    <w:p>
      <w:pPr>
        <w:jc w:val="both"/>
        <w:bidi/>
        <w:ind w:first-line="21"/>
        <w:spacing w:after="220"/>
      </w:pPr>
      <w:r>
        <w:rPr>
          <w:rFonts w:ascii="Times New Roman" w:hAnsi="Times New Roman" w:cs="Times New Roman"/>
          <w:sz w:val="24"/>
          <w:sz-cs w:val="24"/>
        </w:rPr>
        <w:t xml:space="preserve"/>
        <w:br w:type="page"/>
        <w:t xml:space="preserve">שקריו של 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שותף יקנן בלבנו בין שניתנת או מובטחת לעד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טובת הנאה ובין שסובר הוא, בטעות, כי ניתנת או מובטחת לו טובת הנאה.</w:t>
      </w:r>
    </w:p>
    <w:p>
      <w:pPr>
        <w:jc w:val="both"/>
        <w:bidi/>
        <w:spacing w:after="220"/>
      </w:pPr>
      <w:r>
        <w:rPr>
          <w:rFonts w:ascii="Times New Roman" w:hAnsi="Times New Roman" w:cs="Times New Roman"/>
          <w:sz w:val="24"/>
          <w:sz-cs w:val="24"/>
        </w:rPr>
        <w:t xml:space="preserve">12.  נוטים אנו לדעה, כי בבחינתה של "טובת הנאה" שומה עלינו להעמיד בצד המבחן האובייקטיבי מבחן סובייקטיבי אף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הוא, וכי רק בעוברו שני מבחנים אלה גם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יחד, לא יהיה דבר הניתן לשותף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עד בחינת "טובת הנאה". לשון אחר: במקום בו ניתנת לו טובת הנאה כמשמעותה האובייקטיבית, יהפוך השותף ממילא עד מדינה שכן זכה בטובת הנאה. ואולם גם אם עברה התביעה משוכה זו, לאמור, גם אם נסכים כולנו כי השותף לא זכה בטובת הנאה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פי המבחן האובייקטיבי, גם אז תעמוד לפני התביעה משוכה נוספת בדמותו של המבחן הסובייקטיבי, דהיינו: אם סבר השותף – בטעות – כי ניתנה לו טובת הנאה (במובנה האובייקטיבי). רק אם עברה התביעה משוכה זו אף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היא, נוכל לומר כי השותף לא זכה בטובת הנאה כהוראתה בדין. כל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זאת – לכאורה. והגם שהשאלה היא שאלה, נותיר את התשובה לבאים אחרינו. טעם הדבר הוא, שבענייננו הבין שפיגל הבן</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היטב כי לא יזכה לטובת הנאה כ"תמורה" לשיתוף פעולה מצדו. הנה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כן: לאחר שפקד זייף אמר לו כי דבר עזרתו למשטרה ידוּוַח לבית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ביקש שפיגל לברר אם תוכל התביעה – בתמורה לעדותו – להסתפק בבקשה להטיל עליו עונש 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תנאי בלבד. משנענה בסירוב, הוסיף שפיגל והציע כי ישתף פעולה עם המשטרה בלכידת עברייני סמים נוספים. על כך נענה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פקד זייף: "לא, לא, זה טוב בסרטים הדברים האלה". נדע מכל אלה, כי כבר במהלך השיחה עם זייף – שיחה שעליה נשענים המערערים בטיעוניהם – הבין שפיגל כי לא יזכה בטובת הנאה תמורת חשיפת האמת. </w:t>
      </w:r>
    </w:p>
    <w:p>
      <w:pPr>
        <w:jc w:val="both"/>
        <w:bidi/>
        <w:spacing w:after="220"/>
      </w:pPr>
      <w:r>
        <w:rPr>
          <w:rFonts w:ascii="Times New Roman" w:hAnsi="Times New Roman" w:cs="Times New Roman"/>
          <w:sz w:val="24"/>
          <w:sz-cs w:val="24"/>
        </w:rPr>
        <w:t xml:space="preserve">נוסיף ונזכיר, כי גם בעדותו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אמר שפיגל, שהובהר לו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חוקריו כי מדובר בעבירה חמורה מאוד, וכי אין ביכולתם להעריך מה יהא עונשו, אם וכאשר יורשע בדין. </w:t>
      </w:r>
    </w:p>
    <w:p>
      <w:pPr>
        <w:jc w:val="both"/>
        <w:bidi/>
        <w:spacing w:after="220"/>
      </w:pPr>
      <w:r>
        <w:rPr>
          <w:rFonts w:ascii="Times New Roman" w:hAnsi="Times New Roman" w:cs="Times New Roman"/>
          <w:sz w:val="24"/>
          <w:sz-cs w:val="24"/>
        </w:rPr>
        <w:t xml:space="preserve">גם פקד זייף העיד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כי בדבריו לשפיגל "העברתי לו מסר אחד. אני אמרתי לו שעל סמך נסיוני בבתי המשפט, עד כמה שראיתי מנסיוני בשטח, מי שהודה ועזר ושיתף פעולה,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התחשב בזה... אמרתי לו גם שהעונש יהיה, שברור לו שהוא ילך לבית סוהר, שיהיה ברור, ואני מאמין שבית המשפט יתחשב בנושא הזה... לגבי אורך המאסר...".</w:t>
      </w:r>
    </w:p>
    <w:p>
      <w:pPr>
        <w:jc w:val="both"/>
        <w:bidi/>
        <w:spacing w:after="220"/>
      </w:pPr>
      <w:r>
        <w:rPr>
          <w:rFonts w:ascii="Times New Roman" w:hAnsi="Times New Roman" w:cs="Times New Roman"/>
          <w:sz w:val="24"/>
          <w:sz-cs w:val="24"/>
        </w:rPr>
        <w:t xml:space="preserve">כללם של דברים: שפיגל לא נתבקש לסייע למשטרה מעבר לגילוי האמת, ואנשי המשטרה לא הבטיחו לו דבר מעבר למסירת מידע זה לבית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קודם שייגזר דינו. </w:t>
      </w:r>
    </w:p>
    <w:p>
      <w:pPr>
        <w:jc w:val="both"/>
        <w:bidi/>
        <w:ind w:first-line="21"/>
        <w:spacing w:after="220"/>
      </w:pPr>
      <w:r>
        <w:rPr>
          <w:rFonts w:ascii="Times New Roman" w:hAnsi="Times New Roman" w:cs="Times New Roman"/>
          <w:sz w:val="24"/>
          <w:sz-cs w:val="24"/>
        </w:rPr>
        <w:t xml:space="preserve"/>
        <w:br w:type="page"/>
        <w:t xml:space="preserve">אלה הם פני הדברים, וממילא נדחה את טענת המערערים כי אנשי המשטרה נתנו או הבטיחו לשפיגל "טובת הנאה" כלשהי כהוראת הדיבור </w:t>
      </w:r>
      <w:r>
        <w:rPr>
          <w:rFonts w:ascii="Times New Roman" w:hAnsi="Times New Roman" w:cs="Times New Roman"/>
          <w:sz w:val="24"/>
          <w:sz-cs w:val="24"/>
          <w:u w:val="single"/>
          <w:color w:val="0000FF"/>
        </w:rPr>
        <w:t xml:space="preserve"> HYPERLINK "http://www.nevo.co.il/law/98569/54a.a." בסעיף 54א(א)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"http://www.nevo.co.il/law/98569" פקודת הראיות</w:t>
      </w:r>
      <w:r>
        <w:rPr>
          <w:rFonts w:ascii="Times New Roman" w:hAnsi="Times New Roman" w:cs="Times New Roman"/>
          <w:sz w:val="24"/>
          <w:sz-cs w:val="24"/>
        </w:rPr>
        <w:t xml:space="preserve"> [נוסח חדש].</w:t>
      </w:r>
    </w:p>
    <w:p>
      <w:pPr>
        <w:jc w:val="both"/>
        <w:bidi/>
        <w:spacing w:after="220"/>
      </w:pPr>
      <w:r>
        <w:rPr>
          <w:rFonts w:ascii="Times New Roman" w:hAnsi="Times New Roman" w:cs="Times New Roman"/>
          <w:sz w:val="24"/>
          <w:sz-cs w:val="24"/>
        </w:rPr>
        <w:t xml:space="preserve">13.  מסקנתנו הינה אפוא זו, ששפיגל היה 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לדבר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עבירה אך עד מדינה לא היה. מכאן שעדותו – אשר נמצאה מהימנה – נדרשה אך ל"חיזוק" ולא ל"סיוע", הכול כהוראת </w:t>
      </w:r>
      <w:r>
        <w:rPr>
          <w:rFonts w:ascii="Times New Roman" w:hAnsi="Times New Roman" w:cs="Times New Roman"/>
          <w:sz w:val="24"/>
          <w:sz-cs w:val="24"/>
          <w:u w:val="single"/>
          <w:color w:val="0000FF"/>
        </w:rPr>
        <w:t xml:space="preserve"> HYPERLINK "http://www.nevo.co.il/law/98569/54a.a." סעיף 54א(א)</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"http://www.nevo.co.il/law/98569" </w:t>
      </w:r>
      <w:r>
        <w:rPr>
          <w:rFonts w:ascii="Times New Roman" w:hAnsi="Times New Roman" w:cs="Times New Roman"/>
          <w:sz w:val="24"/>
          <w:sz-cs w:val="24"/>
          <w:u w:val="single"/>
          <w:color w:val="0000FF"/>
        </w:rPr>
        <w:t xml:space="preserve">פקודת הראיות</w:t>
      </w:r>
      <w:r>
        <w:rPr>
          <w:rFonts w:ascii="Times New Roman" w:hAnsi="Times New Roman" w:cs="Times New Roman"/>
          <w:sz w:val="24"/>
          <w:sz-cs w:val="24"/>
        </w:rPr>
        <w:t xml:space="preserve"> [נוסח חדש].</w:t>
      </w:r>
    </w:p>
    <w:p>
      <w:pPr>
        <w:jc w:val="both"/>
        <w:bidi/>
        <w:spacing w:after="220"/>
      </w:pPr>
      <w:r>
        <w:rPr>
          <w:rFonts w:ascii="Times New Roman" w:hAnsi="Times New Roman" w:cs="Times New Roman"/>
          <w:sz w:val="24"/>
          <w:sz-cs w:val="24"/>
        </w:rPr>
        <w:t xml:space="preserve">14.  הערה אחרונה: אמרנו כי "דבר" הניתן לשותף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לעבירה לא יהא "טובת הנאה", אלא לאחר שנִצְרַף באמת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מידה אובייקטיבית ויצא בשלום. הוספנו ואמרנו, כי נוטים אנו להעביר את ה"דבר" בכור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מַצְרֵף סובייקטיבי אף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הוא, שרק אם יֵצא גם ממנו בשלום לא נראה בו "טובת הנאה". על כל אלה מחובתנו להוסיף, כי מדברים אנו במהלכם הרגיל של הדברים; ואילו בנסיבות בלתי רגילות אפשר יחולו סייגים. כך, למשל, נניח כי העד מוחזק במעצר בתנאים בלתי ראויים ובניגוד לדין, ומוצע לו לשמש עד מדינה תמורת שינוי תנאי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המעצר להיותם כתנאי מעצרו של עציר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מן</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המניין. הטבת תנאי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המעצר כמוצע לו הינה זכותו של 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ועל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כן אין הוא מקבל טובת הנאה לפי המבחן האובייקטיבי; שהרי טובת הנאה לפי מבחן זה היא דבר הניתן לעד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מעבר לזכויותיו. נעבור גם את המבחן הסובייקטיבי, הואיל והעד אינו טועה באשר לקבלתה של טובת הנאה. לכאורה, אפוא – ולפי שני המבחנים כאחד – אין 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מקבל טובת הנאה. בה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בעת, נדע ונבין כולנו, שקם ונהיה חשש כי יעיד 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אמת, ולו כדי להשיב לתביעה טובה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תחת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טובה. הוא שאמרנו: המבחנים העקרוניים שהצענו טובים ויפים הם במהלכם הרגיל של הדברים. ואולם שלא במהלכם הרגיל של הדברים נידרש לסייגים הנדרשים מתוך מערכת העובדות.</w:t>
      </w:r>
    </w:p>
    <w:p>
      <w:pPr>
        <w:jc w:val="both"/>
        <w:bidi/>
        <w:spacing w:after="220"/>
      </w:pPr>
      <w:r>
        <w:rPr>
          <w:rFonts w:ascii="Times New Roman" w:hAnsi="Times New Roman" w:cs="Times New Roman"/>
          <w:sz w:val="24"/>
          <w:sz-cs w:val="24"/>
        </w:rPr>
        <w:t xml:space="preserve">הסייג שלענייננו, כך ננסח אותו: במקום בו שוללת המדינה, שלא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כדין, זכות הקנויה לעד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שותף, החזרתה ושיקומה של אותה זכות אפשר תהיה בהן הענקת טובת הנאה (או הבטחה להענקתה של טובת הנאה), הגם שהעד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היה זכאי ממילא להחזרת הזכות ולשיקומה. סייג זה הינו יוצא לכלל הקובע כי טובת הנאה היא דבר שאין 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זכאי לו במהלך הדברים הרגיל. במקרה שתיארנו, זכאי העד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השותף לאשר ניתן לו, ובכל זאת נסווג את המערכת כמערכת שבה קיבל טובת הנאה.</w:t>
      </w:r>
    </w:p>
    <w:p>
      <w:pPr>
        <w:jc w:val="both"/>
        <w:bidi/>
        <w:spacing w:after="220"/>
      </w:pPr>
      <w:r>
        <w:rPr>
          <w:rFonts w:ascii="Times New Roman" w:hAnsi="Times New Roman" w:cs="Times New Roman"/>
          <w:sz w:val="24"/>
          <w:sz-cs w:val="24"/>
        </w:rPr>
        <w:t xml:space="preserve">15.  ביודענו עתה כי עדותו של שפיגל אינה נדרשת אלא לחיזוק בלבד, הבו נעבור עתה ונדון בכל אחד מן הערעורים שלפנינו.</w:t>
      </w:r>
    </w:p>
    <w:p>
      <w:pPr>
        <w:jc w:val="both"/>
        <w:bidi/>
        <w:spacing w:after="210"/>
      </w:pPr>
      <w:r>
        <w:rPr>
          <w:rFonts w:ascii="Times New Roman" w:hAnsi="Times New Roman" w:cs="Times New Roman"/>
          <w:sz w:val="24"/>
          <w:sz-cs w:val="24"/>
        </w:rPr>
        <w:t xml:space="preserve"/>
        <w:br w:type="page"/>
        <w:t xml:space="preserve">ערעורו של זהבי</w:t>
      </w:r>
    </w:p>
    <w:p>
      <w:pPr>
        <w:jc w:val="both"/>
        <w:bidi/>
        <w:spacing w:after="210"/>
      </w:pPr>
      <w:r>
        <w:rPr>
          <w:rFonts w:ascii="Times New Roman" w:hAnsi="Times New Roman" w:cs="Times New Roman"/>
          <w:sz w:val="24"/>
          <w:sz-cs w:val="24"/>
        </w:rPr>
        <w:t xml:space="preserve">16.  זהבי הורשע במרבית האישומים שיוחסו לו בכתב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האישום, וזוכה מאחד מן האישומים (האישום השני). הבו נעבור על הרשעות אלו, ונבחן את טיעוניו של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מקרין לגבי אותן הרשעות, אחת לאחת.</w:t>
      </w:r>
    </w:p>
    <w:p>
      <w:pPr>
        <w:jc w:val="both"/>
        <w:bidi/>
        <w:spacing w:after="210"/>
      </w:pPr>
      <w:r>
        <w:rPr>
          <w:rFonts w:ascii="Times New Roman" w:hAnsi="Times New Roman" w:cs="Times New Roman"/>
          <w:sz w:val="24"/>
          <w:sz-cs w:val="24"/>
        </w:rPr>
        <w:t xml:space="preserve">17.  זהבי הורשע באישום הראשון שבכתב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האישום, ואלה היו עיקרי הדברים: בחודש דצמבר 1993 יזם זהבי נסיעה משותפת לו ולשפיגל ללונדון ולקולומביה. בקולומביה קיבל זהבי שני בקבוקי משקה חריף שנמהל בהם סם הקוקאין, והביא אותם בקבוקים ארצה.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אימץ את עדותו של שפיגל, שבה הפליל את זהבי בעבירה זו, ובה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בעת דחה את גירסתו של זהבי כי מטרת הנסיעה ללונדון ולקולומביה הייתה לעסקים בלבד. חיזוק לעדותו של שפיגל מצא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בהימנעותו של זהבי מהשיב לכתב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האישום, הימנעות שכלשון </w:t>
      </w:r>
      <w:r>
        <w:rPr>
          <w:rFonts w:ascii="Times New Roman" w:hAnsi="Times New Roman" w:cs="Times New Roman"/>
          <w:sz w:val="24"/>
          <w:sz-cs w:val="24"/>
          <w:u w:val="single"/>
          <w:color w:val="0000FF"/>
        </w:rPr>
        <w:t xml:space="preserve"> HYPERLINK "http://www.nevo.co.il/law/74903/152.b." סעיף 152(ב)</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"http://www.nevo.co.il/law/74903" </w:t>
      </w:r>
      <w:r>
        <w:rPr>
          <w:rFonts w:ascii="Times New Roman" w:hAnsi="Times New Roman" w:cs="Times New Roman"/>
          <w:sz w:val="24"/>
          <w:sz-cs w:val="24"/>
          <w:u w:val="single"/>
          <w:color w:val="0000FF"/>
        </w:rPr>
        <w:t xml:space="preserve">חוק סדר הדין הפלילי</w:t>
      </w:r>
      <w:r>
        <w:rPr>
          <w:rFonts w:ascii="Times New Roman" w:hAnsi="Times New Roman" w:cs="Times New Roman"/>
          <w:sz w:val="24"/>
          <w:sz-cs w:val="24"/>
        </w:rPr>
        <w:t xml:space="preserve"> [נוסח משולב], תשמ"ב-1982 "עשויה לשמש חיזוק למשקל הראיות של התביעה". לקיצור דברינו להלן נוסיף, כי חיזוק זה מצא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להרשעתו של זהבי גם בשאר האישומים, שכן זהבי לא השיב לכתב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האישום גם לאחר שבית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הסביר לו את תוצאות הימנעותו מהשיב לאישום.</w:t>
      </w:r>
    </w:p>
    <w:p>
      <w:pPr>
        <w:jc w:val="both"/>
        <w:bidi/>
        <w:spacing w:after="210"/>
      </w:pPr>
      <w:r>
        <w:rPr>
          <w:rFonts w:ascii="Times New Roman" w:hAnsi="Times New Roman" w:cs="Times New Roman"/>
          <w:sz w:val="24"/>
          <w:sz-cs w:val="24"/>
        </w:rPr>
        <w:t xml:space="preserve">אשר לעדותו של שפיגל לגופה,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מצא כי היה בהופעותיו בישיבות הרבות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"גם משום חיספוס, היסוס, ולפעמים התחמקות בשימוש 'לא זוכר'",  ואולם בסיכומו של דבר "בעניינים המהותיים באמת עדותו אמינה...".</w:t>
      </w:r>
    </w:p>
    <w:p>
      <w:pPr>
        <w:jc w:val="both"/>
        <w:bidi/>
        <w:spacing w:after="210"/>
      </w:pPr>
      <w:r>
        <w:rPr>
          <w:rFonts w:ascii="Times New Roman" w:hAnsi="Times New Roman" w:cs="Times New Roman"/>
          <w:sz w:val="24"/>
          <w:sz-cs w:val="24"/>
        </w:rPr>
        <w:t xml:space="preserve">18.  לטענת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מקרין, טעה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בהרשיעו את זהבי באישום זה. וכל כך למה, אלא שהראיה היחידה לייבוא הסם בידי זהבי הייתה עדותו של שפיגל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ועדותו של שפיגל הייתה כי כך אמר לו זהבי בשעה שהראה לו את הבקבוקים. לאמור, היה זה זהבי שאמר לשפיגל כי הבקבוקים מכילים סם. ואולם, כך טוען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מקרין, אין להאמין לשפיגל בדבריו אלה, ולו מטעם זה שבהודעותיו במשטרה לא סיפר כלל כי כך אמר לו זהבי. נתגלעה אפוא סתירה בין הודעותיו של שפיגל במשטרה לבין עדותו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וסתירה זו חייבת להוביל לזיכויו של זהבי. </w:t>
      </w:r>
    </w:p>
    <w:p>
      <w:pPr>
        <w:jc w:val="both"/>
        <w:bidi/>
        <w:spacing w:after="210"/>
      </w:pPr>
      <w:r>
        <w:rPr>
          <w:rFonts w:ascii="Times New Roman" w:hAnsi="Times New Roman" w:cs="Times New Roman"/>
          <w:sz w:val="24"/>
          <w:sz-cs w:val="24"/>
        </w:rPr>
        <w:t xml:space="preserve">טענה זו אינה מקובלת עליי. שפיגל נחקר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כך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והסביר כי לעת מתן ההודעות במשטרה, סמוך לאחר מעצרו, היה מבולבל ולכן אמר כי אינו זוכר אם זהבי סיפר לו שהבקבוקים שהובאו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ידיו הכילו סם. לעומת זאת, בעדותו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היה שפיגל תקיף באומרו שזהבי אמר לו כי הבקבוקים שעמו מכילים סם. </w:t>
      </w:r>
    </w:p>
    <w:p>
      <w:pPr>
        <w:jc w:val="both"/>
        <w:bidi/>
        <w:spacing w:after="210"/>
      </w:pPr>
      <w:r>
        <w:rPr>
          <w:rFonts w:ascii="Times New Roman" w:hAnsi="Times New Roman" w:cs="Times New Roman"/>
          <w:sz w:val="24"/>
          <w:sz-cs w:val="24"/>
        </w:rPr>
        <w:t xml:space="preserve"/>
        <w:br w:type="page"/>
        <w:t xml:space="preserve">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קיבל את הסברו של שפיגל, ואנו לא נסטה מדרכו. לעניין זה נוסיף ונזכיר – גם זאת בדרכו של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 שגירסתו הנוגדת של זהבי לעניין מטרת נסיעתו לקולומביה עם שפיגל הייתה כי בכוונתו היה לבחון ייבוא של בגדי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ים. או "איזה פרוייקט של תפירה לייצור בדים". גירסה זו העלה זהבי לראשונה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הגירסה לא נתמכה בעדים או בראיות אחרות, ואין פלא בדבר כי נדחתה כגירסת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בדים.</w:t>
      </w:r>
    </w:p>
    <w:p>
      <w:pPr>
        <w:jc w:val="both"/>
        <w:bidi/>
        <w:spacing w:after="210"/>
      </w:pPr>
      <w:r>
        <w:rPr>
          <w:rFonts w:ascii="Times New Roman" w:hAnsi="Times New Roman" w:cs="Times New Roman"/>
          <w:sz w:val="24"/>
          <w:sz-cs w:val="24"/>
        </w:rPr>
        <w:t xml:space="preserve">משביכר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את עדותו של שפיגל ומצאה אמינה ומסתברת – גם בהמשך להודעותיו במשטרה – לא נמצאה לנו כערכאת ערעור עילה להתערב בהכרעתו.</w:t>
      </w:r>
    </w:p>
    <w:p>
      <w:pPr>
        <w:jc w:val="both"/>
        <w:bidi/>
        <w:spacing w:after="210"/>
      </w:pPr>
      <w:r>
        <w:rPr>
          <w:rFonts w:ascii="Times New Roman" w:hAnsi="Times New Roman" w:cs="Times New Roman"/>
          <w:sz w:val="24"/>
          <w:sz-cs w:val="24"/>
        </w:rPr>
        <w:t xml:space="preserve">בקבוקי הסם לא נתפשו אמנם, אך אין בעובדה זו, כשהיא לעצמה, כדי למנוע את הרשעתו של זהבי בדינו. אכן, ניתן להרשיע אדם בעיסקת סמים גם אם הסמים לא נתפשו כלל (השוו: </w:t>
      </w:r>
      <w:r>
        <w:rPr>
          <w:rFonts w:ascii="Times New Roman" w:hAnsi="Times New Roman" w:cs="Times New Roman"/>
          <w:sz w:val="24"/>
          <w:sz-cs w:val="24"/>
          <w:u w:val="single"/>
          <w:color w:val="0000FF"/>
        </w:rPr>
        <w:t xml:space="preserve">HYPERLINK "http://www.nevo.co.il/case/17942831"</w:t>
      </w:r>
      <w:r>
        <w:rPr>
          <w:rFonts w:ascii="Times New Roman" w:hAnsi="Times New Roman" w:cs="Times New Roman"/>
          <w:sz w:val="24"/>
          <w:sz-cs w:val="24"/>
          <w:u w:val="single"/>
          <w:color w:val="0000FF"/>
        </w:rPr>
        <w:t xml:space="preserve">ע"פ 840/79</w:t>
      </w:r>
      <w:r>
        <w:rPr>
          <w:rFonts w:ascii="Times New Roman" w:hAnsi="Times New Roman" w:cs="Times New Roman"/>
          <w:sz w:val="24"/>
          <w:sz-cs w:val="24"/>
        </w:rPr>
        <w:t xml:space="preserve">, 854 גבריאלי ואח' נ' מדינת ישראל [3], בעמ' 377; </w:t>
      </w:r>
      <w:r>
        <w:rPr>
          <w:rFonts w:ascii="Times New Roman" w:hAnsi="Times New Roman" w:cs="Times New Roman"/>
          <w:sz w:val="24"/>
          <w:sz-cs w:val="24"/>
          <w:u w:val="single"/>
          <w:color w:val="0000FF"/>
        </w:rPr>
        <w:t xml:space="preserve"> HYPERLINK "http://www.nevo.co.il/case/17915888" </w:t>
      </w:r>
      <w:r>
        <w:rPr>
          <w:rFonts w:ascii="Times New Roman" w:hAnsi="Times New Roman" w:cs="Times New Roman"/>
          <w:sz w:val="24"/>
          <w:sz-cs w:val="24"/>
          <w:u w:val="single"/>
          <w:color w:val="0000FF"/>
        </w:rPr>
        <w:t xml:space="preserve">ע"פ 242/85</w:t>
      </w:r>
      <w:r>
        <w:rPr>
          <w:rFonts w:ascii="Times New Roman" w:hAnsi="Times New Roman" w:cs="Times New Roman"/>
          <w:sz w:val="24"/>
          <w:sz-cs w:val="24"/>
        </w:rPr>
        <w:t xml:space="preserve"> חזן ואח' נ' מדינת ישראל [4], בעמ' 524; </w:t>
      </w:r>
      <w:r>
        <w:rPr>
          <w:rFonts w:ascii="Times New Roman" w:hAnsi="Times New Roman" w:cs="Times New Roman"/>
          <w:sz w:val="24"/>
          <w:sz-cs w:val="24"/>
          <w:u w:val="single"/>
          <w:color w:val="0000FF"/>
        </w:rPr>
        <w:t xml:space="preserve">HYPERLINK "http://www.nevo.co.il/case/17937011"</w:t>
      </w:r>
      <w:r>
        <w:rPr>
          <w:rFonts w:ascii="Times New Roman" w:hAnsi="Times New Roman" w:cs="Times New Roman"/>
          <w:sz w:val="24"/>
          <w:sz-cs w:val="24"/>
          <w:u w:val="single"/>
          <w:color w:val="0000FF"/>
        </w:rPr>
        <w:t xml:space="preserve">ב"ש 519/82</w:t>
      </w:r>
      <w:r>
        <w:rPr>
          <w:rFonts w:ascii="Times New Roman" w:hAnsi="Times New Roman" w:cs="Times New Roman"/>
          <w:sz w:val="24"/>
          <w:sz-cs w:val="24"/>
        </w:rPr>
        <w:t xml:space="preserve"> קדמי נ' מדינת ישראל [5], בעמ' 221). בשים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לב לעדותו של שפיגל – אשר נמצאה מהימנה – ניתן היה להרשיע את זהבי באישום זה הראשון.</w:t>
      </w:r>
    </w:p>
    <w:p>
      <w:pPr>
        <w:jc w:val="both"/>
        <w:bidi/>
        <w:spacing w:after="210"/>
      </w:pPr>
      <w:r>
        <w:rPr>
          <w:rFonts w:ascii="Times New Roman" w:hAnsi="Times New Roman" w:cs="Times New Roman"/>
          <w:sz w:val="24"/>
          <w:sz-cs w:val="24"/>
        </w:rPr>
        <w:t xml:space="preserve">19.  אשר לאישום השלישי: גם בעניינו של אישום זה עד התביעה המרכזי – לו האמין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 היה שפיגל.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פי אישום זה, דרש זהבי משפיגל כי ייסע לקולומביה וייבא סם ארצה בבקבוקי משקה חריף. שפיגל העיד כי לטענתו של זהבי (ונאשמים אחרים) הוא (שפיגל) חב להם סכום של 12,000 דולר, ובעצם מסעו זה היה אמור לכסות את חובו. שפיגל נסע לקולומביה וקיבל ממאן דהוא שבעה בקבוקים המכילים תמיסת קוקאין במשקל של כ7.8</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 ק"ג. המשטרה עלתה על עקבות שפיגל והסם נתפש בביתו (יחד עם קרדוסו אשר בא ליטול את הסם משפיגל).</w:t>
      </w:r>
    </w:p>
    <w:p>
      <w:pPr>
        <w:jc w:val="both"/>
        <w:bidi/>
        <w:spacing w:after="210"/>
      </w:pPr>
      <w:r>
        <w:rPr>
          <w:rFonts w:ascii="Times New Roman" w:hAnsi="Times New Roman" w:cs="Times New Roman"/>
          <w:sz w:val="24"/>
          <w:sz-cs w:val="24"/>
        </w:rPr>
        <w:t xml:space="preserve">טוען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מקרין כי זהבי לא היה מעורב כלל ביבואם של בקבוקים אלה בידי שפיגל. לגירסתו, לא היה קשר אותה עת בין שפיגל לבין זהבי, וממילא אין לקבל את עדותו של שפיגל כי זהבי היה מעורב באותו ייבוא. לטענתו של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מקרין, שפיגל היה בעת הרלוונטית בארץ בעוד שזהבי היה בקולומביה, ומי שיזם את הייבוא לא היה זהבי אלא קרדוסו וחבריו מקולומביה.</w:t>
      </w:r>
    </w:p>
    <w:p>
      <w:pPr>
        <w:jc w:val="both"/>
        <w:bidi/>
        <w:spacing w:after="210"/>
      </w:pPr>
      <w:r>
        <w:rPr>
          <w:rFonts w:ascii="Times New Roman" w:hAnsi="Times New Roman" w:cs="Times New Roman"/>
          <w:sz w:val="24"/>
          <w:sz-cs w:val="24"/>
        </w:rPr>
        <w:t xml:space="preserve">אנו דוחים את טיעוניו של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מקרין. העובדה, כשהיא לעצמה, שזהבי היה בקולומביה בעת ששפיגל אך יצא לשם, אין בה כדי ללמד שזהבי לא היה קשור כלל לתכנון נסיעתו זו של שפיגל על מטרותיה. אכן, אין כל קושי להסכים עם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כי בהתאם לעדותו של שפיגל – אשר נמצאה מהימנה – היה זהבי שותף לייבוא בקבוקי הסם שנתפשו בידי המשטרה. </w:t>
      </w:r>
    </w:p>
    <w:p>
      <w:pPr>
        <w:jc w:val="both"/>
        <w:bidi/>
        <w:spacing w:after="210"/>
      </w:pPr>
      <w:r>
        <w:rPr>
          <w:rFonts w:ascii="Times New Roman" w:hAnsi="Times New Roman" w:cs="Times New Roman"/>
          <w:sz w:val="24"/>
          <w:sz-cs w:val="24"/>
        </w:rPr>
        <w:t xml:space="preserve"/>
        <w:br w:type="page"/>
        <w:t xml:space="preserve">זהבי הורשע גם באישום הרביעי שיוחס לו. זהבי קשר קשר עם קרדוסו, ובחודש אפריל 1994 נסע לקולומביה, שם קיבל בקבוקים שהכילו תמיסת קוקאין. משום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מה נתקף זהבי בחשש והחליט לנטוש את הבקבוקים בקולומביה. כך חזר זהבי ארצה בלא הבקבוקים. בהרשיעו את זהבי באישום זה הסתמך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בעיקר, על הודעותיו של זהבי במשטרה ועל הצהרת בא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כוחו כי מרשו מודה באשמה.</w:t>
      </w:r>
    </w:p>
    <w:p>
      <w:pPr>
        <w:jc w:val="both"/>
        <w:bidi/>
        <w:spacing w:after="210"/>
      </w:pPr>
      <w:r>
        <w:rPr>
          <w:rFonts w:ascii="Times New Roman" w:hAnsi="Times New Roman" w:cs="Times New Roman"/>
          <w:sz w:val="24"/>
          <w:sz-cs w:val="24"/>
        </w:rPr>
        <w:t xml:space="preserve">זהבי הורשע גם באישום החמישי, בהחזקת סם קוקאין במשקל נטו של 14.2106 גרם. גם הרשעה זו יסדה עצמה, בין</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השאר, על הודאתו של זהבי.</w:t>
      </w:r>
    </w:p>
    <w:p>
      <w:pPr>
        <w:jc w:val="both"/>
        <w:bidi/>
        <w:spacing w:after="210"/>
      </w:pPr>
      <w:r>
        <w:rPr>
          <w:rFonts w:ascii="Times New Roman" w:hAnsi="Times New Roman" w:cs="Times New Roman"/>
          <w:sz w:val="24"/>
          <w:sz-cs w:val="24"/>
        </w:rPr>
        <w:t xml:space="preserve">ערעורו של ברזני</w:t>
      </w:r>
    </w:p>
    <w:p>
      <w:pPr>
        <w:jc w:val="both"/>
        <w:bidi/>
        <w:spacing w:after="210"/>
      </w:pPr>
      <w:r>
        <w:rPr>
          <w:rFonts w:ascii="Times New Roman" w:hAnsi="Times New Roman" w:cs="Times New Roman"/>
          <w:sz w:val="24"/>
          <w:sz-cs w:val="24"/>
        </w:rPr>
        <w:t xml:space="preserve">20.  ברזני נמצא אשם בביצוע העבירות שפורטו באישום השני.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הסתמך בעיקר על דבריו של שפיגל, אשר העיד כי במסגרת הקשר שנקשר השתתף במימון נסיעתו של ברזני לקולומביה לשם ייבוא בקבוקי סם. שפיגל אף העיד כי ברזני הגיע לביתו – לאחר שובו מקולומביה – כי באותו מעמד ראה את ברזני מעביר בין 3 ל4</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 בקבוקים מתיק למזוודה (או להפך), ולאחר מכן עזב את ביתו עם הבקבוקים.</w:t>
      </w:r>
    </w:p>
    <w:p>
      <w:pPr>
        <w:jc w:val="both"/>
        <w:bidi/>
        <w:spacing w:after="210"/>
      </w:pPr>
      <w:r>
        <w:rPr>
          <w:rFonts w:ascii="Times New Roman" w:hAnsi="Times New Roman" w:cs="Times New Roman"/>
          <w:sz w:val="24"/>
          <w:sz-cs w:val="24"/>
        </w:rPr>
        <w:t xml:space="preserve">לעדותו של שפיגל נמצא חיזוק. בתחילה תוכנן, כך העיד, שהוא (שפיגל) יצא לקולומביה, אלא שבסופו של דבר יצא ברזני תחתיו. ואמנם, רישומי משרד הנסיעות שטיפל בנסיעה לקולומביה הצביעו על כי שמו של ברזני הופיע תחת שמו של שפיגל. בעניין זה נוסיף, כי גירסתו של ברזני – שלפיה נסע במקום שפיגל לרומא ולבוגוטה לצורך עסקיו – ניתנה רק בחקירתו מיום 2.6.1994 (ת/80) ולא כשנחקר לראשונה בעניין ביום 24.5.1994 (ת/79), יום אחד לאחר מעצרו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המשטרה.</w:t>
      </w:r>
    </w:p>
    <w:p>
      <w:pPr>
        <w:jc w:val="both"/>
        <w:bidi/>
        <w:spacing w:after="210"/>
      </w:pPr>
      <w:r>
        <w:rPr>
          <w:rFonts w:ascii="Times New Roman" w:hAnsi="Times New Roman" w:cs="Times New Roman"/>
          <w:sz w:val="24"/>
          <w:sz-cs w:val="24"/>
        </w:rPr>
        <w:t xml:space="preserve">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ההתאמה שנמצאה בין גירסתו של שפיגל במשטרה לבין עדותו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אינו יורד לשורש עדותו של שפיגל, וגם בכך מסכימים אנו עם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w:t>
      </w:r>
    </w:p>
    <w:p>
      <w:pPr>
        <w:jc w:val="both"/>
        <w:bidi/>
        <w:spacing w:after="210"/>
      </w:pPr>
      <w:r>
        <w:rPr>
          <w:rFonts w:ascii="Times New Roman" w:hAnsi="Times New Roman" w:cs="Times New Roman"/>
          <w:sz w:val="24"/>
          <w:sz-cs w:val="24"/>
        </w:rPr>
        <w:t xml:space="preserve">21.  גם לגבי האישום השלישי נמצא ברזני אשם על סמך עדותו של שפיגל. לפי עדותו של שפיגל, ברזני היה בין אלה ששלחוהו לקולומביה, בהבטחה כי ייבוא הבקבוקים ימחק את החוב שהוא (שפיגל) חב לחבורה (כביכול או שלא כביכול).</w:t>
      </w:r>
    </w:p>
    <w:p>
      <w:pPr>
        <w:jc w:val="both"/>
        <w:bidi/>
        <w:spacing w:after="210"/>
      </w:pPr>
      <w:r>
        <w:rPr>
          <w:rFonts w:ascii="Times New Roman" w:hAnsi="Times New Roman" w:cs="Times New Roman"/>
          <w:sz w:val="24"/>
          <w:sz-cs w:val="24"/>
        </w:rPr>
        <w:t xml:space="preserve">22.  ברזני הורשע גם בעבירת הכשלת שוטר וכן בעבירה נוספת של החזקת סם מסוכן מסוג </w:t>
      </w:r>
      <w:r>
        <w:rPr>
          <w:rFonts w:ascii="Times New Roman" w:hAnsi="Times New Roman" w:cs="Times New Roman"/>
          <w:sz w:val="19"/>
          <w:sz-cs w:val="19"/>
        </w:rPr>
        <w:t xml:space="preserve">M.D.M.A.</w:t>
      </w:r>
      <w:r>
        <w:rPr>
          <w:rFonts w:ascii="Times New Roman" w:hAnsi="Times New Roman" w:cs="Times New Roman"/>
          <w:sz w:val="24"/>
          <w:sz-cs w:val="24"/>
        </w:rPr>
        <w:t xml:space="preserve"> שנתפש ברשותו. על הרשעות אלו לא הוגש ערעור. </w:t>
      </w:r>
    </w:p>
    <w:p>
      <w:pPr>
        <w:jc w:val="both"/>
        <w:bidi/>
        <w:spacing w:after="210"/>
      </w:pPr>
      <w:r>
        <w:rPr>
          <w:rFonts w:ascii="Times New Roman" w:hAnsi="Times New Roman" w:cs="Times New Roman"/>
          <w:sz w:val="24"/>
          <w:sz-cs w:val="24"/>
        </w:rPr>
        <w:t xml:space="preserve">23.  בא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כוחו של ברזני,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דן כרמון, תוקף את הרשעת מרשו בביצוע העבירות שפורטו באישום השני. ראשית, כך טוען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כרמון, לא הוכח שהסמים אשר יובאו לארץ על</w:t>
      </w:r>
      <w:r>
        <w:rPr>
          <w:rFonts w:ascii="Times New Roman" w:hAnsi="Times New Roman" w:cs="Times New Roman"/>
          <w:sz w:val="18"/>
          <w:sz-cs w:val="18"/>
          <w:position w:val="4"/>
        </w:rPr>
        <w:t xml:space="preserve">-</w:t>
      </w:r>
      <w:r>
        <w:rPr>
          <w:rFonts w:ascii="Times New Roman" w:hAnsi="Times New Roman" w:cs="Times New Roman"/>
          <w:sz w:val="24"/>
          <w:sz-cs w:val="24"/>
          <w:spacing w:val="8"/>
        </w:rPr>
        <w:t xml:space="preserve">ידי </w:t>
      </w:r>
      <w:r>
        <w:rPr>
          <w:rFonts w:ascii="Times New Roman" w:hAnsi="Times New Roman" w:cs="Times New Roman"/>
          <w:sz w:val="24"/>
          <w:sz-cs w:val="24"/>
        </w:rPr>
        <w:t xml:space="preserve">ברזני הכילו קוקאין בריכוז העולה </w:t>
      </w:r>
      <w:r>
        <w:rPr>
          <w:rFonts w:ascii="Times New Roman" w:hAnsi="Times New Roman" w:cs="Times New Roman"/>
          <w:sz w:val="24"/>
          <w:sz-cs w:val="24"/>
          <w:spacing w:val="8"/>
        </w:rPr>
        <w:t xml:space="preserve">על 0.1%, ריכוז הנדרש</w:t>
      </w:r>
      <w:r>
        <w:rPr>
          <w:rFonts w:ascii="Times New Roman" w:hAnsi="Times New Roman" w:cs="Times New Roman"/>
          <w:sz w:val="24"/>
          <w:sz-cs w:val="24"/>
        </w:rPr>
        <w:t xml:space="preserve"> </w:t>
      </w:r>
    </w:p>
    <w:p>
      <w:pPr>
        <w:jc w:val="both"/>
        <w:bidi/>
        <w:ind w:first-line="21"/>
        <w:spacing w:after="210"/>
      </w:pPr>
      <w:r>
        <w:rPr>
          <w:rFonts w:ascii="Times New Roman" w:hAnsi="Times New Roman" w:cs="Times New Roman"/>
          <w:sz w:val="24"/>
          <w:sz-cs w:val="24"/>
        </w:rPr>
        <w:t xml:space="preserve"/>
        <w:br w:type="page"/>
        <w:t xml:space="preserve">לשם הגדרת הסם כ"סם מסוכן" (בהתאם להגדרת "סם מסוכן" </w:t>
      </w:r>
      <w:r>
        <w:rPr>
          <w:rFonts w:ascii="Times New Roman" w:hAnsi="Times New Roman" w:cs="Times New Roman"/>
          <w:sz w:val="24"/>
          <w:sz-cs w:val="24"/>
          <w:u w:val="single"/>
          <w:color w:val="0000FF"/>
        </w:rPr>
        <w:t xml:space="preserve"> HYPERLINK "http://www.nevo.co.il/law/4216/1" בסעיף 1</w:t>
      </w:r>
      <w:r>
        <w:rPr>
          <w:rFonts w:ascii="Times New Roman" w:hAnsi="Times New Roman" w:cs="Times New Roman"/>
          <w:sz w:val="24"/>
          <w:sz-cs w:val="24"/>
        </w:rPr>
        <w:t xml:space="preserve"> ל</w:t>
      </w:r>
      <w:r>
        <w:rPr>
          <w:rFonts w:ascii="Times New Roman" w:hAnsi="Times New Roman" w:cs="Times New Roman"/>
          <w:sz w:val="24"/>
          <w:sz-cs w:val="24"/>
          <w:u w:val="single"/>
          <w:color w:val="0000FF"/>
        </w:rPr>
        <w:t xml:space="preserve"> HYPERLINK "http://www.nevo.co.il/law/4216" פקודת הסמים המסוכנים</w:t>
      </w:r>
      <w:r>
        <w:rPr>
          <w:rFonts w:ascii="Times New Roman" w:hAnsi="Times New Roman" w:cs="Times New Roman"/>
          <w:sz w:val="24"/>
          <w:sz-cs w:val="24"/>
        </w:rPr>
        <w:t xml:space="preserve">  [נוסח חדש], תשל"ג-1973 ולאמור </w:t>
      </w:r>
      <w:r>
        <w:rPr>
          <w:rFonts w:ascii="Times New Roman" w:hAnsi="Times New Roman" w:cs="Times New Roman"/>
          <w:sz w:val="24"/>
          <w:sz-cs w:val="24"/>
          <w:u w:val="single"/>
          <w:color w:val="0000FF"/>
        </w:rPr>
        <w:t xml:space="preserve"> HYPERLINK "http://www.nevo.co.il/law/4216/1T" בתוספת הראשונה</w:t>
      </w:r>
      <w:r>
        <w:rPr>
          <w:rFonts w:ascii="Times New Roman" w:hAnsi="Times New Roman" w:cs="Times New Roman"/>
          <w:sz w:val="24"/>
          <w:sz-cs w:val="24"/>
        </w:rPr>
        <w:t xml:space="preserve"> לפקודה, </w:t>
      </w:r>
      <w:r>
        <w:rPr>
          <w:rFonts w:ascii="Times New Roman" w:hAnsi="Times New Roman" w:cs="Times New Roman"/>
          <w:sz w:val="24"/>
          <w:sz-cs w:val="24"/>
          <w:u w:val="single"/>
          <w:color w:val="0000FF"/>
        </w:rPr>
        <w:t xml:space="preserve"> HYPERLINK "http://www.nevo.co.il/law/4216/1TbPaS19" חלק ב', סימן א', פריט 19</w:t>
      </w:r>
      <w:r>
        <w:rPr>
          <w:rFonts w:ascii="Times New Roman" w:hAnsi="Times New Roman" w:cs="Times New Roman"/>
          <w:sz w:val="24"/>
          <w:sz-cs w:val="24"/>
        </w:rPr>
        <w:t xml:space="preserve">). מטעם זה לעצמו, כך טוען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כרמון, חובה הייתה לזכות את ברזני מהאישומים שיוחסו לו באישום השני (וכן בכל שאר האישומים המתייחסים לסמים מסוכנים שהרכבם לא נבדק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המשטרה). יתר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כן: אין לראות חיזוק לעדותו של שפיגל בעובדה כי ברישומי משרד הנסיעות נמצא שברזני נסע לקולומביה במקומו של שפיגל. לטענת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כרמון, מתיישבת עובדה זו גם עם גירסתו של ברזני עצמו, כי רכש את הכרטיס משפיגל לצורך נסיעת העסקים שלו ללונדון ולקולומביה. </w:t>
      </w:r>
    </w:p>
    <w:p>
      <w:pPr>
        <w:jc w:val="both"/>
        <w:bidi/>
        <w:spacing w:after="210"/>
      </w:pPr>
      <w:r>
        <w:rPr>
          <w:rFonts w:ascii="Times New Roman" w:hAnsi="Times New Roman" w:cs="Times New Roman"/>
          <w:sz w:val="24"/>
          <w:sz-cs w:val="24"/>
        </w:rPr>
        <w:t xml:space="preserve">24.</w:t>
        <w:tab/>
        <w:t xml:space="preserve">טענות אלו אינן מקובלות עלינו. אשר לטענה בדבר ריכוזו של הסם: טענה זו הינה טענה מפתיעה. הטענה לא הועלתה כלל לפני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ולראשונה הועלתה לפנינו. השאלה היא אפוא אם נוכח 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העלאתה של הטענה בערכאה קמא ואי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הוכחת ריכוזו של הסם, ראוי הוא שנזכה את ברזני מן האשמה. תשובתנו לשאלה היא בשלילה. נזכור כי ברזני הכחיש כל קשר לייבוא הסם, ובקעת חילוקי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הדעות בין המדינה לבין ברזני בערכאה קמא הייתה באשר למעורבותו בייבוא הסם. הנחת היסוד של הכול הייתה זו, כי מי שטורח לייבא סם קוקאין מקולומביה – לא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שכן באמצעי מתוחכם של המסה בבקבוקי משקה חריף, כְּאלה הנקנים בחנויות פטורות ממכס – חזקה עליו כי מייבא הוא סם שראוי לייבאו, סם שניתן יהיה למוכרו בשוק הסמים. פירוש הדברים הוא, כי קמה ונהיית חזקה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שבעובדה – חזקה שהיא ילידת השכל הישר ומציאות החיים – כי הסם שיובא היה בריכוז שעשה אותו ראוי למסחר, קרי סם מסוכן. מי הוא זה ואיזה הוא שיטרח לייבא מקולומביה – באמצעים מתוחכמים – סם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שאינו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סם? בנסיבות אלו, ומשלא הועלה ולו רמז לעניין ריכוז הסם, שוב לא יישמע נאשם בטענה – לראשונה בערעור – כי לא הוכח ריכוזו של הסם להיותו "סם מסוכן". טענה מעין</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זו הנשמעת לראשונה בערעור נעדרת היא משקל. ב</w:t>
      </w:r>
      <w:r>
        <w:rPr>
          <w:rFonts w:ascii="Times New Roman" w:hAnsi="Times New Roman" w:cs="Times New Roman"/>
          <w:sz w:val="24"/>
          <w:sz-cs w:val="24"/>
          <w:u w:val="single"/>
          <w:color w:val="0000FF"/>
        </w:rPr>
        <w:t xml:space="preserve"> HYPERLINK "http://www.nevo.co.il/links/psika/?link=עפ 3974/90" ע"פ 3974/90</w:t>
      </w:r>
      <w:r>
        <w:rPr>
          <w:rFonts w:ascii="Times New Roman" w:hAnsi="Times New Roman" w:cs="Times New Roman"/>
          <w:sz w:val="24"/>
          <w:sz-cs w:val="24"/>
        </w:rPr>
        <w:t xml:space="preserve"> אזולאי ואח' נ' מדינת ישראל [6], הורשעו מוכרי סמים בביצוע עיסקאות מספר, כולל בעיסקה שבה לא נתפס הסם אלא נבלע ע"י הקונים לפני שנעצרו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המשטרה. אמרה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כך </w:t>
      </w:r>
      <w:r>
        <w:rPr>
          <w:rFonts w:ascii="Times New Roman" w:hAnsi="Times New Roman" w:cs="Times New Roman"/>
          <w:sz w:val="19"/>
          <w:sz-cs w:val="19"/>
        </w:rPr>
        <w:t xml:space="preserve">השופטת דורנר</w:t>
      </w:r>
      <w:r>
        <w:rPr>
          <w:rFonts w:ascii="Times New Roman" w:hAnsi="Times New Roman" w:cs="Times New Roman"/>
          <w:sz w:val="24"/>
          <w:sz-cs w:val="24"/>
        </w:rPr>
        <w:t xml:space="preserve">:</w:t>
      </w:r>
    </w:p>
    <w:p>
      <w:pPr>
        <w:jc w:val="both"/>
        <w:bidi/>
        <w:ind w:left="454" w:right="454"/>
        <w:spacing w:after="210"/>
      </w:pPr>
      <w:r>
        <w:rPr>
          <w:rFonts w:ascii="Times New Roman" w:hAnsi="Times New Roman" w:cs="Times New Roman"/>
          <w:sz w:val="24"/>
          <w:sz-cs w:val="24"/>
        </w:rPr>
        <w:t xml:space="preserve">"במקרה דנן, מכלול הראיות – נסיבות הקנייה... האריזה, צבע החומר והעובדה שהלקוחות בלעו את הסם [בצבע חום – מ' ח'] בעת המעצר, שהיא כשלעצמה הוכחה שלא היה זה חומר תמים – מוליך למסקנה, כי החומר החום היה סם מסוכן" (בעמ' 571).</w:t>
      </w:r>
    </w:p>
    <w:p>
      <w:pPr>
        <w:jc w:val="both"/>
        <w:bidi/>
        <w:spacing w:after="210"/>
      </w:pPr>
      <w:r>
        <w:rPr>
          <w:rFonts w:ascii="Times New Roman" w:hAnsi="Times New Roman" w:cs="Times New Roman"/>
          <w:sz w:val="24"/>
          <w:sz-cs w:val="24"/>
        </w:rPr>
        <w:t xml:space="preserve"/>
        <w:br w:type="page"/>
        <w:t xml:space="preserve">גם בענייננו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שלנו, האופן הזהה של הבאת הבקבוקים בכל המקרים (כולל הבקבוקים שנתפסו ושנמצאה בהם תמיסת קוקאין בריכוז המתאים להגדרת סם מסוכן בהתאם להוראות </w:t>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[נוסח חדש]), ובכלל זה: מוצאם של הבקבוקים, אופן נשיאתם ודמיונם הצורני, כל אלה מובילים למסקנה המתבקשת כי יובא לישראל סם מסוכן.</w:t>
      </w:r>
    </w:p>
    <w:p>
      <w:pPr>
        <w:jc w:val="both"/>
        <w:bidi/>
        <w:spacing w:after="210"/>
      </w:pPr>
      <w:r>
        <w:rPr>
          <w:rFonts w:ascii="Times New Roman" w:hAnsi="Times New Roman" w:cs="Times New Roman"/>
          <w:sz w:val="24"/>
          <w:sz-cs w:val="24"/>
        </w:rPr>
        <w:t xml:space="preserve">25.  אשר לטענת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כרמון בעניין הרישומים במשרד הנסיעות, גם טענה זו אינה מקובלת עלינו. גירסתו של ברזני דהאידנא הועלתה בעדותו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אך בהודעתו הראשונה במשטרה לא אמר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כך דבר וחצי דבר. נהפוך הוא: בהודעותיו במשטרה הדגיש ברזני את קשריו הרופפים, כביכול, עם שפיגל, וגירסתו זו אינה מתיישבת עם גירסתו המאוחרת. דווקא גירסתו של שפיגל זוכה לחיזוק, ואין פלא בדבר אפוא כי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קיבל גירסה זו דווקא, לאמור: כי העברת הכרטיס משם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אל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שם נעשתה לצורך עיסקת הסמים שיובאו ארצה בידי ברזני.</w:t>
      </w:r>
    </w:p>
    <w:p>
      <w:pPr>
        <w:jc w:val="both"/>
        <w:bidi/>
        <w:spacing w:after="210"/>
      </w:pPr>
      <w:r>
        <w:rPr>
          <w:rFonts w:ascii="Times New Roman" w:hAnsi="Times New Roman" w:cs="Times New Roman"/>
          <w:sz w:val="24"/>
          <w:sz-cs w:val="24"/>
        </w:rPr>
        <w:t xml:space="preserve">26.  ולעניינו של האישום השלישי: אישום זה, כזכור, עניינו בנסיעתו של שפיגל לקולומביה – בשליחותם של זהבי ושל ברזני – לייבא סם קוקאין, ובייבואו של הסם בשבעה בקבוקים שנתפשו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המשטרה. טוען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כרמון, כי לא נמצא חיזוק לעדותו של שפיגל וכי "הסבר סביר ומתקבל על הדעת באשר לחלקו באישום זה" – כלשונו של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 אין בו חיזוק כנדרש בדין.</w:t>
      </w:r>
    </w:p>
    <w:p>
      <w:pPr>
        <w:jc w:val="both"/>
        <w:bidi/>
        <w:spacing w:after="240"/>
      </w:pPr>
      <w:r>
        <w:rPr>
          <w:rFonts w:ascii="Times New Roman" w:hAnsi="Times New Roman" w:cs="Times New Roman"/>
          <w:sz w:val="24"/>
          <w:sz-cs w:val="24"/>
        </w:rPr>
        <w:t xml:space="preserve">על דרך העיקרון, "המושג 'דבר לחיזוק' אינו קושר עצמו בכל תנאי מוקדם שהוא באשר לתוכנו של אותו 'דבר'... 'דבר לחיזוק' הוא... לחיזוק מהימנותו ואמינותו של השותף לדבר עבירה; אותו 'דבר' יכול שיבוא מן הגורן או מן היקב, ואין כל הכרח אפריורי כי יכוון פניו אל הנאשם ויערב אותו במעשה העבירה" (</w:t>
      </w:r>
      <w:r>
        <w:rPr>
          <w:rFonts w:ascii="Times New Roman" w:hAnsi="Times New Roman" w:cs="Times New Roman"/>
          <w:sz w:val="24"/>
          <w:sz-cs w:val="24"/>
          <w:u w:val="single"/>
          <w:color w:val="0000FF"/>
        </w:rPr>
        <w:t xml:space="preserve">HYPERLINK "http://www.nevo.co.il/case/6051850"ע"פ 6147/92</w:t>
      </w:r>
      <w:r>
        <w:rPr>
          <w:rFonts w:ascii="Times New Roman" w:hAnsi="Times New Roman" w:cs="Times New Roman"/>
          <w:sz w:val="24"/>
          <w:sz-cs w:val="24"/>
        </w:rPr>
        <w:t xml:space="preserve"> מדינת ישראל נ' כהן [7], בעמ' 80; ראו עוד שם, בעמ' 69-70, בעמ' 79-80, והאסמכתאות הנזכרות שם). כך דין על דרך הכלל. עם זאת, נראה לי כי בנסיבות ענייננו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שלנו "הסבר סביר ומתקבל על הדעת", אין די בו כדי לשמש חיזוק כנדרש בחוק. ואולם, ניתן לאתר בנקל בחומר הראיות חיזוק לדבריו של שפיגל. בהודעתו במשטרה מיום 2.6.1994 (ת/80) מסר ברזני כי נודע לו על נסיעתו של שפיגל לחוץ</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לארץ שעה שקרא בעיתון על מעצרו, לאחר שנתפס עם הסמים בהגיעו ארצה. גם בעדותו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הדגיש ברזני, כי בתקופה שלפני נסיעתו של שפיגל לקולומביה להביא סמים – בחודש אפריל 1994 – לא היה עוד כל קשר ביניהם; ובלשונו: "הקשר התנתק". והנה, בהודעתה למשטרה (אשר הוגשה בהסכמת הצדדים כמוצג ת/121), מסרה עובדת משרד הנסיעות "ניצה טורס", גב' טליה רביב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שליטנר, כי סמוך לאחר הסדרת נסיעתו האחרונה של שפיגל לבוגוטה, פנה אליה ברזני ואמר "שהוא גם רוצה לנסוע </w:t>
      </w:r>
      <w:r>
        <w:rPr>
          <w:rFonts w:ascii="Times New Roman" w:hAnsi="Times New Roman" w:cs="Times New Roman"/>
          <w:sz w:val="24"/>
          <w:sz-cs w:val="24"/>
          <w:spacing w:val="8"/>
        </w:rPr>
        <w:t xml:space="preserve">לבוגוטה וביקש שאני</w:t>
      </w:r>
      <w:r>
        <w:rPr>
          <w:rFonts w:ascii="Times New Roman" w:hAnsi="Times New Roman" w:cs="Times New Roman"/>
          <w:sz w:val="24"/>
          <w:sz-cs w:val="24"/>
        </w:rPr>
        <w:t xml:space="preserve"> </w:t>
      </w:r>
    </w:p>
    <w:p>
      <w:pPr>
        <w:jc w:val="both"/>
        <w:bidi/>
        <w:ind w:first-line="21"/>
        <w:spacing w:after="240"/>
      </w:pPr>
      <w:r>
        <w:rPr>
          <w:rFonts w:ascii="Times New Roman" w:hAnsi="Times New Roman" w:cs="Times New Roman"/>
          <w:sz w:val="24"/>
          <w:sz-cs w:val="24"/>
        </w:rPr>
        <w:t xml:space="preserve"/>
        <w:br w:type="page"/>
        <w:t xml:space="preserve">אסדר לו את אותה הטיסה שהייתה למוטי [שפיגל – מ' ח']. הוא חשב שמוטי נסע ב'אליטליה' והוא לא ידע שמוטי נסע ב'בריטיש אירוויס'" (עמ' 3 למוצג ת/121). אין תמה בדבר, כי תגובתו של המערער למשמע הודעתה הנ"ל של גב' רביב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שליטנר הייתה: "...כל העדות הזאת היא סילוף אחד גדול". אכן, נמצא חיזוק לעדותו של שפיגל באשר למעורבותו של ברזני בפרשת האישום השלישי.</w:t>
      </w:r>
    </w:p>
    <w:p>
      <w:pPr>
        <w:jc w:val="both"/>
        <w:bidi/>
        <w:spacing w:after="240"/>
      </w:pPr>
      <w:r>
        <w:rPr>
          <w:rFonts w:ascii="Times New Roman" w:hAnsi="Times New Roman" w:cs="Times New Roman"/>
          <w:sz w:val="24"/>
          <w:sz-cs w:val="24"/>
        </w:rPr>
        <w:t xml:space="preserve">ערעורו של קרדוסו</w:t>
      </w:r>
      <w:r>
        <w:rPr>
          <w:rFonts w:ascii="Times New Roman" w:hAnsi="Times New Roman" w:cs="Times New Roman"/>
          <w:sz w:val="24"/>
          <w:sz-cs w:val="24"/>
          <w:i/>
        </w:rPr>
        <w:t xml:space="preserve"/>
      </w:r>
    </w:p>
    <w:p>
      <w:pPr>
        <w:jc w:val="both"/>
        <w:bidi/>
        <w:spacing w:after="240"/>
      </w:pPr>
      <w:r>
        <w:rPr>
          <w:rFonts w:ascii="Times New Roman" w:hAnsi="Times New Roman" w:cs="Times New Roman"/>
          <w:sz w:val="24"/>
          <w:sz-cs w:val="24"/>
        </w:rPr>
        <w:t xml:space="preserve">27.  קרדוסו הורשע באישום השלישי. הרשעתו התבססה על עדותו של שפיגל, אך גם על תפיסתו flagrante delicto, שעה שבא ליטול את הסמים ששפיגל הביא עמו מקולומביה. בהרשעת קרדוסו באישום זה, נשען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גם על אימרותיו במשטרה.</w:t>
      </w:r>
    </w:p>
    <w:p>
      <w:pPr>
        <w:jc w:val="both"/>
        <w:bidi/>
        <w:spacing w:after="240"/>
      </w:pPr>
      <w:r>
        <w:rPr>
          <w:rFonts w:ascii="Times New Roman" w:hAnsi="Times New Roman" w:cs="Times New Roman"/>
          <w:sz w:val="24"/>
          <w:sz-cs w:val="24"/>
        </w:rPr>
        <w:t xml:space="preserve">הרשעתו של קרדוסו באישום הרביעי התבססה על אימרותיו במשטרה, ובאמרות אלו נחשף הקשר החזק שהיה לקרדוסו עם עסקי הסמים שפורטו בכתב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האישום. </w:t>
      </w:r>
    </w:p>
    <w:p>
      <w:pPr>
        <w:jc w:val="both"/>
        <w:bidi/>
        <w:spacing w:after="240"/>
      </w:pPr>
      <w:r>
        <w:rPr>
          <w:rFonts w:ascii="Times New Roman" w:hAnsi="Times New Roman" w:cs="Times New Roman"/>
          <w:sz w:val="24"/>
          <w:sz-cs w:val="24"/>
        </w:rPr>
        <w:t xml:space="preserve">טענת קרדוסו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כי נגרם לו עיוות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עקב 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מינוי סניגור בעבורו כדין, נדחתה 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ידי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בנימוק כי בא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כוחו,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לוי, ייצגו החל בישיבה הראשונה.</w:t>
      </w:r>
    </w:p>
    <w:p>
      <w:pPr>
        <w:jc w:val="both"/>
        <w:bidi/>
        <w:spacing w:after="240"/>
      </w:pPr>
      <w:r>
        <w:rPr>
          <w:rFonts w:ascii="Times New Roman" w:hAnsi="Times New Roman" w:cs="Times New Roman"/>
          <w:sz w:val="24"/>
          <w:sz-cs w:val="24"/>
        </w:rPr>
        <w:t xml:space="preserve">28.  ערעורו של קרדוסו היה על חומרת העונש בלבד, תוך שהוא מביע חרטה על מעשיו. וכדבריו בכתב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הערעור: "אני מביע חרטה על מעשי לאחר שהודיתי בהם וביקשתי את סליחת כל הנוגעים בדבר". רק לאחר עבור חודשים ארוכים הגיש בא</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כוחו,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לוי, ערעור על ההרשעה גם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היא (בצירוף לבקשה להרחיב את המועד להגשת הערעור). כנימוק להגשת הערעור החדש כותב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לוי כך: "מאחר והמשיבה הגישה ערעור על קולת העונש והמערער עצמו השאיר ההחלטה בידי, החלטתי בכל זאת להגיש בשמו ערעור על ההרשעה".</w:t>
      </w:r>
    </w:p>
    <w:p>
      <w:pPr>
        <w:jc w:val="both"/>
        <w:bidi/>
        <w:spacing w:after="240"/>
      </w:pPr>
      <w:r>
        <w:rPr>
          <w:rFonts w:ascii="Times New Roman" w:hAnsi="Times New Roman" w:cs="Times New Roman"/>
          <w:sz w:val="24"/>
          <w:sz-cs w:val="24"/>
        </w:rPr>
        <w:t xml:space="preserve">לא זו הדרך להגיש ערעור.</w:t>
      </w:r>
    </w:p>
    <w:p>
      <w:pPr>
        <w:jc w:val="both"/>
        <w:bidi/>
        <w:spacing w:after="240"/>
      </w:pPr>
      <w:r>
        <w:rPr>
          <w:rFonts w:ascii="Times New Roman" w:hAnsi="Times New Roman" w:cs="Times New Roman"/>
          <w:sz w:val="24"/>
          <w:sz-cs w:val="24"/>
        </w:rPr>
        <w:t xml:space="preserve">29.  טוען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לוי כי זכויות מרשו נפגעו, באשר הודע על מעצרו לשגרירות ארצו בישראל רק עשרים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ושמונה יום לאחר המעצר. מטעם זה מבקש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לוי לפסול את הודעתו של קרדוסו במשטרה, הודעה שניתנה לפני שנפגש עם עורך</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טענה זו אין בה ממש. גם אם נקבל את הטענה שהיה על המשטרה לעשות מאמצים משמעותיים יותר להודיע בהקדם לשגרירות </w:t>
      </w:r>
      <w:r>
        <w:rPr>
          <w:rFonts w:ascii="Times New Roman" w:hAnsi="Times New Roman" w:cs="Times New Roman"/>
          <w:sz w:val="24"/>
          <w:sz-cs w:val="24"/>
          <w:spacing w:val="8"/>
        </w:rPr>
        <w:t xml:space="preserve">ארצו של קרדוסו על דבר מעצרו, לא</w:t>
      </w:r>
      <w:r>
        <w:rPr>
          <w:rFonts w:ascii="Times New Roman" w:hAnsi="Times New Roman" w:cs="Times New Roman"/>
          <w:sz w:val="24"/>
          <w:sz-cs w:val="24"/>
        </w:rPr>
        <w:t xml:space="preserve"> </w:t>
      </w:r>
    </w:p>
    <w:p>
      <w:pPr>
        <w:jc w:val="both"/>
        <w:bidi/>
        <w:ind w:first-line="21"/>
        <w:spacing w:after="240"/>
      </w:pPr>
      <w:r>
        <w:rPr>
          <w:rFonts w:ascii="Times New Roman" w:hAnsi="Times New Roman" w:cs="Times New Roman"/>
          <w:sz w:val="24"/>
          <w:sz-cs w:val="24"/>
        </w:rPr>
        <w:t xml:space="preserve"/>
        <w:br w:type="page"/>
        <w:t xml:space="preserve">מצאנו עילה לפסול את תקפות הודעותיו במשטרה. אין חולק כי הודעותיו של קרדוסו ניתנו מרצונו החופשי, וממילא אין הצדק לשנות מקביעתו של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כי שום עיוות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דין לא נגרם לו, בשל השימוש שנעשה בהודעתו במשטרה, תוך העדפתה על עדותו הכופרת באשמה 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משפט קמא ביכר את הודעת קרדוסו במשטרה כיון שעדותו בפניו נמצאה בלתי אמינה.</w:t>
      </w:r>
    </w:p>
    <w:p>
      <w:pPr>
        <w:jc w:val="both"/>
        <w:bidi/>
        <w:spacing w:after="220"/>
      </w:pPr>
      <w:r>
        <w:rPr>
          <w:rFonts w:ascii="Times New Roman" w:hAnsi="Times New Roman" w:cs="Times New Roman"/>
          <w:sz w:val="24"/>
          <w:sz-cs w:val="24"/>
        </w:rPr>
        <w:t xml:space="preserve">סיכום לעניין ההרשעות בדין</w:t>
      </w:r>
    </w:p>
    <w:p>
      <w:pPr>
        <w:jc w:val="both"/>
        <w:bidi/>
        <w:spacing w:after="220"/>
      </w:pPr>
      <w:r>
        <w:rPr>
          <w:rFonts w:ascii="Times New Roman" w:hAnsi="Times New Roman" w:cs="Times New Roman"/>
          <w:sz w:val="24"/>
          <w:sz-cs w:val="24"/>
        </w:rPr>
        <w:t xml:space="preserve">30.  כללם של דברים: אנו דוחים את ערעוריהם של שלושת המערערים על הרשעתם בדין.</w:t>
      </w:r>
    </w:p>
    <w:p>
      <w:pPr>
        <w:jc w:val="both"/>
        <w:bidi/>
        <w:spacing w:after="210"/>
      </w:pPr>
      <w:r>
        <w:rPr>
          <w:rFonts w:ascii="Times New Roman" w:hAnsi="Times New Roman" w:cs="Times New Roman"/>
          <w:sz w:val="24"/>
          <w:sz-cs w:val="24"/>
        </w:rPr>
        <w:t xml:space="preserve">ולעניין העונש</w:t>
      </w:r>
    </w:p>
    <w:p>
      <w:pPr>
        <w:jc w:val="both"/>
        <w:bidi/>
        <w:spacing w:after="210"/>
      </w:pPr>
      <w:r>
        <w:rPr>
          <w:rFonts w:ascii="Times New Roman" w:hAnsi="Times New Roman" w:cs="Times New Roman"/>
          <w:sz w:val="24"/>
          <w:sz-cs w:val="24"/>
        </w:rPr>
        <w:t xml:space="preserve">31.  כאמור בראש פסק</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הדין, נדונו זהבי וברזני לשמונה שנות מאסר בפועל ולשנתיים וחצי מאסר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תנאי, ואילו קרדוסו נדון לשבע שנות מאסר ולשנתיים וחצי מאסר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תנאי.</w:t>
      </w:r>
    </w:p>
    <w:p>
      <w:pPr>
        <w:jc w:val="both"/>
        <w:bidi/>
        <w:spacing w:after="210"/>
      </w:pPr>
      <w:r>
        <w:rPr>
          <w:rFonts w:ascii="Times New Roman" w:hAnsi="Times New Roman" w:cs="Times New Roman"/>
          <w:sz w:val="24"/>
          <w:sz-cs w:val="24"/>
        </w:rPr>
        <w:t xml:space="preserve">זהבי, ברזני וקרדוסו מערערים על חומרת העונש, ומנגד מערערת המדינה על קולת העונש.</w:t>
      </w:r>
    </w:p>
    <w:p>
      <w:pPr>
        <w:jc w:val="both"/>
        <w:bidi/>
        <w:spacing w:after="210"/>
      </w:pPr>
      <w:r>
        <w:rPr>
          <w:rFonts w:ascii="Times New Roman" w:hAnsi="Times New Roman" w:cs="Times New Roman"/>
          <w:sz w:val="24"/>
          <w:sz-cs w:val="24"/>
        </w:rPr>
        <w:t xml:space="preserve">32.  נזכיר בראשי פרקים באילו עבירות הורשע כל אחד מן הנאשמים.</w:t>
      </w:r>
    </w:p>
    <w:p>
      <w:pPr>
        <w:jc w:val="both"/>
        <w:bidi/>
        <w:spacing w:after="210"/>
      </w:pPr>
      <w:r>
        <w:rPr>
          <w:rFonts w:ascii="Times New Roman" w:hAnsi="Times New Roman" w:cs="Times New Roman"/>
          <w:sz w:val="24"/>
          <w:sz-cs w:val="24"/>
        </w:rPr>
        <w:t xml:space="preserve">זהבי הורשע בארבעה אישומים, ואלה הם: ייבא מקולומביה שני בקבוקים שנחזו להיותם בקבוקי משקה חריף ואשר בפועל הכילו קוקאין נוזלי (האישום הראשון); ייבא מקולומביה יחד עם ברזני וקרדוסו בקבוקים שנחזו להיותם בקבוקי משקה חריף ואשר בפועל הכילו קוקאין נוזלי במשקל 7.86 ק"ג (האישום השלישי); ניסה לייבא ארצה בקבוקים המכילים קוקאין (האישום הרביעי); החזיק בקוקאין במשקל 14.2 גרם  (האישום החמישי).</w:t>
      </w:r>
    </w:p>
    <w:p>
      <w:pPr>
        <w:jc w:val="both"/>
        <w:bidi/>
        <w:spacing w:after="210"/>
      </w:pPr>
      <w:r>
        <w:rPr>
          <w:rFonts w:ascii="Times New Roman" w:hAnsi="Times New Roman" w:cs="Times New Roman"/>
          <w:sz w:val="24"/>
          <w:sz-cs w:val="24"/>
        </w:rPr>
        <w:t xml:space="preserve">ברזני הורשע בארבעה אישומים, ואלה הם: ייבא לארץ בקבוקים שהכילו קוקאין נוזלי (האישום השני); ייבא לארץ יחד עם זהבי וקרדוסו בקבוקים שהכילו קוקאין נוזלי במשקל 7.86 ק"ג (האישום השלישי); הכשיל שוטר במילוי תפקידו (האישום השישי); החזיק סם מסוג M.D.N.A. במשקל 0.2 גרם (האישום השביעי).</w:t>
      </w:r>
    </w:p>
    <w:p>
      <w:pPr>
        <w:jc w:val="both"/>
        <w:bidi/>
        <w:spacing w:after="210"/>
      </w:pPr>
      <w:r>
        <w:rPr>
          <w:rFonts w:ascii="Times New Roman" w:hAnsi="Times New Roman" w:cs="Times New Roman"/>
          <w:sz w:val="24"/>
          <w:sz-cs w:val="24"/>
        </w:rPr>
        <w:t xml:space="preserve"/>
        <w:br w:type="page"/>
        <w:t xml:space="preserve">קרדוסו הורשע בשני אישומים אלה: ייבא לארץ יחד עם זהבי וברזני קוקאין נוזלי במשקל 7.86 ק"ג (האישום השלישי); קשר קשר עם זהבי לייבא לארץ קוקאין, והיה שותף לניסיונו של זהבי לייבא ארצה אותו קוקאין.</w:t>
      </w:r>
    </w:p>
    <w:p>
      <w:pPr>
        <w:jc w:val="both"/>
        <w:bidi/>
        <w:spacing w:after="240"/>
      </w:pPr>
      <w:r>
        <w:rPr>
          <w:rFonts w:ascii="Times New Roman" w:hAnsi="Times New Roman" w:cs="Times New Roman"/>
          <w:sz w:val="24"/>
          <w:sz-cs w:val="24"/>
        </w:rPr>
        <w:t xml:space="preserve">33.  אשר לערעורי המערערים: טוענים באי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כוח המערערים, כי שפיגל – בריח התיכון בהרשעת מרשיהם – היה ראש הרשת ולא אך בלדר לייבואם של סמים. ומשהוטל על שפיגל עונש מאסר בפועל בן שש שנים וחצי, אך דין הוא שעונשם של מרשיהם יהיה פחות מעונשו של שפיגל. </w:t>
      </w:r>
    </w:p>
    <w:p>
      <w:pPr>
        <w:jc w:val="both"/>
        <w:bidi/>
        <w:spacing w:after="240"/>
      </w:pPr>
      <w:r>
        <w:rPr>
          <w:rFonts w:ascii="Times New Roman" w:hAnsi="Times New Roman" w:cs="Times New Roman"/>
          <w:sz w:val="24"/>
          <w:sz-cs w:val="24"/>
        </w:rPr>
        <w:t xml:space="preserve">אין בטענה זו כל ממש. נהפוך הוא: הכול מסכימים כי שפיגל היה שותפם של המערערים למעשי הפשע, ואולם ראייה כוללת תלמדנו שלא שפיגל היה העבריין העיקרי. יתר</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על</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כן: ההשוואה בין שפיגל לבין המערערים, נעדרת היא כל ממשות. עם קריאתו של כתב</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האישום הודה שפיגל בעובדות שיוחסו לו – בהמשך להודעותיו</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הודאותיו במשטרה – ובבית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המשפט חשף את חלקו ואת חלקיהם של האחרים בפרשיות השונות, והכול תוך שסיכן את עצמו. אמירתו של שפיגל כי לולא נתפש היה אמור לקבל "כמה אלפים טובים", מלמדת, כשהיא לעצמה, מי היה האדון ומי היה המשרת.</w:t>
      </w:r>
    </w:p>
    <w:p>
      <w:pPr>
        <w:jc w:val="both"/>
        <w:bidi/>
        <w:spacing w:after="240"/>
      </w:pPr>
      <w:r>
        <w:rPr>
          <w:rFonts w:ascii="Times New Roman" w:hAnsi="Times New Roman" w:cs="Times New Roman"/>
          <w:sz w:val="24"/>
          <w:sz-cs w:val="24"/>
        </w:rPr>
        <w:t xml:space="preserve">אשר לטענותיהם הכלליות של המערערים בנושא העונש, גם באלו אין כל ממש.</w:t>
      </w:r>
    </w:p>
    <w:p>
      <w:pPr>
        <w:jc w:val="both"/>
        <w:bidi/>
        <w:spacing w:after="240"/>
      </w:pPr>
      <w:r>
        <w:rPr>
          <w:rFonts w:ascii="Times New Roman" w:hAnsi="Times New Roman" w:cs="Times New Roman"/>
          <w:sz w:val="24"/>
          <w:sz-cs w:val="24"/>
        </w:rPr>
        <w:t xml:space="preserve">34.  אשר לערעורה של המדינה על קולת העונש. </w:t>
      </w:r>
    </w:p>
    <w:p>
      <w:pPr>
        <w:jc w:val="both"/>
        <w:bidi/>
        <w:spacing w:after="240"/>
      </w:pPr>
      <w:r>
        <w:rPr>
          <w:rFonts w:ascii="Times New Roman" w:hAnsi="Times New Roman" w:cs="Times New Roman"/>
          <w:sz w:val="24"/>
          <w:sz-cs w:val="24"/>
        </w:rPr>
        <w:t xml:space="preserve">ערעור זה יש בו ממש.</w:t>
      </w:r>
    </w:p>
    <w:p>
      <w:pPr>
        <w:jc w:val="both"/>
        <w:bidi/>
        <w:spacing w:after="240"/>
      </w:pPr>
      <w:r>
        <w:rPr>
          <w:rFonts w:ascii="Times New Roman" w:hAnsi="Times New Roman" w:cs="Times New Roman"/>
          <w:sz w:val="24"/>
          <w:sz-cs w:val="24"/>
        </w:rPr>
        <w:t xml:space="preserve">סקירת הפרשיות השונות לפרטיהן מלמדת אותנו על בנייתה של רשת מתוחכמת שאותה הקימו המערערים, להברחתו של סם הקוקאין ארצה. כמויות הקוקאין שהוברחו היו כמויות עצומות, וכעוצמת הנזק שנגרם ואשר עלול היה להיגרם לכלל ולפרט, כן ראויה שתהיה עוצמת העונש. נוסיף ונזכיר כי חלק מהקוקאין שיובא ארצה לא נתפש. פירוש הדבר הוא, כי הסם סופק לצרכנים, מצא את דרכו לגופם של הצרכנים, והמערערים גרפו מסתמא את השלל לכיסיהם. עוד ראוי להזכיר, כי ברזני וקרדוסו הורשעו בעבר בחוץ</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לארץ בעבירות סמים ואף רָצו עונשי מאסר. והנה חזרו לסורם. אם שפיגל, אשר הודה במעשיו והביא להרשעת המערערים נדון לשש שנות מאסר בפועל וחצי, דומה שעונשיהם של המערערים ראויים שיהיו כבדים וקשים בהרבה.</w:t>
      </w:r>
    </w:p>
    <w:p>
      <w:pPr>
        <w:jc w:val="both"/>
        <w:bidi/>
        <w:spacing w:after="240"/>
      </w:pPr>
      <w:r>
        <w:rPr>
          <w:rFonts w:ascii="Times New Roman" w:hAnsi="Times New Roman" w:cs="Times New Roman"/>
          <w:sz w:val="24"/>
          <w:sz-cs w:val="24"/>
        </w:rPr>
        <w:t xml:space="preserve"/>
        <w:br w:type="page"/>
        <w:t xml:space="preserve">35.  לעולם נזכור עבירת סמים מה היא, ומה הם ערכי</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החברה שאנו נדרשים להגן עליהם. מעבר מזה עומדים המערערים – הם ואחרים שכמותם – אנשים שעיניהם אל בצע</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כסף, ומעבר מזה עומדים צרכני הסם, אנשים אומללים שגופם ונפשם מכורים לסם. אותם עלובים תלו עצמם בסם, ואנשים רעים כמערערים מנצלים תלות זו עד</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תום לגריפת כסף</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רע לכיסיהם. המערערים מוכרים סם</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מוות למי שמכרו את גופם לסם, ועל עיסקאות</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מכר אלו זוכים הם בתמורה כספית. למותר להזכיר את שרשרת העבירות הנדרשת מעיסקאות הסם: צרכנים שאין הפרוטה מצויה בכיסם פושטים על אחרים, שודדים אותם, פורצים לבתיהם, תוקפים אותם, והכול כדי להשיג מימון לרכישתו של הסם. המערערים אינם חבים, כמובן, מבחינה משפטית בעבירות שעוברים אחרים, אך לעת גזירת העונש נביא כל אלה במניין.</w:t>
      </w:r>
    </w:p>
    <w:p>
      <w:pPr>
        <w:jc w:val="both"/>
        <w:bidi/>
        <w:spacing w:after="240"/>
      </w:pPr>
      <w:r>
        <w:rPr>
          <w:rFonts w:ascii="Times New Roman" w:hAnsi="Times New Roman" w:cs="Times New Roman"/>
          <w:sz w:val="24"/>
          <w:sz-cs w:val="24"/>
        </w:rPr>
        <w:t xml:space="preserve">העונש הקבוע בצד מרבית מן העבירות שהמערערים הורשעו בהן, עבר במשך השנים כמה וכמה גלגולים. בראשית, עם חקיקתה של </w:t>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 בשנת 1936 – נקבע לעבירות שלפי הפקודה עונש מאסר בן חמש שנים (</w:t>
      </w:r>
      <w:r>
        <w:rPr>
          <w:rFonts w:ascii="Times New Roman" w:hAnsi="Times New Roman" w:cs="Times New Roman"/>
          <w:sz w:val="24"/>
          <w:sz-cs w:val="24"/>
          <w:u w:val="single"/>
          <w:color w:val="0000FF"/>
        </w:rPr>
        <w:t xml:space="preserve"> HYPERLINK "http://www.nevo.co.il/law/131281/16.1." סעיף 16(1)</w:t>
      </w:r>
      <w:r>
        <w:rPr>
          <w:rFonts w:ascii="Times New Roman" w:hAnsi="Times New Roman" w:cs="Times New Roman"/>
          <w:sz w:val="24"/>
          <w:sz-cs w:val="24"/>
        </w:rPr>
        <w:t xml:space="preserve"> לפקודה במקורה, שלימים נתגלגל </w:t>
      </w:r>
      <w:r>
        <w:rPr>
          <w:rFonts w:ascii="Times New Roman" w:hAnsi="Times New Roman" w:cs="Times New Roman"/>
          <w:sz w:val="24"/>
          <w:sz-cs w:val="24"/>
          <w:u w:val="single"/>
          <w:color w:val="0000FF"/>
        </w:rPr>
        <w:t xml:space="preserve"> HYPERLINK "http://www.nevo.co.il/law/4216/32" בסעיף 32</w:t>
      </w:r>
      <w:r>
        <w:rPr>
          <w:rFonts w:ascii="Times New Roman" w:hAnsi="Times New Roman" w:cs="Times New Roman"/>
          <w:sz w:val="24"/>
          <w:sz-cs w:val="24"/>
        </w:rPr>
        <w:t xml:space="preserve"> לנוסח החדש). בשנת 1943 תוקנה הפקודה ועונש המאסר הועמד על עשר שנים. בשנת תשל"ט-1979 הוחמר העונש על עבירות של "מסחר ומעבר" (</w:t>
      </w:r>
      <w:r>
        <w:rPr>
          <w:rFonts w:ascii="Times New Roman" w:hAnsi="Times New Roman" w:cs="Times New Roman"/>
          <w:sz w:val="24"/>
          <w:sz-cs w:val="24"/>
          <w:u w:val="single"/>
          <w:color w:val="0000FF"/>
        </w:rPr>
        <w:t xml:space="preserve"> HYPERLINK "http://www.nevo.co.il/law/131281/cCbS" </w:t>
      </w:r>
      <w:r>
        <w:rPr>
          <w:rFonts w:ascii="Times New Roman" w:hAnsi="Times New Roman" w:cs="Times New Roman"/>
          <w:sz w:val="24"/>
          <w:sz-cs w:val="24"/>
          <w:u w:val="single"/>
          <w:color w:val="0000FF"/>
        </w:rPr>
        <w:t xml:space="preserve">פרק ג', סימן ב'</w:t>
      </w:r>
      <w:r>
        <w:rPr>
          <w:rFonts w:ascii="Times New Roman" w:hAnsi="Times New Roman" w:cs="Times New Roman"/>
          <w:sz w:val="24"/>
          <w:sz-cs w:val="24"/>
        </w:rPr>
        <w:t xml:space="preserve"> לפקודה), והועמד – </w:t>
      </w:r>
      <w:r>
        <w:rPr>
          <w:rFonts w:ascii="Times New Roman" w:hAnsi="Times New Roman" w:cs="Times New Roman"/>
          <w:sz w:val="24"/>
          <w:sz-cs w:val="24"/>
          <w:u w:val="single"/>
          <w:color w:val="0000FF"/>
        </w:rPr>
        <w:t xml:space="preserve"> HYPERLINK "http://www.nevo.co.il/law/4216/19a" </w:t>
      </w:r>
      <w:r>
        <w:rPr>
          <w:rFonts w:ascii="Times New Roman" w:hAnsi="Times New Roman" w:cs="Times New Roman"/>
          <w:sz w:val="24"/>
          <w:sz-cs w:val="24"/>
          <w:u w:val="single"/>
          <w:color w:val="0000FF"/>
        </w:rPr>
        <w:t xml:space="preserve">בסעיף 19א</w:t>
      </w:r>
      <w:r>
        <w:rPr>
          <w:rFonts w:ascii="Times New Roman" w:hAnsi="Times New Roman" w:cs="Times New Roman"/>
          <w:sz w:val="24"/>
          <w:sz-cs w:val="24"/>
        </w:rPr>
        <w:t xml:space="preserve"> לפקודה – על חמש</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עשרה שנות מאסר (חוק לתיקון </w:t>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תשל"ט-1979). המחוקק לא אמר די, ובשנת תשמ"ט-1989 הוסיף והחמיר בעונשן של עבירות מסחר בסמים ומעבר סמים. זו הפעם הועמד העונש על עשרים שנות מאסר (</w:t>
      </w:r>
      <w:r>
        <w:rPr>
          <w:rFonts w:ascii="Times New Roman" w:hAnsi="Times New Roman" w:cs="Times New Roman"/>
          <w:sz w:val="24"/>
          <w:sz-cs w:val="24"/>
          <w:u w:val="single"/>
          <w:color w:val="0000FF"/>
        </w:rPr>
        <w:t xml:space="preserve"> HYPERLINK "http://www.nevo.co.il/law/4216/6" </w:t>
      </w:r>
      <w:r>
        <w:rPr>
          <w:rFonts w:ascii="Times New Roman" w:hAnsi="Times New Roman" w:cs="Times New Roman"/>
          <w:sz w:val="24"/>
          <w:sz-cs w:val="24"/>
          <w:u w:val="single"/>
          <w:color w:val="0000FF"/>
        </w:rPr>
        <w:t xml:space="preserve">סעיף 6</w:t>
      </w:r>
      <w:r>
        <w:rPr>
          <w:rFonts w:ascii="Times New Roman" w:hAnsi="Times New Roman" w:cs="Times New Roman"/>
          <w:sz w:val="24"/>
          <w:sz-cs w:val="24"/>
        </w:rPr>
        <w:t xml:space="preserve"> לחוק לתיקון </w:t>
      </w:r>
      <w:r>
        <w:rPr>
          <w:rFonts w:ascii="Times New Roman" w:hAnsi="Times New Roman" w:cs="Times New Roman"/>
          <w:sz w:val="24"/>
          <w:sz-cs w:val="24"/>
          <w:u w:val="single"/>
          <w:color w:val="0000FF"/>
        </w:rPr>
        <w:t xml:space="preserve"> HYPERLINK "http://www.nevo.co.il/law/4216" </w:t>
      </w:r>
      <w:r>
        <w:rPr>
          <w:rFonts w:ascii="Times New Roman" w:hAnsi="Times New Roman" w:cs="Times New Roman"/>
          <w:sz w:val="24"/>
          <w:sz-cs w:val="24"/>
          <w:u w:val="single"/>
          <w:color w:val="0000FF"/>
        </w:rPr>
        <w:t xml:space="preserve">פקודת הסמים המסוכנים</w:t>
      </w:r>
      <w:r>
        <w:rPr>
          <w:rFonts w:ascii="Times New Roman" w:hAnsi="Times New Roman" w:cs="Times New Roman"/>
          <w:sz w:val="24"/>
          <w:sz-cs w:val="24"/>
        </w:rPr>
        <w:t xml:space="preserve"> (מס' 3), תשמ"ט-1989). וזה העונש הקבוע כיום בחוק בצד מרבית העבירות שעברו המערערים.</w:t>
      </w:r>
    </w:p>
    <w:p>
      <w:pPr>
        <w:jc w:val="both"/>
        <w:bidi/>
        <w:spacing w:after="240"/>
      </w:pPr>
      <w:r>
        <w:rPr>
          <w:rFonts w:ascii="Times New Roman" w:hAnsi="Times New Roman" w:cs="Times New Roman"/>
          <w:sz w:val="24"/>
          <w:sz-cs w:val="24"/>
        </w:rPr>
        <w:t xml:space="preserve">מלחמת החורמה בעברייני סמים נמשכת והולכת. מלחמה קשה היא, מלחמה ארוכה, והיא כמלחמת ישראל בעמלק. על השימוש בעונש המרבי כמדד לענישה אמר הנשיא שמגר ב</w:t>
      </w:r>
      <w:r>
        <w:rPr>
          <w:rFonts w:ascii="Times New Roman" w:hAnsi="Times New Roman" w:cs="Times New Roman"/>
          <w:sz w:val="24"/>
          <w:sz-cs w:val="24"/>
          <w:u w:val="single"/>
          <w:color w:val="0000FF"/>
        </w:rPr>
        <w:t xml:space="preserve">HYPERLINK "http://www.nevo.co.il/case/17939812"ע"פ 575/88</w:t>
      </w:r>
      <w:r>
        <w:rPr>
          <w:rFonts w:ascii="Times New Roman" w:hAnsi="Times New Roman" w:cs="Times New Roman"/>
          <w:sz w:val="24"/>
          <w:sz-cs w:val="24"/>
        </w:rPr>
        <w:t xml:space="preserve"> עודה נ' מדינת ישראל [8], בעמ' 243:</w:t>
      </w:r>
    </w:p>
    <w:p>
      <w:pPr>
        <w:jc w:val="both"/>
        <w:bidi/>
        <w:ind w:left="454" w:right="454"/>
        <w:spacing w:after="240"/>
      </w:pPr>
      <w:r>
        <w:rPr>
          <w:rFonts w:ascii="Times New Roman" w:hAnsi="Times New Roman" w:cs="Times New Roman"/>
          <w:sz w:val="24"/>
          <w:sz-cs w:val="24"/>
        </w:rPr>
        <w:t xml:space="preserve">"הדגשנו, לא אחת, כי במציאות המצערת שנוצרה אצלנו צריכים העונשים בעניין הסחר בהירואין להיות חמורים, ולשאוף במידה רבה יותר מן המקובל בעבר, אל העונש המקסימלי שנקבע בחוק".</w:t>
      </w:r>
    </w:p>
    <w:p>
      <w:pPr>
        <w:jc w:val="both"/>
        <w:bidi/>
        <w:spacing w:after="240"/>
      </w:pPr>
      <w:r>
        <w:rPr>
          <w:rFonts w:ascii="Times New Roman" w:hAnsi="Times New Roman" w:cs="Times New Roman"/>
          <w:sz w:val="24"/>
          <w:sz-cs w:val="24"/>
        </w:rPr>
        <w:t xml:space="preserve">דברים אלה היו נכונים ליום שבו נאמרו, יום ה</w:t>
      </w:r>
      <w:r>
        <w:rPr>
          <w:rFonts w:ascii="Times New Roman" w:hAnsi="Times New Roman" w:cs="Times New Roman"/>
          <w:sz w:val="18"/>
          <w:sz-cs w:val="18"/>
          <w:position w:val="4"/>
        </w:rPr>
        <w:t xml:space="preserve">-</w:t>
      </w:r>
      <w:r>
        <w:rPr>
          <w:rFonts w:ascii="Times New Roman" w:hAnsi="Times New Roman" w:cs="Times New Roman"/>
          <w:sz w:val="24"/>
          <w:sz-cs w:val="24"/>
        </w:rPr>
        <w:t xml:space="preserve">11 בדצמבר 1988; קל וחומר נכונים הם לימינו אלה. </w:t>
      </w:r>
    </w:p>
    <w:p>
      <w:pPr>
        <w:jc w:val="both"/>
        <w:bidi/>
        <w:spacing w:after="240"/>
      </w:pPr>
      <w:r>
        <w:rPr>
          <w:rFonts w:ascii="Times New Roman" w:hAnsi="Times New Roman" w:cs="Times New Roman"/>
          <w:sz w:val="24"/>
          <w:sz-cs w:val="24"/>
        </w:rPr>
        <w:t xml:space="preserve"/>
        <w:br w:type="page"/>
        <w:t xml:space="preserve">המערערים הם עבריינים קשים הסוחרים בסמים קשים, ועבריינים קשים הסוחרים בסמים קשים ראויים לעונש קשה. בה</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בעת נזכור כי אין זה מדרכנו למצות את העונש בערעור המדינה על קולת העונש.</w:t>
      </w:r>
    </w:p>
    <w:p>
      <w:pPr>
        <w:jc w:val="both"/>
        <w:bidi/>
        <w:spacing w:after="240"/>
      </w:pPr>
      <w:r>
        <w:rPr>
          <w:rFonts w:ascii="Times New Roman" w:hAnsi="Times New Roman" w:cs="Times New Roman"/>
          <w:sz w:val="24"/>
          <w:sz-cs w:val="24"/>
        </w:rPr>
        <w:t xml:space="preserve">36.  אנו מחליטים לקבל את ערעור המדינה, ותחת העונשים שהוטלו על המערערים אנו מחליטים להטיל עליהם עונשים כלהלן: על מאיר זהבי ועל שלום ברזני אנו גוזרים ארבע</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עשרה שנות מאסר, מתוכן אחת</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עשרה שנות מאסר בפועל ושלוש שנים 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על מיגל גומז</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קרדוסו אנו גוזרים שלוש</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עשרה שנות מאסר, מתוכן עשר שנות מאסר בפועל ושלוש שנים מאסר</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על</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תנאי. והתנאי הוא – לעניינם של השלושה – כי לא יעברו תוך שלוש שנים מתום מאסרם עבירה בניגוד לפקודת הסמים.</w:t>
      </w:r>
    </w:p>
    <w:p>
      <w:pPr>
        <w:jc w:val="both"/>
        <w:bidi/>
        <w:spacing w:before="120" w:after="240"/>
      </w:pPr>
      <w:r>
        <w:rPr>
          <w:rFonts w:ascii="Arial" w:hAnsi="Arial" w:cs="Arial"/>
          <w:sz w:val="24"/>
          <w:sz-cs w:val="24"/>
        </w:rPr>
        <w:t xml:space="preserve">השופט י' זמיר</w:t>
      </w:r>
    </w:p>
    <w:p>
      <w:pPr>
        <w:jc w:val="both"/>
        <w:bidi/>
        <w:spacing w:after="240"/>
      </w:pPr>
      <w:r>
        <w:rPr>
          <w:rFonts w:ascii="Times New Roman" w:hAnsi="Times New Roman" w:cs="Times New Roman"/>
          <w:sz w:val="24"/>
          <w:sz-cs w:val="24"/>
        </w:rPr>
        <w:t xml:space="preserve"/>
        <w:tab/>
        <w:t xml:space="preserve">אני מסכים.</w:t>
      </w:r>
    </w:p>
    <w:p>
      <w:pPr>
        <w:jc w:val="both"/>
        <w:bidi/>
        <w:spacing w:before="120" w:after="240"/>
      </w:pPr>
      <w:r>
        <w:rPr>
          <w:rFonts w:ascii="Arial" w:hAnsi="Arial" w:cs="Arial"/>
          <w:sz w:val="24"/>
          <w:sz-cs w:val="24"/>
        </w:rPr>
        <w:t xml:space="preserve">השופט י' טירקל</w:t>
      </w:r>
    </w:p>
    <w:p>
      <w:pPr>
        <w:jc w:val="both"/>
        <w:bidi/>
        <w:spacing w:after="240"/>
      </w:pPr>
      <w:r>
        <w:rPr>
          <w:rFonts w:ascii="Times New Roman" w:hAnsi="Times New Roman" w:cs="Times New Roman"/>
          <w:sz w:val="24"/>
          <w:sz-cs w:val="24"/>
        </w:rPr>
        <w:t xml:space="preserve"/>
        <w:tab/>
        <w:t xml:space="preserve">אני מסכים.</w:t>
      </w:r>
    </w:p>
    <w:p>
      <w:pPr>
        <w:jc w:val="both"/>
        <w:bidi/>
        <w:spacing w:before="120" w:after="240"/>
      </w:pPr>
      <w:r>
        <w:rPr>
          <w:rFonts w:ascii="Times New Roman" w:hAnsi="Times New Roman" w:cs="Times New Roman"/>
          <w:sz w:val="24"/>
          <w:sz-cs w:val="24"/>
        </w:rPr>
        <w:t xml:space="preserve">הוחלט כאמור בפסק</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דינו של השופט חשין.</w:t>
      </w:r>
    </w:p>
    <w:p>
      <w:pPr>
        <w:jc w:val="both"/>
        <w:bidi/>
        <w:spacing w:before="120" w:after="240"/>
      </w:pPr>
      <w:r>
        <w:rPr>
          <w:rFonts w:ascii="Times New Roman" w:hAnsi="Times New Roman" w:cs="Times New Roman"/>
          <w:sz w:val="24"/>
          <w:sz-cs w:val="24"/>
        </w:rPr>
        <w:t xml:space="preserve">ניתן היום, כ"ו בתמוז תשנ"ז (31.7.1997).</w:t>
      </w:r>
    </w:p>
    <w:p>
      <w:pPr>
        <w:jc w:val="both"/>
        <w:bidi/>
        <w:spacing w:before="120" w:after="240"/>
      </w:pPr>
      <w:r>
        <w:rPr>
          <w:rFonts w:ascii="Times New Roman" w:hAnsi="Times New Roman" w:cs="Times New Roman"/>
          <w:sz w:val="24"/>
          <w:sz-cs w:val="24"/>
        </w:rPr>
        <w:t xml:space="preserve">מיני-רציו:</w:t>
      </w:r>
    </w:p>
    <w:p>
      <w:pPr>
        <w:jc w:val="both"/>
        <w:bidi/>
        <w:spacing w:after="60"/>
      </w:pPr>
      <w:r>
        <w:rPr>
          <w:rFonts w:ascii="Times New Roman" w:hAnsi="Times New Roman" w:cs="Times New Roman"/>
          <w:sz w:val="24"/>
          <w:sz-cs w:val="24"/>
        </w:rPr>
        <w:t xml:space="preserve">* עונשין – עבירות – סמים</w:t>
      </w:r>
    </w:p>
    <w:p>
      <w:pPr>
        <w:jc w:val="both"/>
        <w:bidi/>
        <w:spacing w:after="60"/>
      </w:pPr>
      <w:r>
        <w:rPr>
          <w:rFonts w:ascii="Times New Roman" w:hAnsi="Times New Roman" w:cs="Times New Roman"/>
          <w:sz w:val="24"/>
          <w:sz-cs w:val="24"/>
        </w:rPr>
        <w:t xml:space="preserve">חזקה עובדתית שלפיה סם שיובא לישראל באמצעים מתוחכמים היה בריכוז שעשה אותו ל"סם מסוכן" כהגדרתו ב</w:t>
      </w:r>
      <w:r>
        <w:rPr>
          <w:rFonts w:ascii="Times New Roman" w:hAnsi="Times New Roman" w:cs="Times New Roman"/>
          <w:sz w:val="24"/>
          <w:sz-cs w:val="24"/>
          <w:u w:val="single"/>
          <w:color w:val="0000FF"/>
        </w:rPr>
        <w:t xml:space="preserve"> HYPERLINK "http://www.nevo.co.il/law/4216" פקודת הסמים המסוכנים</w:t>
      </w:r>
      <w:r>
        <w:rPr>
          <w:rFonts w:ascii="Times New Roman" w:hAnsi="Times New Roman" w:cs="Times New Roman"/>
          <w:sz w:val="24"/>
          <w:sz-cs w:val="24"/>
        </w:rPr>
        <w:t xml:space="preserve"> [נוסח חדש], תשל"ג-1973 – האפשרות להרשיע אדם שייבא סם כאמור גם ללא הוכחת ריכוז הסם.</w:t>
      </w:r>
    </w:p>
    <w:p>
      <w:pPr>
        <w:jc w:val="both"/>
        <w:bidi/>
        <w:spacing w:before="60"/>
      </w:pPr>
      <w:r>
        <w:rPr>
          <w:rFonts w:ascii="Times New Roman" w:hAnsi="Times New Roman" w:cs="Times New Roman"/>
          <w:sz w:val="4"/>
          <w:sz-cs w:val="4"/>
          <w:color w:val="FFFFFF"/>
        </w:rPr>
        <w:t xml:space="preserve"/>
      </w:r>
    </w:p>
    <w:p>
      <w:pPr>
        <w:jc w:val="both"/>
        <w:bidi/>
        <w:spacing w:before="60"/>
      </w:pPr>
      <w:r>
        <w:rPr>
          <w:rFonts w:ascii="Times New Roman" w:hAnsi="Times New Roman" w:cs="Times New Roman"/>
          <w:sz w:val="4"/>
          <w:sz-cs w:val="4"/>
          <w:color w:val="FFFFFF"/>
        </w:rPr>
        <w:t xml:space="preserve">5129371</w:t>
      </w:r>
      <w:r>
        <w:rPr>
          <w:rFonts w:ascii="Times New Roman" w:hAnsi="Times New Roman" w:cs="Times New Roman"/>
          <w:sz w:val="2"/>
          <w:sz-cs w:val="2"/>
          <w:color w:val="FFFFFF"/>
        </w:rPr>
        <w:t xml:space="preserve"/>
      </w:r>
    </w:p>
    <w:p>
      <w:pPr>
        <w:jc w:val="both"/>
        <w:bidi/>
        <w:spacing w:before="60"/>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 עונשין – ענישה – מדיניות ענישה: עבירות סמים</w:t>
      </w:r>
    </w:p>
    <w:p>
      <w:pPr>
        <w:jc w:val="both"/>
        <w:bidi/>
        <w:spacing w:before="60"/>
      </w:pPr>
      <w:r>
        <w:rPr>
          <w:rFonts w:ascii="Times New Roman" w:hAnsi="Times New Roman" w:cs="Times New Roman"/>
          <w:sz w:val="24"/>
          <w:sz-cs w:val="24"/>
        </w:rPr>
        <w:t xml:space="preserve">הצורך בענישה חמורה לעברייני סמים קשים – לנוכח ערכי החברה שעל בית</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המשפט להגן עליהם.</w:t>
      </w:r>
    </w:p>
    <w:p>
      <w:pPr>
        <w:jc w:val="both"/>
        <w:bidi/>
        <w:spacing w:before="60"/>
      </w:pPr>
      <w:r>
        <w:rPr>
          <w:rFonts w:ascii="Times New Roman" w:hAnsi="Times New Roman" w:cs="Times New Roman"/>
          <w:sz w:val="24"/>
          <w:sz-cs w:val="24"/>
        </w:rPr>
        <w:t xml:space="preserve">* ראיות – עדים – עד מדינה</w:t>
      </w:r>
    </w:p>
    <w:p>
      <w:pPr>
        <w:jc w:val="both"/>
        <w:bidi/>
        <w:spacing w:before="60"/>
      </w:pPr>
      <w:r>
        <w:rPr>
          <w:rFonts w:ascii="Times New Roman" w:hAnsi="Times New Roman" w:cs="Times New Roman"/>
          <w:sz w:val="24"/>
          <w:sz-cs w:val="24"/>
        </w:rPr>
        <w:t xml:space="preserve">"טובת הנאה" הניתנת או מובטחת לעד שותף העושה אותו לעד מדינה – מהי – טובת הנאה במובן אובייקטיבי – כדבר הניתן לעד והוא אינו זכאי לו במהלכם הרגיל של הדברים – האם דבר שהעד החשיבו בטעות להיות טובת הנאה עושה אותו לעד מדינה – תכלית דרישת הסיוע להרשעה על סמך עדות יחידה של עד מדינה.</w:t>
      </w:r>
    </w:p>
    <w:p>
      <w:pPr>
        <w:jc w:val="both"/>
        <w:bidi/>
        <w:spacing w:before="120" w:after="240"/>
      </w:pPr>
      <w:r>
        <w:rPr>
          <w:rFonts w:ascii="Times New Roman" w:hAnsi="Times New Roman" w:cs="Times New Roman"/>
          <w:sz w:val="4"/>
          <w:sz-cs w:val="4"/>
          <w:color w:val="FFFFFF"/>
        </w:rPr>
        <w:t xml:space="preserve"/>
      </w:r>
    </w:p>
    <w:p>
      <w:pPr>
        <w:jc w:val="both"/>
        <w:bidi/>
        <w:spacing w:before="120" w:after="240"/>
      </w:pPr>
      <w:r>
        <w:rPr>
          <w:rFonts w:ascii="Times New Roman" w:hAnsi="Times New Roman" w:cs="Times New Roman"/>
          <w:sz w:val="4"/>
          <w:sz-cs w:val="4"/>
          <w:color w:val="FFFFFF"/>
        </w:rPr>
        <w:t xml:space="preserve"/>
      </w:r>
    </w:p>
    <w:p>
      <w:pPr>
        <w:jc w:val="center"/>
        <w:bidi/>
        <w:spacing w:before="120" w:after="240"/>
      </w:pPr>
      <w:r>
        <w:rPr>
          <w:rFonts w:ascii="Times New Roman" w:hAnsi="Times New Roman" w:cs="Times New Roman"/>
          <w:sz w:val="4"/>
          <w:sz-cs w:val="4"/>
          <w:u w:val="single"/>
          <w:color w:val="0000FF"/>
        </w:rPr>
        <w:t xml:space="preserve"> HYPERLINK "http://www.nevo.co.il/advertisements/nevo-100.doc" </w:t>
      </w:r>
      <w:r>
        <w:rPr>
          <w:rFonts w:ascii="Times New Roman" w:hAnsi="Times New Roman" w:cs="Times New Roman"/>
          <w:sz w:val="24"/>
          <w:sz-cs w:val="24"/>
          <w:u w:val="single"/>
          <w:color w:val="0000FF"/>
        </w:rPr>
        <w:t xml:space="preserve">הודעה למנויים על עריכה ושינויים במסמכי פסיקה, חקיקה ועוד באתר נבו - הקש כאן</w:t>
      </w:r>
      <w:r>
        <w:rPr>
          <w:rFonts w:ascii="Times New Roman" w:hAnsi="Times New Roman" w:cs="Times New Roman"/>
          <w:sz w:val="4"/>
          <w:sz-cs w:val="4"/>
          <w:u w:val="single"/>
          <w:color w:val="0000FF"/>
        </w:rPr>
        <w:t xml:space="preserve"/>
      </w:r>
    </w:p>
    <w:p>
      <w:pPr>
        <w:jc w:val="center"/>
        <w:bidi/>
        <w:spacing w:before="120" w:after="240"/>
      </w:pPr>
      <w:r>
        <w:rPr>
          <w:rFonts w:ascii="Times New Roman" w:hAnsi="Times New Roman" w:cs="Times New Roman"/>
          <w:sz w:val="4"/>
          <w:sz-cs w:val="4"/>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4998/95, 5267, 5313, 6021</w:t>
        <w:tab/>
        <w:t xml:space="preserve">מדינת ישראל נ' גומז</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קרדוסו ואח';</w:t>
      </w:r>
    </w:p>
    <w:p>
      <w:pPr>
        <w:bidi/>
      </w:pPr>
      <w:r>
        <w:rPr>
          <w:rFonts w:ascii="Times New Roman" w:hAnsi="Times New Roman" w:cs="Times New Roman"/>
          <w:sz w:val="24"/>
          <w:sz-cs w:val="24"/>
        </w:rPr>
        <w:t xml:space="preserve">ברזני ואח' נ' מדינת ישראל</w:t>
      </w:r>
    </w:p>
    <w:p>
      <w:pPr>
        <w:jc w:val="right"/>
        <w:bidi/>
        <w:spacing w:before="40"/>
      </w:pPr>
      <w:r>
        <w:rPr>
          <w:rFonts w:ascii="Times New Roman" w:hAnsi="Times New Roman" w:cs="Times New Roman"/>
          <w:sz w:val="24"/>
          <w:sz-cs w:val="24"/>
        </w:rPr>
        <w:t xml:space="preserve">פ"ד נא(3) 769</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4998/95, 5267, 5313, 6021</w:t>
        <w:tab/>
        <w:t xml:space="preserve">מדינת ישראל נ' גומז</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קרדוסו ואח';</w:t>
      </w:r>
    </w:p>
    <w:p>
      <w:pPr>
        <w:bidi/>
      </w:pPr>
      <w:r>
        <w:rPr>
          <w:rFonts w:ascii="Times New Roman" w:hAnsi="Times New Roman" w:cs="Times New Roman"/>
          <w:sz w:val="24"/>
          <w:sz-cs w:val="24"/>
        </w:rPr>
        <w:t xml:space="preserve">ברזני ואח' נ' מדינת ישראל</w:t>
      </w:r>
    </w:p>
    <w:p>
      <w:pPr>
        <w:jc w:val="right"/>
        <w:bidi/>
        <w:spacing w:before="40"/>
      </w:pPr>
      <w:r>
        <w:rPr>
          <w:rFonts w:ascii="Times New Roman" w:hAnsi="Times New Roman" w:cs="Times New Roman"/>
          <w:sz w:val="24"/>
          <w:sz-cs w:val="24"/>
        </w:rPr>
        <w:t xml:space="preserve">פ"ד נא(3) 769</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r>
        <w:rPr>
          <w:rFonts w:ascii="Times New Roman" w:hAnsi="Times New Roman" w:cs="Times New Roman"/>
          <w:sz w:val="24"/>
          <w:sz-cs w:val="24"/>
        </w:rPr>
        <w:t xml:space="preserve"> PAGE 770</w:t>
        <w:tab/>
        <w:t xml:space="preserve"/>
      </w: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נא, חלק שלישי, תשנ"ז/תשנ"ח 1997</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after="60"/>
      </w:pPr>
      <w:r>
        <w:rPr>
          <w:rFonts w:ascii="Arial" w:hAnsi="Arial" w:cs="Arial"/>
          <w:sz w:val="14"/>
          <w:sz-cs w:val="14"/>
        </w:rPr>
        <w:t xml:space="preserve"> FILENAME \* LOWER\p  \* MERGEFORMAT z:\hakikato run\hakika final public\hakika\recieve all\הרצה לקישורים פסיקה וספרות\13\95049980.doc</w:t>
      </w:r>
      <w:r>
        <w:rPr>
          <w:rFonts w:ascii="Arial" w:hAnsi="Arial" w:cs="Arial"/>
          <w:sz w:val="14"/>
          <w:sz-cs w:val="14"/>
          <w:position w:val="8"/>
        </w:rPr>
        <w:t xml:space="preserve"> _ </w:t>
      </w:r>
      <w:r>
        <w:rPr>
          <w:rFonts w:ascii="Arial" w:hAnsi="Arial" w:cs="Arial"/>
          <w:sz w:val="14"/>
          <w:sz-cs w:val="14"/>
        </w:rPr>
        <w:t xml:space="preserve"> CREATEDATE  \* MERGEFORMAT 5/11/2014 10:39:00 PM</w:t>
      </w:r>
      <w:r>
        <w:rPr>
          <w:rFonts w:ascii="Arial" w:hAnsi="Arial" w:cs="Arial"/>
          <w:sz w:val="14"/>
          <w:sz-cs w:val="14"/>
          <w:position w:val="8"/>
        </w:rPr>
        <w:t xml:space="preserve"> _ </w:t>
      </w:r>
      <w:r>
        <w:rPr>
          <w:rFonts w:ascii="Arial" w:hAnsi="Arial" w:cs="Arial"/>
          <w:sz w:val="14"/>
          <w:sz-cs w:val="14"/>
        </w:rPr>
        <w:t xml:space="preserve"> DATE  \* MERGEFORMAT 12/24/2024</w:t>
      </w:r>
      <w:r>
        <w:rPr>
          <w:rFonts w:ascii="Arial" w:hAnsi="Arial" w:cs="Arial"/>
          <w:sz w:val="14"/>
          <w:sz-cs w:val="14"/>
          <w:position w:val="8"/>
        </w:rPr>
        <w:t xml:space="preserve"> _ </w:t>
      </w:r>
      <w:r>
        <w:rPr>
          <w:rFonts w:ascii="Arial" w:hAnsi="Arial" w:cs="Arial"/>
          <w:sz w:val="14"/>
          <w:sz-cs w:val="14"/>
        </w:rPr>
        <w:t xml:space="preserve"> TIME  \* MERGEFORMAT 10:08:09 AM</w:t>
      </w:r>
    </w:p>
    <w:p>
      <w:pPr>
        <w:jc w:val="center"/>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pPr>
      <w:r>
        <w:rPr>
          <w:rFonts w:ascii="Times New Roman" w:hAnsi="Times New Roman" w:cs="Times New Roman"/>
          <w:sz w:val="14"/>
          <w:sz-cs w:val="14"/>
          <w:color w:val="000000"/>
        </w:rPr>
        <w:t xml:space="preserve"> FILENAME \p  \* MERGEFORMAT Z:\hakikato run\hakika final public\hakika\recieve all\הרצה לקישורים פסיקה וספרות\13\95049980.doc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נא, חלק שלישי, תשנ"ז/תשנ"ח 1997</w:t>
        <w:tab/>
        <w:t xml:space="preserve"/>
      </w:r>
      <w:r>
        <w:rPr>
          <w:rFonts w:ascii="Times New Roman" w:hAnsi="Times New Roman" w:cs="Times New Roman"/>
          <w:sz w:val="24"/>
          <w:sz-cs w:val="24"/>
        </w:rPr>
        <w:t xml:space="preserve"> PAGE 789</w:t>
      </w:r>
    </w:p>
    <w:p>
      <w:pPr/>
      <w:r>
        <w:rPr>
          <w:rFonts w:ascii="Times New Roman" w:hAnsi="Times New Roman" w:cs="Times New Roman"/>
          <w:sz w:val="24"/>
          <w:sz-cs w:val="24"/>
        </w:rPr>
        <w:t xml:space="preserve"/>
      </w:r>
    </w:p>
    <w:p>
      <w:pPr>
        <w:jc w:val="center"/>
        <w:spacing w:after="60"/>
      </w:pPr>
      <w:r>
        <w:rPr>
          <w:rFonts w:ascii="Times New Roman" w:hAnsi="Times New Roman" w:cs="Times New Roman"/>
          <w:sz w:val="24"/>
          <w:sz-cs w:val="24"/>
        </w:rPr>
        <w:t xml:space="preserve"/>
      </w:r>
    </w:p>
    <w:p>
      <w:pPr>
        <w:jc w:val="center"/>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pPr>
      <w:r>
        <w:rPr>
          <w:rFonts w:ascii="Times New Roman" w:hAnsi="Times New Roman" w:cs="Times New Roman"/>
          <w:sz w:val="14"/>
          <w:sz-cs w:val="14"/>
          <w:color w:val="000000"/>
        </w:rPr>
        <w:t xml:space="preserve"> FILENAME \p  \* MERGEFORMAT Z:\hakikato run\hakika final public\hakika\recieve all\הרצה לקישורים פסיקה וספרות\13\95049980.doc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פסקי</w:t>
      </w:r>
      <w:r>
        <w:rPr>
          <w:rFonts w:ascii="Times New Roman" w:hAnsi="Times New Roman" w:cs="Times New Roman"/>
          <w:sz w:val="24"/>
          <w:sz-cs w:val="24"/>
          <w:position w:val="3"/>
        </w:rPr>
        <w:t xml:space="preserve">-</w:t>
      </w:r>
      <w:r>
        <w:rPr>
          <w:rFonts w:ascii="Times New Roman" w:hAnsi="Times New Roman" w:cs="Times New Roman"/>
          <w:sz w:val="24"/>
          <w:sz-cs w:val="24"/>
        </w:rPr>
        <w:t xml:space="preserve">דין, כרך נא, חלק שלישי, תשנ"ז/תשנ"ח 1997</w:t>
        <w:tab/>
        <w:t xml:space="preserve"/>
      </w:r>
      <w:r>
        <w:rPr>
          <w:rFonts w:ascii="Times New Roman" w:hAnsi="Times New Roman" w:cs="Times New Roman"/>
          <w:sz w:val="24"/>
          <w:sz-cs w:val="24"/>
        </w:rPr>
        <w:t xml:space="preserve"> PAGE 769</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spacing w:after="60"/>
      </w:pPr>
      <w:r>
        <w:rPr>
          <w:rFonts w:ascii="Arial" w:hAnsi="Arial" w:cs="Arial"/>
          <w:sz w:val="14"/>
          <w:sz-cs w:val="14"/>
        </w:rPr>
        <w:t xml:space="preserve"> FILENAME \* LOWER\p  \* MERGEFORMAT z:\hakikato run\hakika final public\hakika\recieve all\הרצה לקישורים פסיקה וספרות\13\95049980.doc</w:t>
      </w:r>
      <w:r>
        <w:rPr>
          <w:rFonts w:ascii="Arial" w:hAnsi="Arial" w:cs="Arial"/>
          <w:sz w:val="14"/>
          <w:sz-cs w:val="14"/>
          <w:position w:val="8"/>
        </w:rPr>
        <w:t xml:space="preserve"> _ </w:t>
      </w:r>
      <w:r>
        <w:rPr>
          <w:rFonts w:ascii="Arial" w:hAnsi="Arial" w:cs="Arial"/>
          <w:sz w:val="14"/>
          <w:sz-cs w:val="14"/>
        </w:rPr>
        <w:t xml:space="preserve"> CREATEDATE  \* MERGEFORMAT 5/11/2014 10:39:00 PM</w:t>
      </w:r>
      <w:r>
        <w:rPr>
          <w:rFonts w:ascii="Arial" w:hAnsi="Arial" w:cs="Arial"/>
          <w:sz w:val="14"/>
          <w:sz-cs w:val="14"/>
          <w:position w:val="8"/>
        </w:rPr>
        <w:t xml:space="preserve"> _ </w:t>
      </w:r>
      <w:r>
        <w:rPr>
          <w:rFonts w:ascii="Arial" w:hAnsi="Arial" w:cs="Arial"/>
          <w:sz w:val="14"/>
          <w:sz-cs w:val="14"/>
        </w:rPr>
        <w:t xml:space="preserve"> DATE  \* MERGEFORMAT 12/24/2024</w:t>
      </w:r>
      <w:r>
        <w:rPr>
          <w:rFonts w:ascii="Arial" w:hAnsi="Arial" w:cs="Arial"/>
          <w:sz w:val="14"/>
          <w:sz-cs w:val="14"/>
          <w:position w:val="8"/>
        </w:rPr>
        <w:t xml:space="preserve"> _ </w:t>
      </w:r>
      <w:r>
        <w:rPr>
          <w:rFonts w:ascii="Arial" w:hAnsi="Arial" w:cs="Arial"/>
          <w:sz w:val="14"/>
          <w:sz-cs w:val="14"/>
        </w:rPr>
        <w:t xml:space="preserve"> TIME  \* MERGEFORMAT 10:08:09 AM</w:t>
      </w:r>
    </w:p>
    <w:p>
      <w:pPr>
        <w:jc w:val="center"/>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pPr>
      <w:r>
        <w:rPr>
          <w:rFonts w:ascii="Times New Roman" w:hAnsi="Times New Roman" w:cs="Times New Roman"/>
          <w:sz w:val="14"/>
          <w:sz-cs w:val="14"/>
          <w:color w:val="000000"/>
        </w:rPr>
        <w:t xml:space="preserve"> FILENAME \p  \* MERGEFORMAT Z:\hakikato run\hakika final public\hakika\recieve all\הרצה לקישורים פסיקה וספרות\13\95049980.doc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4998/95, 5267, 5313, 6021</w:t>
        <w:tab/>
        <w:t xml:space="preserve">מדינת ישראל נ' גומז</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קרדוסו ואח';</w:t>
      </w:r>
    </w:p>
    <w:p>
      <w:pPr>
        <w:bidi/>
      </w:pPr>
      <w:r>
        <w:rPr>
          <w:rFonts w:ascii="Times New Roman" w:hAnsi="Times New Roman" w:cs="Times New Roman"/>
          <w:sz w:val="24"/>
          <w:sz-cs w:val="24"/>
        </w:rPr>
        <w:t xml:space="preserve">ברזני ואח' נ' מדינת ישראל</w:t>
      </w:r>
    </w:p>
    <w:p>
      <w:pPr>
        <w:jc w:val="right"/>
        <w:bidi/>
        <w:spacing w:before="40"/>
      </w:pPr>
      <w:r>
        <w:rPr>
          <w:rFonts w:ascii="Times New Roman" w:hAnsi="Times New Roman" w:cs="Times New Roman"/>
          <w:sz w:val="24"/>
          <w:sz-cs w:val="24"/>
        </w:rPr>
        <w:t xml:space="preserve">פ"ד נא(3) 769</w:t>
        <w:tab/>
        <w:t xml:space="preserve">השופט מ' חשין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ע"פ 4998/95, 5267, 5313, 6021</w:t>
        <w:tab/>
        <w:t xml:space="preserve">מדינת ישראל נ' גומז</w:t>
      </w:r>
      <w:r>
        <w:rPr>
          <w:rFonts w:ascii="Times New Roman" w:hAnsi="Times New Roman" w:cs="Times New Roman"/>
          <w:sz w:val="24"/>
          <w:sz-cs w:val="24"/>
          <w:position w:val="4"/>
        </w:rPr>
        <w:t xml:space="preserve">-</w:t>
      </w:r>
      <w:r>
        <w:rPr>
          <w:rFonts w:ascii="Times New Roman" w:hAnsi="Times New Roman" w:cs="Times New Roman"/>
          <w:sz w:val="24"/>
          <w:sz-cs w:val="24"/>
        </w:rPr>
        <w:t xml:space="preserve">קרדוסו ואח';</w:t>
      </w:r>
    </w:p>
    <w:p>
      <w:pPr>
        <w:bidi/>
      </w:pPr>
      <w:r>
        <w:rPr>
          <w:rFonts w:ascii="Times New Roman" w:hAnsi="Times New Roman" w:cs="Times New Roman"/>
          <w:sz w:val="24"/>
          <w:sz-cs w:val="24"/>
        </w:rPr>
        <w:t xml:space="preserve">ברזני ואח' נ' מדינת ישראל</w:t>
      </w:r>
    </w:p>
    <w:p>
      <w:pPr>
        <w:jc w:val="right"/>
        <w:bidi/>
        <w:spacing w:before="40"/>
      </w:pPr>
      <w:r>
        <w:rPr>
          <w:rFonts w:ascii="Times New Roman" w:hAnsi="Times New Roman" w:cs="Times New Roman"/>
          <w:sz w:val="24"/>
          <w:sz-cs w:val="24"/>
        </w:rPr>
        <w:t xml:space="preserve">פ"ד נא(3) 769</w:t>
        <w:tab/>
        <w:t xml:space="preserve">השופט מ' חשין</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א</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ג</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ד</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ו</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ז</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spacing w:before="120" w:after="240"/>
      </w:pPr>
      <w:r>
        <w:rPr>
          <w:rFonts w:ascii="Times New Roman" w:hAnsi="Times New Roman" w:cs="Times New Roman"/>
          <w:sz w:val="4"/>
          <w:sz-cs w:val="4"/>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h11</cp:lastModifiedBy>
  <dcterms:created>2024-12-24T10:08:00Z</dcterms:created>
  <dcterms:modified>2024-12-24T10:08:00Z</dcterms:modified>
</cp:coreProperties>
</file>

<file path=docProps/meta.xml><?xml version="1.0" encoding="utf-8"?>
<meta xmlns="http://schemas.apple.com/cocoa/2006/metadata">
  <generator>CocoaOOXMLWriter/2575.7</generator>
</meta>
</file>