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8"/>
          <w:sz-cs w:val="28"/>
        </w:rPr>
        <w:t xml:space="preserve">ע"פ  5004/17</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עמית</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מ' מזוז</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ד' מינץ</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המערערת:</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המשיב:</w:t>
      </w:r>
    </w:p>
    <w:p>
      <w:pPr>
        <w:jc w:val="right"/>
        <w:bidi/>
      </w:pPr>
      <w:r>
        <w:rPr>
          <w:rFonts w:ascii="Times New Roman" w:hAnsi="Times New Roman" w:cs="Times New Roman"/>
          <w:sz w:val="22"/>
          <w:sz-cs w:val="22"/>
        </w:rPr>
        <w:t xml:space="preserve">ענאן אלעטאונה</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פסק דינו של בית המשפט המחוזי באר שבע בתיק פח  054801-06-15 שניתן ביום 08.05.2017 על ידי כבוד השופטת ג' שלו</w:t>
      </w:r>
    </w:p>
    <w:p>
      <w:pPr>
        <w:jc w:val="both"/>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ב' בכסלו התשע"ח</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(20.11.2017)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המערערת:</w:t>
      </w:r>
    </w:p>
    <w:p>
      <w:pPr>
        <w:jc w:val="right"/>
        <w:bidi/>
      </w:pPr>
      <w:r>
        <w:rPr>
          <w:rFonts w:ascii="Times New Roman" w:hAnsi="Times New Roman" w:cs="Times New Roman"/>
          <w:sz w:val="22"/>
          <w:sz-cs w:val="22"/>
        </w:rPr>
        <w:t xml:space="preserve">עו"ד ארז בן ארויה</w:t>
      </w:r>
    </w:p>
    <w:p>
      <w:pPr>
        <w:jc w:val="right"/>
        <w:bidi/>
      </w:pPr>
      <w:r>
        <w:rPr>
          <w:rFonts w:ascii="Times New Roman" w:hAnsi="Times New Roman" w:cs="Times New Roman"/>
          <w:sz w:val="22"/>
          <w:sz-cs w:val="22"/>
        </w:rPr>
        <w:t xml:space="preserve">בשם המשיב:</w:t>
      </w:r>
    </w:p>
    <w:p>
      <w:pPr>
        <w:jc w:val="right"/>
        <w:bidi/>
      </w:pPr>
      <w:r>
        <w:rPr>
          <w:rFonts w:ascii="Times New Roman" w:hAnsi="Times New Roman" w:cs="Times New Roman"/>
          <w:sz w:val="22"/>
          <w:sz-cs w:val="22"/>
        </w:rPr>
        <w:t xml:space="preserve">עו"ד יוסי שילברברג</w:t>
      </w:r>
    </w:p>
    <w:p>
      <w:pPr>
        <w:jc w:val="right"/>
        <w:bidi/>
      </w:pPr>
      <w:r>
        <w:rPr>
          <w:rFonts w:ascii="Times New Roman" w:hAnsi="Times New Roman" w:cs="Times New Roman"/>
          <w:sz w:val="22"/>
          <w:sz-cs w:val="22"/>
        </w:rPr>
        <w:t xml:space="preserve">בשם שירות המבחן:</w:t>
      </w:r>
    </w:p>
    <w:p>
      <w:pPr>
        <w:jc w:val="right"/>
        <w:bidi/>
      </w:pPr>
      <w:r>
        <w:rPr>
          <w:rFonts w:ascii="Times New Roman" w:hAnsi="Times New Roman" w:cs="Times New Roman"/>
          <w:sz w:val="22"/>
          <w:sz-cs w:val="22"/>
        </w:rPr>
        <w:t xml:space="preserve">גב' ברכה וייס</w:t>
      </w:r>
    </w:p>
    <w:p>
      <w:pPr>
        <w:jc w:val="center"/>
        <w:bidi/>
      </w:pPr>
      <w:r>
        <w:rPr>
          <w:rFonts w:ascii="Times New Roman" w:hAnsi="Times New Roman" w:cs="Times New Roman"/>
          <w:sz w:val="24"/>
          <w:sz-cs w:val="24"/>
          <w:spacing w:val="3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"http://www.nevo.co.il/law/70301/144.a" 144(א)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המשיב הורשע, על פי הודאתו, לאחר שמיעת חלק מהראיות ותיקון כתב האישום, בהחזקת רובה 16 M-ושני אקדחים חצי-אוטומטיים, שאותם רכש בנסיבות ובמועדים שלא נתבררו והסתירם בבית דודתו ללא ידיעתה – עבירה לפי </w:t>
      </w:r>
      <w:r>
        <w:rPr>
          <w:rFonts w:ascii="Arial" w:hAnsi="Arial" w:cs="Arial"/>
          <w:sz w:val="22"/>
          <w:sz-cs w:val="22"/>
          <w:u w:val="single"/>
          <w:spacing w:val="10"/>
          <w:color w:val="0000FF"/>
        </w:rPr>
        <w:t xml:space="preserve"> HYPERLINK "http://www.nevo.co.il/law/70301/144.a" סעיף 144(א)</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"http://www.nevo.co.il/law/70301" חוק העונשין</w:t>
      </w:r>
      <w:r>
        <w:rPr>
          <w:rFonts w:ascii="Arial" w:hAnsi="Arial" w:cs="Arial"/>
          <w:sz w:val="22"/>
          <w:sz-cs w:val="22"/>
          <w:spacing w:val="10"/>
        </w:rPr>
        <w:t xml:space="preserve">, התשל"ז-1977.</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המחוזי השית על המשיב עונש מאסר של שישה חודשים לריצוי בעבודות שירות, ועל קולת העונש נסב ערעור המדינה.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לא נעלמו מעינינו נסיבותיו האישיות של המשיב – גילו הצעיר, ללא עבר פלילי, נטל אחריות על מעשיו, התארס ועומד להינשא, והתסקירים שניתנו בעניינו חיוביים לאחר שהשתתף בקבוצה טיפולית בפיקוח שירות המבחן.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עם זאת, העונש שהושת על המשיב חורג עד מאוד לקולה, בהינתן בכך שמדובר בהחזקת שלושה כלי נשק, אחד מהם רוס"ר 16M-. הסבריו של המשיב כי ביקש להשתמש בנשק לירי בחתונות מעוררים תמיהה, מה עוד שמהחומר עולה כי השקיע ממון של ממש ברכישת הנשקים.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ידועה גישתו ומדיניות הענישה המחמירה של בית משפט זה בעבירות נשק, ואיננו רואים להרחיב ברציונלים ובסיבות לכך (ראו </w:t>
      </w:r>
      <w:r>
        <w:rPr>
          <w:rFonts w:ascii="Arial" w:hAnsi="Arial" w:cs="Arial"/>
          <w:sz w:val="22"/>
          <w:sz-cs w:val="22"/>
          <w:u w:val="single"/>
          <w:spacing w:val="10"/>
          <w:color w:val="0000FF"/>
        </w:rPr>
        <w:t xml:space="preserve"> HYPERLINK "http://www.nevo.co.il/case/5821327" ע"פ 2251/11</w:t>
      </w:r>
      <w:r>
        <w:rPr>
          <w:rFonts w:ascii="Arial" w:hAnsi="Arial" w:cs="Arial"/>
          <w:sz w:val="22"/>
          <w:sz-cs w:val="22"/>
          <w:spacing w:val="10"/>
        </w:rPr>
        <w:t xml:space="preserve"> </w:t>
      </w:r>
      <w:r>
        <w:rPr>
          <w:rFonts w:ascii="Times New Roman" w:hAnsi="Times New Roman" w:cs="Times New Roman"/>
          <w:sz w:val="28"/>
          <w:sz-cs w:val="28"/>
        </w:rPr>
        <w:t xml:space="preserve">נפאע נ' מדינת ישראל</w:t>
      </w:r>
      <w:r>
        <w:rPr>
          <w:rFonts w:ascii="Arial" w:hAnsi="Arial" w:cs="Arial"/>
          <w:sz w:val="22"/>
          <w:sz-cs w:val="22"/>
          <w:spacing w:val="10"/>
        </w:rPr>
        <w:t xml:space="preserve"> (4.12.2011)). אנו סבורים כי בית המשפט המחוזי חרג במקרה דנן באופן משמעותי מרף הענישה הנוהג, וכי יש מקום להתערבות ערכאת הערעור ולקבלת 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אך ורק מאחר שאין דרכה של ערכאת ערעור למצות את העונש, אנו מעמידים את עונשו של המשיב על 12 חודשי מאסר בפועל בלבד, בניכוי ימי מעצרו.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יתר הוראות גזר הדין יישארו על כנן.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 </w:t>
        <w:tab/>
        <w:t xml:space="preserve">המשיב יתייצב לשאת בעונש המאסר בפועל שהוטל עליו ביום 24.12.2017 עד השעה 10:00 בימ"ר דקל מחוז דרום, או על פי החלטת שירות בתי הסוהר, כשברשותו תעודת זהות או דרכון. על המשיב לתאם את הכניסה למאסר, כולל האפשרות למיון מוקדם, עם ענף אבחון ומיון של שירות בתי הסוהר, בטלפונים: 08-9787377 או  08-9787336.</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‏ב' בכסלו התשע"ח (‏20.11.2017).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center"/>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17050040_E03.doc   עכב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עמית 54678313-5004/17</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5004/17 </w:t>
        <w:tab/>
        <w:t xml:space="preserve"> מדינת ישראל נ' ענאן אלעטאונה</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5004/17 </w:t>
        <w:tab/>
        <w:t xml:space="preserve"> מדינת ישראל נ' ענאן אלעטאונה</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2017-11-21T09:44:00Z</dcterms:created>
  <dcterms:modified>2017-11-21T09:44:00Z</dcterms:modified>
</cp:coreProperties>
</file>

<file path=docProps/meta.xml><?xml version="1.0" encoding="utf-8"?>
<meta xmlns="http://schemas.apple.com/cocoa/2006/metadata">
  <generator>CocoaOOXMLWriter/2575.7</generator>
</meta>
</file>