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5195/11 </w:t>
      </w:r>
    </w:p>
    <w:p>
      <w:pPr>
        <w:bidi/>
      </w:pPr>
      <w:r>
        <w:rPr>
          <w:rFonts w:ascii="Times New Roman" w:hAnsi="Times New Roman" w:cs="Times New Roman"/>
          <w:sz w:val="28"/>
          <w:sz-cs w:val="28"/>
        </w:rPr>
        <w:t xml:space="preserve">ע"פ  5338/11</w:t>
      </w:r>
    </w:p>
    <w:p>
      <w:pPr>
        <w:bidi/>
      </w:pPr>
      <w:r>
        <w:rPr>
          <w:rFonts w:ascii="Times New Roman" w:hAnsi="Times New Roman" w:cs="Times New Roman"/>
          <w:sz w:val="28"/>
          <w:sz-cs w:val="28"/>
        </w:rPr>
        <w:t xml:space="preserve">ע"פ  5343/11</w:t>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בתיק 5195/11: </w:t>
      </w:r>
    </w:p>
    <w:p>
      <w:pPr>
        <w:jc w:val="right"/>
        <w:bidi/>
      </w:pPr>
      <w:r>
        <w:rPr>
          <w:rFonts w:ascii="Times New Roman" w:hAnsi="Times New Roman" w:cs="Times New Roman"/>
          <w:sz w:val="22"/>
          <w:sz-cs w:val="22"/>
        </w:rPr>
        <w:t xml:space="preserve">גיאורגי קריניאן</w:t>
      </w:r>
    </w:p>
    <w:p>
      <w:pPr>
        <w:jc w:val="right"/>
        <w:bidi/>
      </w:pPr>
      <w:r>
        <w:rPr>
          <w:rFonts w:ascii="Times New Roman" w:hAnsi="Times New Roman" w:cs="Times New Roman"/>
          <w:sz w:val="22"/>
          <w:sz-cs w:val="22"/>
        </w:rPr>
        <w:t xml:space="preserve">המערער בתיק 5338/11: </w:t>
      </w:r>
    </w:p>
    <w:p>
      <w:pPr>
        <w:jc w:val="right"/>
        <w:bidi/>
      </w:pPr>
      <w:r>
        <w:rPr>
          <w:rFonts w:ascii="Times New Roman" w:hAnsi="Times New Roman" w:cs="Times New Roman"/>
          <w:sz w:val="22"/>
          <w:sz-cs w:val="22"/>
        </w:rPr>
        <w:t xml:space="preserve">פרחאד רוסטמוב </w:t>
      </w:r>
    </w:p>
    <w:p>
      <w:pPr>
        <w:jc w:val="right"/>
        <w:bidi/>
      </w:pPr>
      <w:r>
        <w:rPr>
          <w:rFonts w:ascii="Times New Roman" w:hAnsi="Times New Roman" w:cs="Times New Roman"/>
          <w:sz w:val="22"/>
          <w:sz-cs w:val="22"/>
        </w:rPr>
        <w:t xml:space="preserve">המערער בתיק 5343/11: </w:t>
      </w:r>
    </w:p>
    <w:p>
      <w:pPr>
        <w:jc w:val="right"/>
        <w:bidi/>
      </w:pPr>
      <w:r>
        <w:rPr>
          <w:rFonts w:ascii="Times New Roman" w:hAnsi="Times New Roman" w:cs="Times New Roman"/>
          <w:sz w:val="22"/>
          <w:sz-cs w:val="22"/>
        </w:rPr>
        <w:t xml:space="preserve">ראשד רוסטמוב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6"/>
          <w:sz-cs w:val="26"/>
        </w:rPr>
        <w:t xml:space="preserve">ערעור על גזר הדין של בית המשפט המחוזי בחיפה מיום 1.6.2011 ב</w:t>
      </w:r>
      <w:r>
        <w:rPr>
          <w:rFonts w:ascii="Times New Roman" w:hAnsi="Times New Roman" w:cs="Times New Roman"/>
          <w:sz w:val="26"/>
          <w:sz-cs w:val="26"/>
          <w:u w:val="single"/>
          <w:color w:val="0000FF"/>
        </w:rPr>
        <w:t xml:space="preserve">HYPERLINK "http://www.nevo.co.il/case/4223403"</w:t>
      </w:r>
      <w:r>
        <w:rPr>
          <w:rFonts w:ascii="Times New Roman" w:hAnsi="Times New Roman" w:cs="Times New Roman"/>
          <w:sz w:val="26"/>
          <w:sz-cs w:val="26"/>
          <w:u w:val="single"/>
          <w:color w:val="0000FF"/>
        </w:rPr>
        <w:t xml:space="preserve">תפ"ח  38865-08-10</w:t>
      </w:r>
      <w:r>
        <w:rPr>
          <w:rFonts w:ascii="Times New Roman" w:hAnsi="Times New Roman" w:cs="Times New Roman"/>
          <w:sz w:val="26"/>
          <w:sz-cs w:val="26"/>
        </w:rPr>
        <w:t xml:space="preserve"> </w:t>
      </w:r>
      <w:r>
        <w:rPr>
          <w:rFonts w:ascii="Times New Roman" w:hAnsi="Times New Roman" w:cs="Times New Roman"/>
          <w:sz w:val="22"/>
          <w:sz-cs w:val="22"/>
        </w:rPr>
        <w:t xml:space="preserve">[פורסם בנבו] </w:t>
      </w:r>
      <w:r>
        <w:rPr>
          <w:rFonts w:ascii="Times New Roman" w:hAnsi="Times New Roman" w:cs="Times New Roman"/>
          <w:sz w:val="26"/>
          <w:sz-cs w:val="26"/>
        </w:rPr>
        <w:t xml:space="preserve">שניתן על-ידי כבוד השופט </w:t>
      </w:r>
      <w:r>
        <w:rPr>
          <w:rFonts w:ascii="Times New Roman" w:hAnsi="Times New Roman" w:cs="Times New Roman"/>
          <w:sz w:val="28"/>
          <w:sz-cs w:val="28"/>
        </w:rPr>
        <w:t xml:space="preserve">ר' סוקול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6"/>
          <w:sz-cs w:val="26"/>
        </w:rPr>
        <w:t xml:space="preserve">ב' בניסן התשע"ב </w:t>
      </w:r>
      <w:r>
        <w:rPr>
          <w:rFonts w:ascii="Times New Roman" w:hAnsi="Times New Roman" w:cs="Times New Roman"/>
          <w:sz w:val="22"/>
          <w:sz-cs w:val="22"/>
        </w:rPr>
        <w:t xml:space="preserve"/>
      </w:r>
    </w:p>
    <w:p>
      <w:pPr>
        <w:jc w:val="right"/>
        <w:bidi/>
      </w:pPr>
      <w:r>
        <w:rPr>
          <w:rFonts w:ascii="Times New Roman" w:hAnsi="Times New Roman" w:cs="Times New Roman"/>
          <w:sz w:val="26"/>
          <w:sz-cs w:val="26"/>
        </w:rPr>
        <w:t xml:space="preserve">(25.3.12)</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בתיק 5195/11:</w:t>
      </w:r>
    </w:p>
    <w:p>
      <w:pPr>
        <w:jc w:val="right"/>
        <w:bidi/>
      </w:pPr>
      <w:r>
        <w:rPr>
          <w:rFonts w:ascii="Times New Roman" w:hAnsi="Times New Roman" w:cs="Times New Roman"/>
          <w:sz w:val="22"/>
          <w:sz-cs w:val="22"/>
        </w:rPr>
        <w:t xml:space="preserve">עו"ד רפאלה שפריר </w:t>
      </w:r>
    </w:p>
    <w:p>
      <w:pPr>
        <w:jc w:val="right"/>
        <w:bidi/>
      </w:pPr>
      <w:r>
        <w:rPr>
          <w:rFonts w:ascii="Times New Roman" w:hAnsi="Times New Roman" w:cs="Times New Roman"/>
          <w:sz w:val="22"/>
          <w:sz-cs w:val="22"/>
        </w:rPr>
        <w:t xml:space="preserve">בשם המערער בתיק 5338/11: </w:t>
      </w:r>
    </w:p>
    <w:p>
      <w:pPr>
        <w:jc w:val="right"/>
        <w:bidi/>
      </w:pPr>
      <w:r>
        <w:rPr>
          <w:rFonts w:ascii="Times New Roman" w:hAnsi="Times New Roman" w:cs="Times New Roman"/>
          <w:sz w:val="22"/>
          <w:sz-cs w:val="22"/>
        </w:rPr>
        <w:t xml:space="preserve">עו"ד יובל זמר</w:t>
      </w:r>
    </w:p>
    <w:p>
      <w:pPr>
        <w:jc w:val="right"/>
        <w:bidi/>
      </w:pPr>
      <w:r>
        <w:rPr>
          <w:rFonts w:ascii="Times New Roman" w:hAnsi="Times New Roman" w:cs="Times New Roman"/>
          <w:sz w:val="22"/>
          <w:sz-cs w:val="22"/>
        </w:rPr>
        <w:t xml:space="preserve">בשם המערער בתיק5343/11: </w:t>
      </w:r>
    </w:p>
    <w:p>
      <w:pPr>
        <w:jc w:val="right"/>
        <w:bidi/>
      </w:pPr>
      <w:r>
        <w:rPr>
          <w:rFonts w:ascii="Times New Roman" w:hAnsi="Times New Roman" w:cs="Times New Roman"/>
          <w:sz w:val="22"/>
          <w:sz-cs w:val="22"/>
        </w:rPr>
        <w:t xml:space="preserve">עו"ד תומר נוה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יונתן קרמן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"http://www.nevo.co.il/law/70301/29" 29</w:t>
      </w:r>
      <w:r>
        <w:rPr>
          <w:rFonts w:ascii="Times" w:hAnsi="Times" w:cs="Times"/>
          <w:sz w:val="24"/>
          <w:sz-cs w:val="24"/>
        </w:rPr>
        <w:t xml:space="preserve">, </w:t>
      </w:r>
      <w:r>
        <w:rPr>
          <w:rFonts w:ascii="Times" w:hAnsi="Times" w:cs="Times"/>
          <w:sz w:val="24"/>
          <w:sz-cs w:val="24"/>
          <w:u w:val="single"/>
          <w:color w:val="0000FF"/>
        </w:rPr>
        <w:t xml:space="preserve"> HYPERLINK "http://www.nevo.co.il/law/70301/31" 31</w:t>
      </w:r>
      <w:r>
        <w:rPr>
          <w:rFonts w:ascii="Times" w:hAnsi="Times" w:cs="Times"/>
          <w:sz w:val="24"/>
          <w:sz-cs w:val="24"/>
        </w:rPr>
        <w:t xml:space="preserve">,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-(ב)</w:t>
      </w:r>
      <w:r>
        <w:rPr>
          <w:rFonts w:ascii="Times" w:hAnsi="Times" w:cs="Times"/>
          <w:sz w:val="24"/>
          <w:sz-cs w:val="24"/>
        </w:rPr>
        <w:t xml:space="preserve">, </w:t>
      </w:r>
      <w:r>
        <w:rPr>
          <w:rFonts w:ascii="Times" w:hAnsi="Times" w:cs="Times"/>
          <w:sz w:val="24"/>
          <w:sz-cs w:val="24"/>
          <w:u w:val="single"/>
          <w:color w:val="0000FF"/>
        </w:rPr>
        <w:t xml:space="preserve"> HYPERLINK "http://www.nevo.co.il/law/70301/192" 192</w:t>
      </w:r>
      <w:r>
        <w:rPr>
          <w:rFonts w:ascii="Times" w:hAnsi="Times" w:cs="Times"/>
          <w:sz w:val="24"/>
          <w:sz-cs w:val="24"/>
        </w:rPr>
        <w:t xml:space="preserve">, </w:t>
      </w:r>
      <w:r>
        <w:rPr>
          <w:rFonts w:ascii="Times" w:hAnsi="Times" w:cs="Times"/>
          <w:sz w:val="24"/>
          <w:sz-cs w:val="24"/>
          <w:u w:val="single"/>
          <w:color w:val="0000FF"/>
        </w:rPr>
        <w:t xml:space="preserve"> HYPERLINK "http://www.nevo.co.il/law/70301/288" 288</w:t>
      </w:r>
      <w:r>
        <w:rPr>
          <w:rFonts w:ascii="Times" w:hAnsi="Times" w:cs="Times"/>
          <w:sz w:val="24"/>
          <w:sz-cs w:val="24"/>
        </w:rPr>
        <w:t xml:space="preserve">, </w:t>
      </w:r>
      <w:r>
        <w:rPr>
          <w:rFonts w:ascii="Times" w:hAnsi="Times" w:cs="Times"/>
          <w:sz w:val="24"/>
          <w:sz-cs w:val="24"/>
          <w:u w:val="single"/>
          <w:color w:val="0000FF"/>
        </w:rPr>
        <w:t xml:space="preserve"> HYPERLINK "http://www.nevo.co.il/law/70301/329.a.2." 329(א)(2)</w:t>
      </w:r>
      <w:r>
        <w:rPr>
          <w:rFonts w:ascii="Times" w:hAnsi="Times" w:cs="Times"/>
          <w:sz w:val="24"/>
          <w:sz-cs w:val="24"/>
        </w:rPr>
        <w:t xml:space="preserve">, </w:t>
      </w:r>
      <w:r>
        <w:rPr>
          <w:rFonts w:ascii="Times" w:hAnsi="Times" w:cs="Times"/>
          <w:sz w:val="24"/>
          <w:sz-cs w:val="24"/>
          <w:u w:val="single"/>
          <w:color w:val="0000FF"/>
        </w:rPr>
        <w:t xml:space="preserve"> HYPERLINK "http://www.nevo.co.il/law/70301/379" 379</w:t>
      </w:r>
      <w:r>
        <w:rPr>
          <w:rFonts w:ascii="Times" w:hAnsi="Times" w:cs="Times"/>
          <w:sz w:val="24"/>
          <w:sz-cs w:val="24"/>
        </w:rPr>
        <w:t xml:space="preserve">, </w:t>
      </w:r>
      <w:r>
        <w:rPr>
          <w:rFonts w:ascii="Times" w:hAnsi="Times" w:cs="Times"/>
          <w:sz w:val="24"/>
          <w:sz-cs w:val="24"/>
          <w:u w:val="single"/>
          <w:color w:val="0000FF"/>
        </w:rPr>
        <w:t xml:space="preserve"> HYPERLINK "http://www.nevo.co.il/law/70301/380" 380</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"http://www.nevo.co.il/safrut/book/5505" </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מרים גור-אריה, "הצעת חוק העונשין (חלק", משפטים, כד (תשנ"ד-תשנ"ה) 9</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השתתפותם של נאשמים שונים באותו סיפור מקרה מניחה את התשתית לתחולת עיקרון אחידות הענישה. אולם, אין זה אומר, שכל ה"שחקנים" בסיפור אמורים לקבל את אותו העונש. יש לבחון את נסיבות העושה והמעשה. נקודה חשובה היא היחס בין עונשם של המעורבים במקרה על פי חומרת השתתפותם היחסית. יש לזכור שכפי שאפליה ללא הצדקה בתוצאת גזר הדין פוגעת בעיקרון אחידות הענישה, כך גם שוויון מלאכותי בין נאשמים. בענייננו, אין מקום להתערב באופן שבו איזן ביהמ"ש קמא בין שיקולי הענישה.</w:t>
      </w:r>
    </w:p>
    <w:p>
      <w:pPr>
        <w:jc w:val="both"/>
        <w:bidi/>
        <w:spacing w:after="120"/>
      </w:pPr>
      <w:r>
        <w:rPr>
          <w:rFonts w:ascii="Times New Roman" w:hAnsi="Times New Roman" w:cs="Times New Roman"/>
          <w:sz w:val="24"/>
          <w:sz-cs w:val="24"/>
        </w:rPr>
        <w:t xml:space="preserve">* עונשין – ענישה – מדיניות ענישה-אחדות הענישה</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שלושה ערעורים על חומרת גזר דינו של ביהמ"ש המחוזי בחיפה. רקע: בין שלושת המערערים (להלן: גיאורגי, ראשד ופרחאד, וביחד המערערים), אשר פעלו כקבוצה אחת, לבין קבוצת צעירים יריבה, התגלע סכסוך אלים (שכלל מכות, זריקת בקבוק זכוכית ומעשי ירי בלב העיר). כל המערערים הורשעו בעבירות נשק ואלימות וגיאורגי ופרחאד הורשעו גם בעבירות סחר בסם מסוכן. על פרחאד נגזרו שבע שנות מאסר בפועל, על גיאורגי שש שנות מאסר בפועל, ועל ראשד, שנתיים מאסר בפועל. להשלמת התמונה יצוין כי חמשת בני הקבוצה היריבה הורשעו גם הם (ע"י מותב אחר), בשורה של עבירות אלימות. על הנאשמים 1-3 נגזרו שבע שנות מאסר בפועל, על הנאשם 4 נגזרו שלוש שנות מאסר בפועל, ועל הנאשם 5 נגזרו שנתיים מאסר בפועל. הטענה המרכזית בערעורם של גיאורגי ופרחאד היא טענה לפגם בעיקרון אחידות הענישה. לטענתם, הוטלו עליהם עונשים חמורים יותר, באופן יחסי, מן העונשים שהוטלו על חברי הקבוצה היריבה. לטענת ראשד, עבירת הסיוע בה הורשע מצויה "ברף התחתון ביותר שניתן לייחס למסייע" ולפיכך יש להפחית בעונשו.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נ' הנדל) דחה את הערעורים מהטעמים הבאים:</w:t>
      </w:r>
    </w:p>
    <w:p>
      <w:pPr>
        <w:jc w:val="both"/>
        <w:bidi/>
        <w:spacing w:after="120"/>
      </w:pPr>
      <w:r>
        <w:rPr>
          <w:rFonts w:ascii="Times New Roman" w:hAnsi="Times New Roman" w:cs="Times New Roman"/>
          <w:sz w:val="24"/>
          <w:sz-cs w:val="24"/>
        </w:rPr>
        <w:t xml:space="preserve">אין ספק כי יש להחיל את עיקרון אחידות הענישה גם במקרה כזה בו ניתנו גזרי דין על ידי שני מותבים שונים. השתתפותם של נאשמים שונים באותו סיפור מקרה מניחה את התשתית לתחולת עיקרון אחידות הענישה. אולם, אין זה אומר, שכל ה"שחקנים" בסיפור אמורים לקבל את אותו העונש. יש לבחון את נסיבות העושה והמעשה. נקודה חשובה היא היחס בין עונשם של המעורבים במקרה על פי חומרת השתתפותם היחסית. יש לזכור שכפי שאפליה ללא הצדקה בתוצאת גזר הדין פוגעת בעיקרון אחידות הענישה, כך גם שוויון מלאכותי בין נאשמים. </w:t>
      </w:r>
    </w:p>
    <w:p>
      <w:pPr>
        <w:jc w:val="both"/>
        <w:bidi/>
        <w:spacing w:after="120"/>
      </w:pPr>
      <w:r>
        <w:rPr>
          <w:rFonts w:ascii="Times New Roman" w:hAnsi="Times New Roman" w:cs="Times New Roman"/>
          <w:sz w:val="24"/>
          <w:sz-cs w:val="24"/>
        </w:rPr>
        <w:t xml:space="preserve">בענייננו, נראה כי אין מקום להתערב באופן שבו איזן ביהמ"ש קמא בין שיקולי הענישה. ביהמ"ש שת ליבו לעקרון אחידות הענישה, ולחשיבות הבסיסית שיש בשמירה על רמה אחידה של ענישה בעבירות דומות. בחינת העניין תוך עריכת השוואה בין שתי הקבוצות – וזו הטענה העיקרית בתיק זה – מובילה למסקנה הבאה: אף אם קיים פער מסוים בענישה בין הנאשמים בשתי הקבוצות, אשר פוגע במידת-מה באחידות הענישה, אין הוא בדרגה שמצדיקה התערבות על ידי בימ"ש זה. יתירה מזאת, היה על ביהמ"ש המחוזי לתת את דעתו לתפקידו להילחם מלחמת חורמה נגד התופעה של "איש הישר בעיניו יעשה" ברחוב – יהא זה שימוש בסכין, יהא זה שימוש באקדח, יהא זה אזור שומם, יהא זה אזור מגורים. אין להשלים עם התנהגות שעלולה לפגוע בצד ג', רק מפני שהעז לצאת החוצה בשטח מקום מגוריו. הציבור איננו חייב להיות במעצר בית דה-פקטו. אין לאפשר לבריונים לשלוט ברשות הרבים כדי לסגור ביניהם סכסוכים חסרי ערך. </w:t>
      </w:r>
    </w:p>
    <w:p>
      <w:pPr>
        <w:jc w:val="both"/>
        <w:bidi/>
        <w:spacing w:after="120"/>
      </w:pPr>
      <w:r>
        <w:rPr>
          <w:rFonts w:ascii="Times New Roman" w:hAnsi="Times New Roman" w:cs="Times New Roman"/>
          <w:sz w:val="24"/>
          <w:sz-cs w:val="24"/>
        </w:rPr>
        <w:t xml:space="preserve">כן אין לקבל את טענתו של המערער השלישי, ראשד, לפיה כביכול עבירת הסיוע בה הורשע מצויה "ברף התחתון ביותר שניתן לייחס למסייע". המערער לא פירט מהו אותו "רף תחתון" של הסיוע, מדוע הוא חל בעניינו, ומדוע הדבר מצדיק הפחתה בעונשו. מסייע, כפי שנקבע בסעיף 31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איננו חלק מן המעגל הפנימי של מבצעי עבירה. הסיוע שהגיש מטבעו איננו עומד במרכז הבמה, והוא נמצא מחוץ למעגל הראשון של העשייה הפלילית. עדיין, בקביעת העונש יש לבחון, כמובן, לאיזו עבירה סייע הנאשם המסוים. בענייננו, ביהמ"ש קמא הסתמך על כך שראשד הודה כי נטל חלק, גם אם זוטר באופן יחסי, באירוע המתואר באישום הראשון. ראשד הודה כי סייע לפרחאד ולגיאורגי לירות לעבר חברי הקבוצה היריבה, פעולה שמשמעה קשירת קשר לביצוע פשע וסיוע לגרימת חבלה בכוונה מחמירה. על סמך הודאה זו, ובצירוף יתר נסיבות האירוע, קבע ביהמ"ש קמא את עונשו של ראשד, ואין מקום להתערב בכך.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u w:val="single"/>
        </w:rPr>
        <w:t xml:space="preserve">השופט נ' הנדל</w:t>
      </w:r>
    </w:p>
    <w:p>
      <w:pPr>
        <w:jc w:val="both"/>
        <w:bidi/>
      </w:pPr>
      <w:r>
        <w:rPr>
          <w:rFonts w:ascii="Times New Roman" w:hAnsi="Times New Roman" w:cs="Times New Roman"/>
          <w:sz w:val="28"/>
          <w:sz-cs w:val="28"/>
          <w:u w:val="single"/>
        </w:rPr>
        <w:t xml:space="preserve"/>
      </w:r>
    </w:p>
    <w:p>
      <w:pPr>
        <w:jc w:val="both"/>
        <w:bidi/>
      </w:pPr>
      <w:r>
        <w:rPr>
          <w:rFonts w:ascii="Arial" w:hAnsi="Arial" w:cs="Arial"/>
          <w:sz w:val="22"/>
          <w:sz-cs w:val="22"/>
          <w:spacing w:val="10"/>
        </w:rPr>
        <w:t xml:space="preserve">מונחים לפנינו שלושה ערעורים על חומרת גזר דינו של בית המשפט המחוזי בחיפה </w:t>
      </w:r>
      <w:r>
        <w:rPr>
          <w:rFonts w:ascii="Times New Roman" w:hAnsi="Times New Roman" w:cs="Times New Roman"/>
          <w:sz w:val="22"/>
          <w:sz-cs w:val="22"/>
          <w:spacing w:val="10"/>
        </w:rPr>
        <w:t xml:space="preserve">(</w:t>
      </w:r>
      <w:r>
        <w:rPr>
          <w:rFonts w:ascii="Arial" w:hAnsi="Arial" w:cs="Arial"/>
          <w:sz w:val="22"/>
          <w:sz-cs w:val="22"/>
          <w:spacing w:val="10"/>
        </w:rPr>
        <w:t xml:space="preserve">כב' השופט </w:t>
      </w:r>
      <w:r>
        <w:rPr>
          <w:rFonts w:ascii="Times New Roman" w:hAnsi="Times New Roman" w:cs="Times New Roman"/>
          <w:sz w:val="28"/>
          <w:sz-cs w:val="28"/>
        </w:rPr>
        <w:t xml:space="preserve">ר' סוקול</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"http://www.nevo.co.il/case/2862271"</w:t>
      </w:r>
      <w:r>
        <w:rPr>
          <w:rFonts w:ascii="Times New Roman" w:hAnsi="Times New Roman" w:cs="Times New Roman"/>
          <w:sz w:val="24"/>
          <w:sz-cs w:val="24"/>
          <w:u w:val="single"/>
          <w:color w:val="0000FF"/>
        </w:rPr>
        <w:t xml:space="preserve">http://www.nevo.co.il/case/2862271</w:t>
      </w:r>
      <w:r>
        <w:rPr>
          <w:rFonts w:ascii="Times New Roman" w:hAnsi="Times New Roman" w:cs="Times New Roman"/>
          <w:sz w:val="22"/>
          <w:sz-cs w:val="22"/>
          <w:u w:val="single"/>
          <w:spacing w:val="10"/>
          <w:color w:val="0000FF"/>
        </w:rPr>
        <w:t xml:space="preserve">HYPERLINK "http://www.nevo.co.il/case/4223403"תפ"ח 38865-08-10</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יום 1.6.2011</w:t>
      </w:r>
      <w:r>
        <w:rPr>
          <w:rFonts w:ascii="Times New Roman" w:hAnsi="Times New Roman" w:cs="Times New Roman"/>
          <w:sz w:val="22"/>
          <w:sz-cs w:val="22"/>
          <w:spacing w:val="10"/>
        </w:rPr>
        <w:t xml:space="preserve">). הערעורים הוגשו על ידי שלושת המורשעים</w:t>
      </w:r>
      <w:r>
        <w:rPr>
          <w:rFonts w:ascii="Arial" w:hAnsi="Arial" w:cs="Arial"/>
          <w:sz w:val="22"/>
          <w:sz-cs w:val="22"/>
          <w:spacing w:val="10"/>
        </w:rPr>
        <w:t xml:space="preserve">: גיאורגי קריניאן (להלן: </w:t>
      </w:r>
      <w:r>
        <w:rPr>
          <w:rFonts w:ascii="Times New Roman" w:hAnsi="Times New Roman" w:cs="Times New Roman"/>
          <w:sz w:val="22"/>
          <w:sz-cs w:val="22"/>
          <w:spacing w:val="10"/>
        </w:rPr>
        <w:t xml:space="preserve">גיאורגי</w:t>
      </w:r>
      <w:r>
        <w:rPr>
          <w:rFonts w:ascii="Arial" w:hAnsi="Arial" w:cs="Arial"/>
          <w:sz w:val="22"/>
          <w:sz-cs w:val="22"/>
          <w:spacing w:val="10"/>
        </w:rPr>
        <w:t xml:space="preserve">), המערער ב</w:t>
      </w:r>
      <w:r>
        <w:rPr>
          <w:rFonts w:ascii="Arial" w:hAnsi="Arial" w:cs="Arial"/>
          <w:sz w:val="22"/>
          <w:sz-cs w:val="22"/>
          <w:u w:val="single"/>
          <w:spacing w:val="10"/>
          <w:color w:val="0000FF"/>
        </w:rPr>
        <w:t xml:space="preserve"> HYPERLINK "http://www.nevo.co.il/case/5933664" ע"פ 5195/11;</w:t>
      </w:r>
      <w:r>
        <w:rPr>
          <w:rFonts w:ascii="Arial" w:hAnsi="Arial" w:cs="Arial"/>
          <w:sz w:val="22"/>
          <w:sz-cs w:val="22"/>
          <w:spacing w:val="10"/>
        </w:rPr>
        <w:t xml:space="preserve"> פרחאד רוסטמוב (להלן: </w:t>
      </w:r>
      <w:r>
        <w:rPr>
          <w:rFonts w:ascii="Times New Roman" w:hAnsi="Times New Roman" w:cs="Times New Roman"/>
          <w:sz w:val="22"/>
          <w:sz-cs w:val="22"/>
          <w:spacing w:val="10"/>
        </w:rPr>
        <w:t xml:space="preserve">פרחאד</w:t>
      </w:r>
      <w:r>
        <w:rPr>
          <w:rFonts w:ascii="Arial" w:hAnsi="Arial" w:cs="Arial"/>
          <w:sz w:val="22"/>
          <w:sz-cs w:val="22"/>
          <w:spacing w:val="10"/>
        </w:rPr>
        <w:t xml:space="preserve">), המערער ב</w:t>
      </w:r>
      <w:r>
        <w:rPr>
          <w:rFonts w:ascii="Arial" w:hAnsi="Arial" w:cs="Arial"/>
          <w:sz w:val="22"/>
          <w:sz-cs w:val="22"/>
          <w:u w:val="single"/>
          <w:spacing w:val="10"/>
          <w:color w:val="0000FF"/>
        </w:rPr>
        <w:t xml:space="preserve">HYPERLINK "http://www.nevo.co.il/case/5933665"ע"פ 5338/11;</w:t>
      </w:r>
      <w:r>
        <w:rPr>
          <w:rFonts w:ascii="Arial" w:hAnsi="Arial" w:cs="Arial"/>
          <w:sz w:val="22"/>
          <w:sz-cs w:val="22"/>
          <w:spacing w:val="10"/>
        </w:rPr>
        <w:t xml:space="preserve"> וראשד רוסטמוב </w:t>
      </w:r>
      <w:r>
        <w:rPr>
          <w:rFonts w:ascii="Times New Roman" w:hAnsi="Times New Roman" w:cs="Times New Roman"/>
          <w:sz w:val="22"/>
          <w:sz-cs w:val="22"/>
        </w:rPr>
        <w:t xml:space="preserve">[פורסם בנבו] </w:t>
      </w:r>
      <w:r>
        <w:rPr>
          <w:rFonts w:ascii="Arial" w:hAnsi="Arial" w:cs="Arial"/>
          <w:sz w:val="22"/>
          <w:sz-cs w:val="22"/>
          <w:spacing w:val="10"/>
        </w:rPr>
        <w:t xml:space="preserve">(להלן: ראשד), המערער ב</w:t>
      </w:r>
      <w:r>
        <w:rPr>
          <w:rFonts w:ascii="Arial" w:hAnsi="Arial" w:cs="Arial"/>
          <w:sz w:val="22"/>
          <w:sz-cs w:val="22"/>
          <w:u w:val="single"/>
          <w:spacing w:val="10"/>
          <w:color w:val="0000FF"/>
        </w:rPr>
        <w:t xml:space="preserve">HYPERLINK "http://www.nevo.co.il/case/5933666"ע"פ 343/11</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 </w:t>
      </w:r>
      <w:r>
        <w:rPr>
          <w:rFonts w:ascii="Times New Roman" w:hAnsi="Times New Roman" w:cs="Times New Roman"/>
          <w:sz w:val="22"/>
          <w:sz-cs w:val="22"/>
          <w:spacing w:val="10"/>
        </w:rPr>
        <w:t xml:space="preserve">בית המשפט המחוזי גזר על </w:t>
      </w:r>
      <w:r>
        <w:rPr>
          <w:rFonts w:ascii="Arial" w:hAnsi="Arial" w:cs="Arial"/>
          <w:sz w:val="24"/>
          <w:sz-cs w:val="24"/>
          <w:spacing w:val="10"/>
        </w:rPr>
        <w:t xml:space="preserve">פרחאד </w:t>
      </w:r>
      <w:r>
        <w:rPr>
          <w:rFonts w:ascii="Times New Roman" w:hAnsi="Times New Roman" w:cs="Times New Roman"/>
          <w:sz w:val="22"/>
          <w:sz-cs w:val="22"/>
          <w:spacing w:val="10"/>
        </w:rPr>
        <w:t xml:space="preserve">שבע שנות מאסר בפועל, על </w:t>
      </w:r>
      <w:r>
        <w:rPr>
          <w:rFonts w:ascii="Arial" w:hAnsi="Arial" w:cs="Arial"/>
          <w:sz w:val="24"/>
          <w:sz-cs w:val="24"/>
          <w:spacing w:val="10"/>
        </w:rPr>
        <w:t xml:space="preserve">גיאורגי </w:t>
      </w:r>
      <w:r>
        <w:rPr>
          <w:rFonts w:ascii="Times New Roman" w:hAnsi="Times New Roman" w:cs="Times New Roman"/>
          <w:sz w:val="22"/>
          <w:sz-cs w:val="22"/>
          <w:spacing w:val="10"/>
        </w:rPr>
        <w:t xml:space="preserve">- שש שנות מאסר בפועל, ועל </w:t>
      </w:r>
      <w:r>
        <w:rPr>
          <w:rFonts w:ascii="Arial" w:hAnsi="Arial" w:cs="Arial"/>
          <w:sz w:val="24"/>
          <w:sz-cs w:val="24"/>
          <w:spacing w:val="10"/>
        </w:rPr>
        <w:t xml:space="preserve">ראשד </w:t>
      </w:r>
      <w:r>
        <w:rPr>
          <w:rFonts w:ascii="Times New Roman" w:hAnsi="Times New Roman" w:cs="Times New Roman"/>
          <w:sz w:val="22"/>
          <w:sz-cs w:val="22"/>
          <w:spacing w:val="10"/>
        </w:rPr>
        <w:t xml:space="preserve">– שנתיים מאסר בפועל. </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פרחאד הורשע על פי הודאתו בקשירת קשר לגרימת חבלה חמורה – עבירה לפי </w:t>
      </w:r>
      <w:r>
        <w:rPr>
          <w:rFonts w:ascii="Times New Roman" w:hAnsi="Times New Roman" w:cs="Times New Roman"/>
          <w:sz w:val="22"/>
          <w:sz-cs w:val="22"/>
          <w:u w:val="single"/>
          <w:spacing w:val="10"/>
          <w:color w:val="0000FF"/>
        </w:rPr>
        <w:t xml:space="preserve"> HYPERLINK "http://www.nevo.co.il/law/70301/499.a.1." </w:t>
      </w:r>
      <w:r>
        <w:rPr>
          <w:rFonts w:ascii="Times New Roman" w:hAnsi="Times New Roman" w:cs="Times New Roman"/>
          <w:sz w:val="22"/>
          <w:sz-cs w:val="22"/>
          <w:u w:val="single"/>
          <w:spacing w:val="10"/>
          <w:color w:val="0000FF"/>
        </w:rPr>
        <w:t xml:space="preserve">סעיף 499(א)(1)</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התשל"ז-1977 (להלן: החוק); החזקת ונשיאת נשק שלא כדין - עבירה לפי </w:t>
      </w:r>
      <w:r>
        <w:rPr>
          <w:rFonts w:ascii="Times New Roman" w:hAnsi="Times New Roman" w:cs="Times New Roman"/>
          <w:sz w:val="22"/>
          <w:sz-cs w:val="22"/>
          <w:u w:val="single"/>
          <w:spacing w:val="10"/>
          <w:color w:val="0000FF"/>
        </w:rPr>
        <w:t xml:space="preserve"> HYPERLINK "http://www.nevo.co.il/law/70301/144.a." </w:t>
      </w:r>
      <w:r>
        <w:rPr>
          <w:rFonts w:ascii="Times New Roman" w:hAnsi="Times New Roman" w:cs="Times New Roman"/>
          <w:sz w:val="22"/>
          <w:sz-cs w:val="22"/>
          <w:u w:val="single"/>
          <w:spacing w:val="10"/>
          <w:color w:val="0000FF"/>
        </w:rPr>
        <w:t xml:space="preserve">סעיף 144(א)</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"http://www.nevo.co.il/law/70301/144.b." -(ב)</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חבלה בכוונה מחמירה - עבירה לפי </w:t>
      </w:r>
      <w:r>
        <w:rPr>
          <w:rFonts w:ascii="Times New Roman" w:hAnsi="Times New Roman" w:cs="Times New Roman"/>
          <w:sz w:val="22"/>
          <w:sz-cs w:val="22"/>
          <w:u w:val="single"/>
          <w:spacing w:val="10"/>
          <w:color w:val="0000FF"/>
        </w:rPr>
        <w:t xml:space="preserve"> HYPERLINK "http://www.nevo.co.il/law/70301/329.a.2." סעיף 329(א)(2)</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סחר בסם מסוכן - עבירה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"http://www.nevo.co.il/law/4216" פקודת הסמים המסוכנים</w:t>
      </w:r>
      <w:r>
        <w:rPr>
          <w:rFonts w:ascii="Times New Roman" w:hAnsi="Times New Roman" w:cs="Times New Roman"/>
          <w:sz w:val="22"/>
          <w:sz-cs w:val="22"/>
          <w:spacing w:val="10"/>
        </w:rPr>
        <w:t xml:space="preserve"> [נוסח חדש], התשל"ג-1973 (להלן: הפקודה); תקיפה הגורמת חבלה ממשית – עבירה לפי </w:t>
      </w:r>
      <w:r>
        <w:rPr>
          <w:rFonts w:ascii="Times New Roman" w:hAnsi="Times New Roman" w:cs="Times New Roman"/>
          <w:sz w:val="22"/>
          <w:sz-cs w:val="22"/>
          <w:u w:val="single"/>
          <w:spacing w:val="10"/>
          <w:color w:val="0000FF"/>
        </w:rPr>
        <w:t xml:space="preserve"> HYPERLINK "http://www.nevo.co.il/law/70301/380" סעיף 380</w:t>
      </w:r>
      <w:r>
        <w:rPr>
          <w:rFonts w:ascii="Times New Roman" w:hAnsi="Times New Roman" w:cs="Times New Roman"/>
          <w:sz w:val="22"/>
          <w:sz-cs w:val="22"/>
          <w:spacing w:val="10"/>
        </w:rPr>
        <w:t xml:space="preserve"> לחוק; איומים - עבירה לפי </w:t>
      </w:r>
      <w:r>
        <w:rPr>
          <w:rFonts w:ascii="Times New Roman" w:hAnsi="Times New Roman" w:cs="Times New Roman"/>
          <w:sz w:val="22"/>
          <w:sz-cs w:val="22"/>
          <w:u w:val="single"/>
          <w:spacing w:val="10"/>
          <w:color w:val="0000FF"/>
        </w:rPr>
        <w:t xml:space="preserve"> HYPERLINK "http://www.nevo.co.il/law/70301/192" סעיף 192</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תקיפה - עבירה לפי </w:t>
      </w:r>
      <w:r>
        <w:rPr>
          <w:rFonts w:ascii="Times New Roman" w:hAnsi="Times New Roman" w:cs="Times New Roman"/>
          <w:sz w:val="22"/>
          <w:sz-cs w:val="22"/>
          <w:u w:val="single"/>
          <w:spacing w:val="10"/>
          <w:color w:val="0000FF"/>
        </w:rPr>
        <w:t xml:space="preserve"> HYPERLINK "http://www.nevo.co.il/law/70301/379" סעיף 379</w:t>
      </w:r>
      <w:r>
        <w:rPr>
          <w:rFonts w:ascii="Times New Roman" w:hAnsi="Times New Roman" w:cs="Times New Roman"/>
          <w:sz w:val="22"/>
          <w:sz-cs w:val="22"/>
          <w:spacing w:val="10"/>
        </w:rPr>
        <w:t xml:space="preserve"> לחוק; והעלבת עובד ציבור - עבירה לפי </w:t>
      </w:r>
      <w:r>
        <w:rPr>
          <w:rFonts w:ascii="Times New Roman" w:hAnsi="Times New Roman" w:cs="Times New Roman"/>
          <w:sz w:val="22"/>
          <w:sz-cs w:val="22"/>
          <w:u w:val="single"/>
          <w:spacing w:val="10"/>
          <w:color w:val="0000FF"/>
        </w:rPr>
        <w:t xml:space="preserve"> HYPERLINK "http://www.nevo.co.il/law/70301/288" סעיף 288</w:t>
      </w:r>
      <w:r>
        <w:rPr>
          <w:rFonts w:ascii="Times New Roman" w:hAnsi="Times New Roman" w:cs="Times New Roman"/>
          <w:sz w:val="22"/>
          <w:sz-cs w:val="22"/>
          <w:spacing w:val="10"/>
        </w:rPr>
        <w:t xml:space="preserve"> לחוק. </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גיאורגי הורשע על פי הודאתו בקשירת קשר לגרימת חבלה חמורה – עבירה לפי </w:t>
      </w:r>
      <w:r>
        <w:rPr>
          <w:rFonts w:ascii="Times New Roman" w:hAnsi="Times New Roman" w:cs="Times New Roman"/>
          <w:sz w:val="22"/>
          <w:sz-cs w:val="22"/>
          <w:u w:val="single"/>
          <w:spacing w:val="10"/>
          <w:color w:val="0000FF"/>
        </w:rPr>
        <w:t xml:space="preserve"> HYPERLINK "http://www.nevo.co.il/law/70301/499.a.1." סעיף 499(א)(1)</w:t>
      </w:r>
      <w:r>
        <w:rPr>
          <w:rFonts w:ascii="Times New Roman" w:hAnsi="Times New Roman" w:cs="Times New Roman"/>
          <w:sz w:val="22"/>
          <w:sz-cs w:val="22"/>
          <w:spacing w:val="10"/>
        </w:rPr>
        <w:t xml:space="preserve"> לחוק; החזקת ונשיאת נשק שלא כדין - עבירה לפי </w:t>
      </w:r>
      <w:r>
        <w:rPr>
          <w:rFonts w:ascii="Times New Roman" w:hAnsi="Times New Roman" w:cs="Times New Roman"/>
          <w:sz w:val="22"/>
          <w:sz-cs w:val="22"/>
          <w:u w:val="single"/>
          <w:spacing w:val="10"/>
          <w:color w:val="0000FF"/>
        </w:rPr>
        <w:t xml:space="preserve"> HYPERLINK "http://www.nevo.co.il/law/70301/144.a." סעיף 144(א)</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"http://www.nevo.co.il/law/70301/144.b." -(ב)</w:t>
      </w:r>
      <w:r>
        <w:rPr>
          <w:rFonts w:ascii="Times New Roman" w:hAnsi="Times New Roman" w:cs="Times New Roman"/>
          <w:sz w:val="22"/>
          <w:sz-cs w:val="22"/>
          <w:spacing w:val="10"/>
        </w:rPr>
        <w:t xml:space="preserve"> 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חבלה בכוונה מחמירה - עבירה לפי </w:t>
      </w:r>
      <w:r>
        <w:rPr>
          <w:rFonts w:ascii="Times New Roman" w:hAnsi="Times New Roman" w:cs="Times New Roman"/>
          <w:sz w:val="22"/>
          <w:sz-cs w:val="22"/>
          <w:u w:val="single"/>
          <w:spacing w:val="10"/>
          <w:color w:val="0000FF"/>
        </w:rPr>
        <w:t xml:space="preserve"> HYPERLINK "http://www.nevo.co.il/law/70301/329.a.2." סעיף 329(א)(2)</w:t>
      </w:r>
      <w:r>
        <w:rPr>
          <w:rFonts w:ascii="Times New Roman" w:hAnsi="Times New Roman" w:cs="Times New Roman"/>
          <w:sz w:val="22"/>
          <w:sz-cs w:val="22"/>
          <w:spacing w:val="10"/>
        </w:rPr>
        <w:t xml:space="preserve"> 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סחר בסם מסוכן - עבירה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לפקודה; והחזקת סם לשימוש עצמי - עבירה לפי </w:t>
      </w:r>
      <w:r>
        <w:rPr>
          <w:rFonts w:ascii="Times New Roman" w:hAnsi="Times New Roman" w:cs="Times New Roman"/>
          <w:sz w:val="22"/>
          <w:sz-cs w:val="22"/>
          <w:u w:val="single"/>
          <w:spacing w:val="10"/>
          <w:color w:val="0000FF"/>
        </w:rPr>
        <w:t xml:space="preserve"> HYPERLINK "http://www.nevo.co.il/law/4216/7a" סעיף 7א</w:t>
      </w:r>
      <w:r>
        <w:rPr>
          <w:rFonts w:ascii="Times New Roman" w:hAnsi="Times New Roman" w:cs="Times New Roman"/>
          <w:sz w:val="22"/>
          <w:sz-cs w:val="22"/>
          <w:spacing w:val="10"/>
        </w:rPr>
        <w:t xml:space="preserve"> לפקודה. </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ראשד הורשע על פי הודאתו בקשירת קשר לגרימת חבלה חמורה - עבירה לפי </w:t>
      </w:r>
      <w:r>
        <w:rPr>
          <w:rFonts w:ascii="Times New Roman" w:hAnsi="Times New Roman" w:cs="Times New Roman"/>
          <w:sz w:val="22"/>
          <w:sz-cs w:val="22"/>
          <w:u w:val="single"/>
          <w:spacing w:val="10"/>
          <w:color w:val="0000FF"/>
        </w:rPr>
        <w:t xml:space="preserve"> HYPERLINK "http://www.nevo.co.il/law/70301/499.a.1." סעיף 499(א)(1)</w:t>
      </w:r>
      <w:r>
        <w:rPr>
          <w:rFonts w:ascii="Times New Roman" w:hAnsi="Times New Roman" w:cs="Times New Roman"/>
          <w:sz w:val="22"/>
          <w:sz-cs w:val="22"/>
          <w:spacing w:val="10"/>
        </w:rPr>
        <w:t xml:space="preserve"> לחוק; וסיוע לחבריו בגרימת חבלה בכוונה מחמירה - עבירה לפי </w:t>
      </w:r>
      <w:r>
        <w:rPr>
          <w:rFonts w:ascii="Times New Roman" w:hAnsi="Times New Roman" w:cs="Times New Roman"/>
          <w:sz w:val="22"/>
          <w:sz-cs w:val="22"/>
          <w:u w:val="single"/>
          <w:spacing w:val="10"/>
          <w:color w:val="0000FF"/>
        </w:rPr>
        <w:t xml:space="preserve"> HYPERLINK "http://www.nevo.co.il/law/70301/329.a.2." סעיף 329(א)(2)</w:t>
      </w:r>
      <w:r>
        <w:rPr>
          <w:rFonts w:ascii="Times New Roman" w:hAnsi="Times New Roman" w:cs="Times New Roman"/>
          <w:sz w:val="22"/>
          <w:sz-cs w:val="22"/>
          <w:spacing w:val="10"/>
        </w:rPr>
        <w:t xml:space="preserve"> יחד עם </w:t>
      </w:r>
      <w:r>
        <w:rPr>
          <w:rFonts w:ascii="Times New Roman" w:hAnsi="Times New Roman" w:cs="Times New Roman"/>
          <w:sz w:val="22"/>
          <w:sz-cs w:val="22"/>
          <w:u w:val="single"/>
          <w:spacing w:val="10"/>
          <w:color w:val="0000FF"/>
        </w:rPr>
        <w:t xml:space="preserve"> HYPERLINK "http://www.nevo.co.il/law/70301/31" סעיף 31</w:t>
      </w:r>
      <w:r>
        <w:rPr>
          <w:rFonts w:ascii="Times New Roman" w:hAnsi="Times New Roman" w:cs="Times New Roman"/>
          <w:sz w:val="22"/>
          <w:sz-cs w:val="22"/>
          <w:spacing w:val="10"/>
        </w:rPr>
        <w:t xml:space="preserve"> לחוק. </w:t>
      </w:r>
    </w:p>
    <w:p>
      <w:pPr>
        <w:jc w:val="both"/>
        <w:bidi/>
        <w:spacing w:before="120" w:after="120"/>
      </w:pPr>
      <w:r>
        <w:rPr>
          <w:rFonts w:ascii="Arial" w:hAnsi="Arial" w:cs="Arial"/>
          <w:sz w:val="24"/>
          <w:sz-cs w:val="24"/>
          <w:spacing w:val="10"/>
        </w:rPr>
        <w:t xml:space="preserve"/>
      </w:r>
    </w:p>
    <w:p>
      <w:pPr>
        <w:jc w:val="both"/>
        <w:bidi/>
        <w:spacing w:before="120" w:after="120"/>
      </w:pPr>
      <w:r>
        <w:rPr>
          <w:rFonts w:ascii="Arial" w:hAnsi="Arial" w:cs="Arial"/>
          <w:sz w:val="24"/>
          <w:sz-cs w:val="24"/>
          <w:spacing w:val="10"/>
        </w:rPr>
        <w:t xml:space="preserve">העובדות הצריכות לענייננו </w:t>
      </w:r>
    </w:p>
    <w:p>
      <w:pPr>
        <w:jc w:val="both"/>
        <w:bidi/>
      </w:pPr>
      <w:r>
        <w:rPr>
          <w:rFonts w:ascii="Times New Roman" w:hAnsi="Times New Roman" w:cs="Times New Roman"/>
          <w:sz w:val="22"/>
          <w:sz-cs w:val="22"/>
          <w:spacing w:val="10"/>
        </w:rPr>
        <w:t xml:space="preserve">מכתב האישום המתוקן עולה כי שלושת המערערים פעלו כקבוצה אחת. בינם לבין קבוצת צעירים יריבה, אשר מנתה חמישה חברים, התגלע סכסוך אלים. </w:t>
      </w:r>
    </w:p>
    <w:p>
      <w:pPr>
        <w:jc w:val="both"/>
        <w:bidi/>
        <w:ind w:first-line="720"/>
      </w:pPr>
      <w:r>
        <w:rPr>
          <w:rFonts w:ascii="Arial" w:hAnsi="Arial" w:cs="Arial"/>
          <w:sz w:val="24"/>
          <w:sz-cs w:val="24"/>
          <w:spacing w:val="10"/>
        </w:rPr>
        <w:t xml:space="preserve"/>
      </w:r>
    </w:p>
    <w:p>
      <w:pPr>
        <w:jc w:val="both"/>
        <w:bidi/>
        <w:ind w:first-line="720"/>
      </w:pPr>
      <w:r>
        <w:rPr>
          <w:rFonts w:ascii="Arial" w:hAnsi="Arial" w:cs="Arial"/>
          <w:sz w:val="24"/>
          <w:sz-cs w:val="24"/>
          <w:spacing w:val="10"/>
        </w:rPr>
        <w:t xml:space="preserve">על פי האישום הראשון</w:t>
      </w:r>
      <w:r>
        <w:rPr>
          <w:rFonts w:ascii="Times New Roman" w:hAnsi="Times New Roman" w:cs="Times New Roman"/>
          <w:sz w:val="22"/>
          <w:sz-cs w:val="22"/>
          <w:spacing w:val="10"/>
        </w:rPr>
        <w:t xml:space="preserve">, בחודש יוני 2010 קבעו שתי הקבוצות להיפגש בגן ציבורי. לקראת המפגש הצטיידו פרחאד וגיאורגי באקדחים שהחזיקו ללא רישיון. כאשר הבחינו השניים בבני הקבוצה היריבה – ירו לעברם מתוך כוונה לפגוע (ראשד נכח באירוע מבלי שירה בעצמו בנשק). הקבוצה היריבה נמלטה מהמקום. בגין מעשים אלו הורשעו שלושת הנאשמים בקשירת קשר לביצוע פשע, לפי </w:t>
      </w:r>
      <w:r>
        <w:rPr>
          <w:rFonts w:ascii="Times New Roman" w:hAnsi="Times New Roman" w:cs="Times New Roman"/>
          <w:sz w:val="22"/>
          <w:sz-cs w:val="22"/>
          <w:u w:val="single"/>
          <w:spacing w:val="10"/>
          <w:color w:val="0000FF"/>
        </w:rPr>
        <w:t xml:space="preserve"> HYPERLINK "http://www.nevo.co.il/law/70301/499.a.1." סעיף 499(א)(1)</w:t>
      </w:r>
      <w:r>
        <w:rPr>
          <w:rFonts w:ascii="Times New Roman" w:hAnsi="Times New Roman" w:cs="Times New Roman"/>
          <w:sz w:val="22"/>
          <w:sz-cs w:val="22"/>
          <w:spacing w:val="10"/>
        </w:rPr>
        <w:t xml:space="preserve"> לחוק. פרחאד וגיאורגי הורשעו בנוסף בהחזקת ונשיאת נשק שלא כדין - לפי </w:t>
      </w:r>
      <w:r>
        <w:rPr>
          <w:rFonts w:ascii="Times New Roman" w:hAnsi="Times New Roman" w:cs="Times New Roman"/>
          <w:sz w:val="22"/>
          <w:sz-cs w:val="22"/>
          <w:u w:val="single"/>
          <w:spacing w:val="10"/>
          <w:color w:val="0000FF"/>
        </w:rPr>
        <w:t xml:space="preserve"> HYPERLINK "http://www.nevo.co.il/law/70301/144.a." סעיף 144(א)</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"http://www.nevo.co.il/law/70301/144.b." -(ב)</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כמו גם בעבירה של חבלה בכוונה מחמירה - לפי </w:t>
      </w:r>
      <w:r>
        <w:rPr>
          <w:rFonts w:ascii="Times New Roman" w:hAnsi="Times New Roman" w:cs="Times New Roman"/>
          <w:sz w:val="22"/>
          <w:sz-cs w:val="22"/>
          <w:u w:val="single"/>
          <w:spacing w:val="10"/>
          <w:color w:val="0000FF"/>
        </w:rPr>
        <w:t xml:space="preserve"> HYPERLINK "http://www.nevo.co.il/law/70301/329.a.2." סעיף 329(א)(2)</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ראשד הורשע בנוסף בסיוע לחבריו לגרום חבלה בכוונה מחמירה - לפי </w:t>
      </w:r>
      <w:r>
        <w:rPr>
          <w:rFonts w:ascii="Times New Roman" w:hAnsi="Times New Roman" w:cs="Times New Roman"/>
          <w:sz w:val="22"/>
          <w:sz-cs w:val="22"/>
          <w:u w:val="single"/>
          <w:spacing w:val="10"/>
          <w:color w:val="0000FF"/>
        </w:rPr>
        <w:t xml:space="preserve"> HYPERLINK "http://www.nevo.co.il/law/70301/329.a.2." סעיף 329(א)(2)</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"http://www.nevo.co.il/law/70301/31" סעיף 31</w:t>
      </w:r>
      <w:r>
        <w:rPr>
          <w:rFonts w:ascii="Times New Roman" w:hAnsi="Times New Roman" w:cs="Times New Roman"/>
          <w:sz w:val="22"/>
          <w:sz-cs w:val="22"/>
          <w:spacing w:val="10"/>
        </w:rPr>
        <w:t xml:space="preserve"> לחוק.</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Arial" w:hAnsi="Arial" w:cs="Arial"/>
          <w:sz w:val="24"/>
          <w:sz-cs w:val="24"/>
          <w:spacing w:val="10"/>
        </w:rPr>
        <w:t xml:space="preserve">על פי האישום השני</w:t>
      </w:r>
      <w:r>
        <w:rPr>
          <w:rFonts w:ascii="Times New Roman" w:hAnsi="Times New Roman" w:cs="Times New Roman"/>
          <w:sz w:val="22"/>
          <w:sz-cs w:val="22"/>
          <w:spacing w:val="10"/>
        </w:rPr>
        <w:t xml:space="preserve">, הקבוצה היריבה נפגשה מספר פעמים עם פרחאד על מנת לרכוש ממנו קוקאין. באחד מן המפגשים היכה פרחאד את אחד מבני הקבוצה היריבה, תוך שהוא גורם לו לחבלות באזור העין והאף. פרחאד נמלט, ובני הקבוצה היריבה ירו בעקבותיו מספר יריות. בגין מעשים אלו הורשע פרחאד בסחר בסם מסוכן -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לפקודה, ובתקיפה הגורמת חבלה ממשית - לפי </w:t>
      </w:r>
      <w:r>
        <w:rPr>
          <w:rFonts w:ascii="Times New Roman" w:hAnsi="Times New Roman" w:cs="Times New Roman"/>
          <w:sz w:val="22"/>
          <w:sz-cs w:val="22"/>
          <w:u w:val="single"/>
          <w:spacing w:val="10"/>
          <w:color w:val="0000FF"/>
        </w:rPr>
        <w:t xml:space="preserve"> HYPERLINK "http://www.nevo.co.il/law/70301/380" סעיף 380</w:t>
      </w:r>
      <w:r>
        <w:rPr>
          <w:rFonts w:ascii="Times New Roman" w:hAnsi="Times New Roman" w:cs="Times New Roman"/>
          <w:sz w:val="22"/>
          <w:sz-cs w:val="22"/>
          <w:spacing w:val="10"/>
        </w:rPr>
        <w:t xml:space="preserve"> לחוק.</w:t>
      </w:r>
    </w:p>
    <w:p>
      <w:pPr>
        <w:jc w:val="both"/>
        <w:bidi/>
        <w:ind w:first-line="720"/>
      </w:pPr>
      <w:r>
        <w:rPr>
          <w:rFonts w:ascii="Arial" w:hAnsi="Arial" w:cs="Arial"/>
          <w:sz w:val="24"/>
          <w:sz-cs w:val="24"/>
          <w:spacing w:val="10"/>
        </w:rPr>
        <w:t xml:space="preserve"/>
      </w:r>
    </w:p>
    <w:p>
      <w:pPr>
        <w:jc w:val="both"/>
        <w:bidi/>
        <w:ind w:first-line="720"/>
      </w:pPr>
      <w:r>
        <w:rPr>
          <w:rFonts w:ascii="Arial" w:hAnsi="Arial" w:cs="Arial"/>
          <w:sz w:val="24"/>
          <w:sz-cs w:val="24"/>
          <w:spacing w:val="10"/>
        </w:rPr>
        <w:t xml:space="preserve">על פי האישום השלישי</w:t>
      </w:r>
      <w:r>
        <w:rPr>
          <w:rFonts w:ascii="Times New Roman" w:hAnsi="Times New Roman" w:cs="Times New Roman"/>
          <w:sz w:val="22"/>
          <w:sz-cs w:val="22"/>
          <w:spacing w:val="10"/>
        </w:rPr>
        <w:t xml:space="preserve">, פרחאד וגיאורגי היו מעורבים בשני מקרים של סחר בסמים, תוך שהם נושאים אקדח ללא רישיון כדין. בגין מעשים אלו הורשעו פרחאד וגיאורגי בסחר בסם מסוכן -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לפקודה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ובעבירה של החזקה ונשיאה של נשק - לפי </w:t>
      </w:r>
      <w:r>
        <w:rPr>
          <w:rFonts w:ascii="Times New Roman" w:hAnsi="Times New Roman" w:cs="Times New Roman"/>
          <w:sz w:val="22"/>
          <w:sz-cs w:val="22"/>
          <w:u w:val="single"/>
          <w:spacing w:val="10"/>
          <w:color w:val="0000FF"/>
        </w:rPr>
        <w:t xml:space="preserve"> HYPERLINK "http://www.nevo.co.il/law/70301/144.a." סעיף 144(א)</w:t>
      </w:r>
      <w:r>
        <w:rPr>
          <w:rFonts w:ascii="Times New Roman" w:hAnsi="Times New Roman" w:cs="Times New Roman"/>
          <w:sz w:val="22"/>
          <w:sz-cs w:val="22"/>
          <w:spacing w:val="10"/>
        </w:rPr>
        <w:t xml:space="preserve"> ו-(ב)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w:t>
      </w:r>
    </w:p>
    <w:p>
      <w:pPr>
        <w:jc w:val="both"/>
        <w:bidi/>
      </w:pPr>
      <w:r>
        <w:rPr>
          <w:rFonts w:ascii="Times New Roman" w:hAnsi="Times New Roman" w:cs="Times New Roman"/>
          <w:sz w:val="22"/>
          <w:sz-cs w:val="22"/>
          <w:spacing w:val="10"/>
        </w:rPr>
        <w:t xml:space="preserve"/>
      </w:r>
    </w:p>
    <w:p>
      <w:pPr>
        <w:jc w:val="both"/>
        <w:bidi/>
        <w:ind w:first-line="720"/>
      </w:pPr>
      <w:r>
        <w:rPr>
          <w:rFonts w:ascii="Arial" w:hAnsi="Arial" w:cs="Arial"/>
          <w:sz w:val="24"/>
          <w:sz-cs w:val="24"/>
          <w:spacing w:val="10"/>
        </w:rPr>
        <w:t xml:space="preserve">על פי האישום הרביעי</w:t>
      </w:r>
      <w:r>
        <w:rPr>
          <w:rFonts w:ascii="Times New Roman" w:hAnsi="Times New Roman" w:cs="Times New Roman"/>
          <w:sz w:val="22"/>
          <w:sz-cs w:val="22"/>
          <w:spacing w:val="10"/>
        </w:rPr>
        <w:t xml:space="preserve">, פרחאד איים בשני מקרים על ידידתו של אחד מבני הקבוצה היריבה. באחד מן המקרים גם סטר פרחאד לאותה ידידה וזרק לעברה בקבוק זכוכית. בגין כל אלו הורשע פרחאד בעבירת איומים - לפי </w:t>
      </w:r>
      <w:r>
        <w:rPr>
          <w:rFonts w:ascii="Times New Roman" w:hAnsi="Times New Roman" w:cs="Times New Roman"/>
          <w:sz w:val="22"/>
          <w:sz-cs w:val="22"/>
          <w:u w:val="single"/>
          <w:spacing w:val="10"/>
          <w:color w:val="0000FF"/>
        </w:rPr>
        <w:t xml:space="preserve"> HYPERLINK "http://www.nevo.co.il/law/70301/192" סעיף 192</w:t>
      </w:r>
      <w:r>
        <w:rPr>
          <w:rFonts w:ascii="Times New Roman" w:hAnsi="Times New Roman" w:cs="Times New Roman"/>
          <w:sz w:val="22"/>
          <w:sz-cs w:val="22"/>
          <w:spacing w:val="10"/>
        </w:rPr>
        <w:t xml:space="preserve"> ביחד עם </w:t>
      </w:r>
      <w:r>
        <w:rPr>
          <w:rFonts w:ascii="Times New Roman" w:hAnsi="Times New Roman" w:cs="Times New Roman"/>
          <w:sz w:val="22"/>
          <w:sz-cs w:val="22"/>
          <w:u w:val="single"/>
          <w:spacing w:val="10"/>
          <w:color w:val="0000FF"/>
        </w:rPr>
        <w:t xml:space="preserve"> HYPERLINK "http://www.nevo.co.il/law/70301/29" סעיף 29</w:t>
      </w:r>
      <w:r>
        <w:rPr>
          <w:rFonts w:ascii="Times New Roman" w:hAnsi="Times New Roman" w:cs="Times New Roman"/>
          <w:sz w:val="22"/>
          <w:sz-cs w:val="22"/>
          <w:spacing w:val="10"/>
        </w:rPr>
        <w:t xml:space="preserve"> לחוק, ובתקיפה סתם - לפי </w:t>
      </w:r>
      <w:r>
        <w:rPr>
          <w:rFonts w:ascii="Times New Roman" w:hAnsi="Times New Roman" w:cs="Times New Roman"/>
          <w:sz w:val="22"/>
          <w:sz-cs w:val="22"/>
          <w:u w:val="single"/>
          <w:spacing w:val="10"/>
          <w:color w:val="0000FF"/>
        </w:rPr>
        <w:t xml:space="preserve"> HYPERLINK "http://www.nevo.co.il/law/70301/379" סעיף 379</w:t>
      </w:r>
      <w:r>
        <w:rPr>
          <w:rFonts w:ascii="Times New Roman" w:hAnsi="Times New Roman" w:cs="Times New Roman"/>
          <w:sz w:val="22"/>
          <w:sz-cs w:val="22"/>
          <w:spacing w:val="10"/>
        </w:rPr>
        <w:t xml:space="preserve"> לחוק.</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להשלמת התמונה נציין כי חמשת בני הקבוצה היריבה הורשעו גם הם בשורה של עבירות אלימות ( HYPERLINK "http://www.nevo.co.il/psika_word/mechozi/ME-10-08-38672-186.doc" </w:t>
      </w:r>
      <w:r>
        <w:rPr>
          <w:rFonts w:ascii="Times New Roman" w:hAnsi="Times New Roman" w:cs="Times New Roman"/>
          <w:sz w:val="22"/>
          <w:sz-cs w:val="22"/>
          <w:u w:val="single"/>
          <w:spacing w:val="10"/>
          <w:color w:val="0000FF"/>
        </w:rPr>
        <w:t xml:space="preserve">תפ"ח (חיפה) 38672-08-10</w:t>
      </w:r>
      <w:r>
        <w:rPr>
          <w:rFonts w:ascii="Times New Roman" w:hAnsi="Times New Roman" w:cs="Times New Roman"/>
          <w:sz w:val="22"/>
          <w:sz-cs w:val="22"/>
          <w:spacing w:val="10"/>
        </w:rPr>
        <w:t xml:space="preserve"> </w:t>
      </w:r>
      <w:r>
        <w:rPr>
          <w:rFonts w:ascii="Arial" w:hAnsi="Arial" w:cs="Arial"/>
          <w:sz w:val="24"/>
          <w:sz-cs w:val="24"/>
          <w:spacing w:val="10"/>
        </w:rPr>
        <w:t xml:space="preserve">מדינת ישראל נ' סליבנוב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(11.4.2011)). על הנאשמים 1-3 נגזרו שבע שנות מאסר בפועל (כל אחד), על הנאשם 4 נגזרו שלוש שנות מאסר בפועל, ועל הנאשם 5 נגזרו שנתיים מאסר בפועל.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בגזר הדין של המערערים עמד בית המשפט המחוזי על החומרה הרבה הטמונה בעבירות נשק ואלימות, בהן הורשעו הנאשמים, וב"תת תרבות הסכין" (ראה </w:t>
      </w:r>
      <w:r>
        <w:rPr>
          <w:rFonts w:ascii="Times New Roman" w:hAnsi="Times New Roman" w:cs="Times New Roman"/>
          <w:sz w:val="22"/>
          <w:sz-cs w:val="22"/>
          <w:u w:val="single"/>
          <w:spacing w:val="10"/>
          <w:color w:val="0000FF"/>
        </w:rPr>
        <w:t xml:space="preserve">HYPERLINK "http://www.nevo.co.il/case/6030667"</w:t>
      </w:r>
      <w:r>
        <w:rPr>
          <w:rFonts w:ascii="Times New Roman" w:hAnsi="Times New Roman" w:cs="Times New Roman"/>
          <w:sz w:val="22"/>
          <w:sz-cs w:val="22"/>
          <w:u w:val="single"/>
          <w:spacing w:val="10"/>
          <w:color w:val="0000FF"/>
        </w:rPr>
        <w:t xml:space="preserve">ע"פ 5753/04</w:t>
      </w:r>
      <w:r>
        <w:rPr>
          <w:rFonts w:ascii="Times New Roman" w:hAnsi="Times New Roman" w:cs="Times New Roman"/>
          <w:sz w:val="22"/>
          <w:sz-cs w:val="22"/>
          <w:spacing w:val="10"/>
        </w:rPr>
        <w:t xml:space="preserve"> </w:t>
      </w:r>
      <w:r>
        <w:rPr>
          <w:rFonts w:ascii="Arial" w:hAnsi="Arial" w:cs="Arial"/>
          <w:sz w:val="24"/>
          <w:sz-cs w:val="24"/>
          <w:spacing w:val="10"/>
        </w:rPr>
        <w:t xml:space="preserve">מדינת ישראל נ' רייכמן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(7.2.2005)). בית המשפט ייחס חומרה יתירה לכך שהנאשמים ביצעו את מעשי הירי בלב העיר, תוך סיכון עוברי אורח והטלת אימה על התושבים. מעשי הנאשמים פתחו את סדרת מעשי האלימות בין הקבוצות היריבות, והגדילו את הסכנה הנשקפת לציבור. בית המשפט ציין גם, בקשר לעבירות הסמים, כי מדובר בנגע מסוכן שפגיעתו בחברה רבה (ראה </w:t>
      </w:r>
      <w:r>
        <w:rPr>
          <w:rFonts w:ascii="Times New Roman" w:hAnsi="Times New Roman" w:cs="Times New Roman"/>
          <w:sz w:val="22"/>
          <w:sz-cs w:val="22"/>
          <w:u w:val="single"/>
          <w:spacing w:val="10"/>
          <w:color w:val="0000FF"/>
        </w:rPr>
        <w:t xml:space="preserve">HYPERLINK "http://www.nevo.co.il/case/5849172"ע"פ 2649/00</w:t>
      </w:r>
      <w:r>
        <w:rPr>
          <w:rFonts w:ascii="Times New Roman" w:hAnsi="Times New Roman" w:cs="Times New Roman"/>
          <w:sz w:val="22"/>
          <w:sz-cs w:val="22"/>
          <w:spacing w:val="10"/>
        </w:rPr>
        <w:t xml:space="preserve"> </w:t>
      </w:r>
      <w:r>
        <w:rPr>
          <w:rFonts w:ascii="Arial" w:hAnsi="Arial" w:cs="Arial"/>
          <w:sz w:val="24"/>
          <w:sz-cs w:val="24"/>
          <w:spacing w:val="10"/>
        </w:rPr>
        <w:t xml:space="preserve">בועז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(16.8.2001)). נלקחו בחשבון נסיבותיהם האישיות של הנאשמים, אשר הגיעו לארץ בגיל צעיר וגדלו בלא יד מכוונת, וכן הודאתם בעבירות המיוחסות להם. בית המשפט סבר כי אין מקום להשוואה מדויקת בין עונשם של הנאשמים לבין העונשים שנגזרו על חברי הקבוצה היריבה. בית המשפט המחוזי עמד גם על השוני בין הנאשמים, כאשר פרחאד הוא בעל מסוכנות רבה יותר - אשר מתבטאת בכך ששב ותקף את בני הקבוצה היריבה, וכן במעשי אלימות קודמים בהם הורשע, בעוד שחלקו של ראשד במעשים הוא מצומצם יותר. בהתחשב בכל אלו הגיע בית המשפט לתוצאות שלעיל. מכאן הערעור שלפנינו.</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בלב שניים מבין שלושת הערעורים עומדת טענה זהה: על המורשעים הוטלו עונשים חמורים יותר, באופן יחסי, מן העונשים שהוטלו על חברי הקבוצה היריבה. הסכסוך עם הקבוצה היריבה מהווה פרשה אחת, ומעשיהם של כל הנאשמים – בני שתי הקבוצות – שלובים וכרוכים זה בזה. לפיכך חייב להישמר איזון ויחס מידתי בין העונשים שהוטלו על כל המעורבים. </w:t>
      </w:r>
      <w:r>
        <w:rPr>
          <w:rFonts w:ascii="Arial" w:hAnsi="Arial" w:cs="Arial"/>
          <w:sz w:val="24"/>
          <w:sz-cs w:val="24"/>
          <w:spacing w:val="10"/>
        </w:rPr>
        <w:t xml:space="preserve">גיאורגי </w:t>
      </w:r>
      <w:r>
        <w:rPr>
          <w:rFonts w:ascii="Times New Roman" w:hAnsi="Times New Roman" w:cs="Times New Roman"/>
          <w:sz w:val="22"/>
          <w:sz-cs w:val="22"/>
          <w:spacing w:val="10"/>
        </w:rPr>
        <w:t xml:space="preserve">טוען כי העונש שהוטל עליו – שש שנות מאסר בפועל – גבוה מן העונש שהוטל על "מקבילו" מן הקבוצה היריבה, הנאשם 4, אשר קיבל שלוש שנות מאסר בפועל "בלבד". </w:t>
      </w:r>
      <w:r>
        <w:rPr>
          <w:rFonts w:ascii="Arial" w:hAnsi="Arial" w:cs="Arial"/>
          <w:sz w:val="24"/>
          <w:sz-cs w:val="24"/>
          <w:spacing w:val="10"/>
        </w:rPr>
        <w:t xml:space="preserve">פרחאד </w:t>
      </w:r>
      <w:r>
        <w:rPr>
          <w:rFonts w:ascii="Times New Roman" w:hAnsi="Times New Roman" w:cs="Times New Roman"/>
          <w:sz w:val="22"/>
          <w:sz-cs w:val="22"/>
          <w:spacing w:val="10"/>
        </w:rPr>
        <w:t xml:space="preserve">טוען כי העונש שהוטל עליו – שבע שנות מאסר בפועל – זהה לעונש שהוטל על "מקביליו" מן הקבוצה היריבה, הנאשמים 1-3, ואין בכך מן הצדק: הן פרחאד והן הנאשמים 1-3 הורשעו באותן סעיפי עבירה, אך מספר האירועים בהם הורשעו הנאשמים 1-3 בעבירות החמורות גדול פי כמה מאלו שבהן הורשע פרחאד, ובנוסף גיליון ההרשעות של הנאשמים 1-3 ארוך וקשה יותר מגיליון ההרשעות של פרחאד. </w:t>
      </w:r>
      <w:r>
        <w:rPr>
          <w:rFonts w:ascii="Arial" w:hAnsi="Arial" w:cs="Arial"/>
          <w:sz w:val="24"/>
          <w:sz-cs w:val="24"/>
          <w:spacing w:val="10"/>
        </w:rPr>
        <w:t xml:space="preserve">ראשד</w:t>
      </w:r>
      <w:r>
        <w:rPr>
          <w:rFonts w:ascii="Times New Roman" w:hAnsi="Times New Roman" w:cs="Times New Roman"/>
          <w:sz w:val="22"/>
          <w:sz-cs w:val="22"/>
          <w:spacing w:val="10"/>
        </w:rPr>
        <w:t xml:space="preserve">, מצידו, טוען כי בית המשפט קמא לא נתן משקל ראוי לכך שהודאתו באה במסגרת הסדר טיעון, וכן לכך שעבירת הסיוע בה הורשע מצויה ברף התחתון ביותר שניתן לייחס למסייע. </w:t>
      </w:r>
    </w:p>
    <w:p>
      <w:pPr>
        <w:jc w:val="both"/>
        <w:bidi/>
      </w:pPr>
      <w:r>
        <w:rPr>
          <w:rFonts w:ascii="Times New Roman" w:hAnsi="Times New Roman" w:cs="Times New Roman"/>
          <w:sz w:val="22"/>
          <w:sz-cs w:val="22"/>
          <w:spacing w:val="10"/>
        </w:rPr>
        <w:t xml:space="preserve"/>
      </w:r>
    </w:p>
    <w:p>
      <w:pPr>
        <w:jc w:val="both"/>
        <w:bidi/>
        <w:spacing w:before="120" w:after="120"/>
      </w:pPr>
      <w:r>
        <w:rPr>
          <w:rFonts w:ascii="Arial" w:hAnsi="Arial" w:cs="Arial"/>
          <w:sz w:val="24"/>
          <w:sz-cs w:val="24"/>
          <w:spacing w:val="10"/>
        </w:rPr>
        <w:t xml:space="preserve">דיון והכרעה </w:t>
      </w:r>
    </w:p>
    <w:p>
      <w:pPr>
        <w:jc w:val="both"/>
        <w:bidi/>
      </w:pPr>
      <w:r>
        <w:rPr>
          <w:rFonts w:ascii="Times New Roman" w:hAnsi="Times New Roman" w:cs="Times New Roman"/>
          <w:sz w:val="22"/>
          <w:sz-cs w:val="22"/>
          <w:spacing w:val="10"/>
        </w:rPr>
        <w:t xml:space="preserve">לאחר ששקלנו את טענות הצדדים באנו לכלל מסקנה כי אין מקום להתערב בגזר דינו של בית המשפט קמא. תחילה תידון שאלת אחידות הענישה, ולאחר מכן השיקולים שהנחו את בית המשפט קמא בקביעת גזר הדין. </w:t>
      </w:r>
    </w:p>
    <w:p>
      <w:pPr>
        <w:jc w:val="both"/>
        <w:bidi/>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עקרון אחידות הענישה הוא בעל חשיבות רבה במשפטנו. הוא משקף את ערכי השוויון, ההגינות והצדק, ואף את האינטרס לשמור על אמון הציבור בהליך הפלילי ובמערכת המשפט. במהלך הדיון, הדגישו הסנגורים כי יש להחיל את עיקרון אחידות הענישה גם במקרה כזה בו ניתנו גזרי דין על ידי שני מותבים שונים. דעה זו מקובלת עלינו. המבחן הוא אם עסקינן בסיפור מעשה אחד. אין זה אומר, כמובן, שכל ה"שחקנים" בסיפור אמורים לקבל את אותו העונש – ודאי שלא. יש לבחון את נסיבות העושה והמעשה. ברם, נקודה חשובה היא היחס בין עונשם של המעורבים במקרה על פי חומרת השתתפותם היחסית. האירוע המשותף מגביר את הצורך לבנות ענישה ראויה, הן כלפי הנאשם המסוים והן בהתחשב ביחס בינו לבין משתתפים אחרים. ודוק, עקרון אחידות הענישה איננו כלל הכרעה סופי ומוחלט, מין "סרגל מכאני" שממנו אין לסטות (</w:t>
      </w:r>
      <w:r>
        <w:rPr>
          <w:rFonts w:ascii="Times New Roman" w:hAnsi="Times New Roman" w:cs="Times New Roman"/>
          <w:sz w:val="22"/>
          <w:sz-cs w:val="22"/>
          <w:u w:val="single"/>
          <w:spacing w:val="10"/>
          <w:color w:val="0000FF"/>
        </w:rPr>
        <w:t xml:space="preserve">HYPERLINK "http://www.nevo.co.il/case/17942910"ע"פ 493/88 וותד נ' מדינת ישראל, פ"ד מד</w:t>
      </w:r>
      <w:r>
        <w:rPr>
          <w:rFonts w:ascii="Times New Roman" w:hAnsi="Times New Roman" w:cs="Times New Roman"/>
          <w:sz w:val="22"/>
          <w:sz-cs w:val="22"/>
          <w:spacing w:val="10"/>
        </w:rPr>
        <w:t xml:space="preserve">(3) 133, 137 (1989)). אין לבצע פעולת "העתק-הדבק" מנאשם בתיק אחד לנאשם בתיק אחר רק בשם עיקרון אחידות הענישה. שומה על בית המשפט לשקול היטב את הנסיבות המיוחדות של כל נאשם ונאשם, על מנת לחתור לענישה ההולמת את העבירה על פי אמות המידה המקובלות במשפטנו. הסתייגות זו מפני אחידות נוּקשה ועיוורת הודגשה פעמים רבות בפסיקות שיצאו מלפני בית משפט זה (ראו </w:t>
      </w:r>
      <w:r>
        <w:rPr>
          <w:rFonts w:ascii="Times New Roman" w:hAnsi="Times New Roman" w:cs="Times New Roman"/>
          <w:sz w:val="22"/>
          <w:sz-cs w:val="22"/>
          <w:u w:val="single"/>
          <w:spacing w:val="10"/>
          <w:color w:val="0000FF"/>
        </w:rPr>
        <w:t xml:space="preserve">HYPERLINK "http://www.nevo.co.il/case/5820942"ע"פ 5640/97 רייך נ' מדינת ישראל, פ"ד נג</w:t>
      </w:r>
      <w:r>
        <w:rPr>
          <w:rFonts w:ascii="Times New Roman" w:hAnsi="Times New Roman" w:cs="Times New Roman"/>
          <w:sz w:val="22"/>
          <w:sz-cs w:val="22"/>
          <w:spacing w:val="10"/>
        </w:rPr>
        <w:t xml:space="preserve">(2) 433, 470 (1999); </w:t>
      </w:r>
      <w:r>
        <w:rPr>
          <w:rFonts w:ascii="Times New Roman" w:hAnsi="Times New Roman" w:cs="Times New Roman"/>
          <w:sz w:val="22"/>
          <w:sz-cs w:val="22"/>
          <w:u w:val="single"/>
          <w:spacing w:val="10"/>
          <w:color w:val="0000FF"/>
        </w:rPr>
        <w:t xml:space="preserve">HYPERLINK "http://www.nevo.co.il/case/5880417"רע"פ 3173/09</w:t>
      </w:r>
      <w:r>
        <w:rPr>
          <w:rFonts w:ascii="Times New Roman" w:hAnsi="Times New Roman" w:cs="Times New Roman"/>
          <w:sz w:val="22"/>
          <w:sz-cs w:val="22"/>
          <w:spacing w:val="10"/>
        </w:rPr>
        <w:t xml:space="preserve"> </w:t>
      </w:r>
      <w:r>
        <w:rPr>
          <w:rFonts w:ascii="Arial" w:hAnsi="Arial" w:cs="Arial"/>
          <w:sz w:val="24"/>
          <w:sz-cs w:val="24"/>
          <w:spacing w:val="10"/>
        </w:rPr>
        <w:t xml:space="preserve">פראגין נ' מדינת ישראל</w:t>
      </w:r>
      <w:r>
        <w:rPr>
          <w:rFonts w:ascii="Times New Roman" w:hAnsi="Times New Roman" w:cs="Times New Roman"/>
          <w:sz w:val="22"/>
          <w:sz-cs w:val="22"/>
          <w:spacing w:val="10"/>
        </w:rPr>
        <w:t xml:space="preserve">, פסקה 6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(5.5.2009)). השתתפותם של נאשמים שונים באותו סיפור מקרה מניחה את התשתית לתחולת עיקרון אחידות הענישה. אך יש לזכור שכפי שאפליה ללא הצדקה בתוצאת גזר הדין פוגעת בעיקרון אחידות הענישה, כך גם שוויון מלאכותי בין נאשמים. </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בענייננו, נראה כי אין מקום להתערב באופן שבו איזן בית המשפט קמא בין שיקולי הענישה. בית המשפט שת ליבו לעקרון אחידות הענישה, ולחשיבות הבסיסית שיש בשמירה על רמה אחידה של ענישה בעבירות דומות. בחינת העניין תוך עריכת השוואה בין שתי הקבוצות - וזו הטענה העיקרית בתיק זה - מובילה למסקנה הבאה: אף אם קיים פער מסוים בענישה בין הנאשמים בשתי הקבוצות, אשר פוגע במידת-מה באחידות הענישה, אין הוא בדרגה שמצדיקה התערבות על ידי בית משפט זה. יתירה מזאת, היה על בית המשפט המחוזי לתת את דעתו לתפקידו להילחם מלחמת חורמה נגד התופעה של "איש הישר בעיניו יעשה" ברחוב - יהא זה שימוש בסכין, יהא זה שימוש באקדח, יהא זה אזור שומם, יהא זה אזור מגורים. אין להשלים עם התנהגות שעלולה לפגוע בצד ג', רק מפני שהעז לצאת החוצה בשטח מקום מגוריו. הציבור איננו חייב להיות במעצר בית דה-פקטו. אין לאפשר לבריונים לשלוט ברשות הרבים כדי לסגור ביניהם סכסוכים חסרי ערך. </w:t>
      </w:r>
    </w:p>
    <w:p>
      <w:pPr>
        <w:jc w:val="both"/>
        <w:bidi/>
        <w:ind w:first-line="720"/>
      </w:pPr>
      <w:r>
        <w:rPr>
          <w:rFonts w:ascii="Times New Roman" w:hAnsi="Times New Roman" w:cs="Times New Roman"/>
          <w:sz w:val="22"/>
          <w:sz-cs w:val="22"/>
          <w:spacing w:val="10"/>
        </w:rPr>
        <w:t xml:space="preserve"/>
      </w:r>
    </w:p>
    <w:p>
      <w:pPr>
        <w:jc w:val="both"/>
        <w:bidi/>
        <w:ind w:first-line="720"/>
      </w:pPr>
      <w:r>
        <w:rPr>
          <w:rFonts w:ascii="Times New Roman" w:hAnsi="Times New Roman" w:cs="Times New Roman"/>
          <w:sz w:val="22"/>
          <w:sz-cs w:val="22"/>
          <w:spacing w:val="10"/>
        </w:rPr>
        <w:t xml:space="preserve">לקראת סיום יוער כי אין לקבל את טענתו של המערער השלישי, ראשד, כביכול עבירת הסיוע בה הורשע מצויה "ברף התחתון ביותר שניתן לייחס למסייע". המערער לא פירט מהו אותו "רף תחתון" של הסיוע, מדוע הוא חל בעניינו, ומדוע הדבר מצדיק הפחתה בעונשו. מסייע, כפי שנקבע </w:t>
      </w:r>
      <w:r>
        <w:rPr>
          <w:rFonts w:ascii="Times New Roman" w:hAnsi="Times New Roman" w:cs="Times New Roman"/>
          <w:sz w:val="22"/>
          <w:sz-cs w:val="22"/>
          <w:u w:val="single"/>
          <w:spacing w:val="10"/>
          <w:color w:val="0000FF"/>
        </w:rPr>
        <w:t xml:space="preserve"> HYPERLINK "http://www.nevo.co.il/law/70301/31" בסעיף 31</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איננו חלק מן המעגל הפנימי של מבצעי עבירה. הסיוע שהגיש מטבעו איננו עומד במרכז הבמה, והוא נמצא מחוץ למעגל הראשון של העשייה הפלילית (ראו עוד מרים גור-</w:t>
      </w:r>
      <w:r>
        <w:rPr>
          <w:rFonts w:ascii="Times New Roman" w:hAnsi="Times New Roman" w:cs="Times New Roman"/>
          <w:sz w:val="22"/>
          <w:sz-cs w:val="22"/>
          <w:u w:val="single"/>
          <w:spacing w:val="10"/>
          <w:color w:val="0000FF"/>
        </w:rPr>
        <w:t xml:space="preserve"> HYPERLINK "http://www.nevo.co.il/safrut/book/5505" אריה "הצעת חוק העונשין (חלק </w:t>
      </w:r>
      <w:r>
        <w:rPr>
          <w:rFonts w:ascii="Times New Roman" w:hAnsi="Times New Roman" w:cs="Times New Roman"/>
          <w:sz w:val="22"/>
          <w:sz-cs w:val="22"/>
          <w:spacing w:val="10"/>
          <w:color w:val="000000"/>
        </w:rPr>
        <w:t xml:space="preserve"> </w:t>
      </w:r>
      <w:r>
        <w:rPr>
          <w:rFonts w:ascii="Times New Roman" w:hAnsi="Times New Roman" w:cs="Times New Roman"/>
          <w:sz w:val="22"/>
          <w:sz-cs w:val="22"/>
          <w:spacing w:val="10"/>
        </w:rPr>
        <w:t xml:space="preserve"> מקדמי וחלק כללי), התשנ"ב-1992" </w:t>
      </w:r>
      <w:r>
        <w:rPr>
          <w:rFonts w:ascii="Arial" w:hAnsi="Arial" w:cs="Arial"/>
          <w:sz w:val="24"/>
          <w:sz-cs w:val="24"/>
          <w:spacing w:val="10"/>
        </w:rPr>
        <w:t xml:space="preserve">משפטים </w:t>
      </w:r>
      <w:r>
        <w:rPr>
          <w:rFonts w:ascii="Times New Roman" w:hAnsi="Times New Roman" w:cs="Times New Roman"/>
          <w:sz w:val="22"/>
          <w:sz-cs w:val="22"/>
          <w:spacing w:val="10"/>
        </w:rPr>
        <w:t xml:space="preserve">כד 41-49 (1994)). עדיין, בקביעת העונש יש לבחון, כמובן, לאיזו עבירה סייע הנאשם המסוים. בענייננו, בית המשפט קמא הסתמך על כך שראשד הודה כי נטל חלק, גם אם זוטר באופן יחסי, באירוע המתואר באישום הראשון. ראשד הודה כי סייע לפרחאד ולגיאורגי לירות לעבר חברי הקבוצה היריבה, פעולה שמשמעה קשירת קשר לביצוע פשע וסיוע לגרימת חבלה בכוונה מחמירה. על סמך הודאה זו, ובצירוף יתר נסיבות האירוע (כמתואר לעיל), קבע בית המשפט קמא את עונשו של ראשד, ואין מקום להתערב בכך. </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המסקנה היא שיש לדחות את שלושת הערעורים. </w:t>
      </w: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54678313-5195/11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ניתן היום, ‏ה' ניסן תשע"ב (28.3.2012).  </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11051950_Z02.doc   יק</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5195/11 </w:t>
        <w:tab/>
        <w:t xml:space="preserve"> גיאורגי קריניאן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5195/11 </w:t>
        <w:tab/>
        <w:t xml:space="preserve"> גיאורגי קריניאן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2014-12-28T15:49:00Z</dcterms:created>
  <dcterms:modified>2014-12-28T15:49:00Z</dcterms:modified>
</cp:coreProperties>
</file>

<file path=docProps/meta.xml><?xml version="1.0" encoding="utf-8"?>
<meta xmlns="http://schemas.apple.com/cocoa/2006/metadata">
  <generator>CocoaOOXMLWriter/2575.7</generator>
</meta>
</file>