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bidiVisual w:val="true"/>
        <w:tblW w:w="7857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857"/>
      </w:tblGrid>
      <w:tr>
        <w:trPr/>
        <w:tc>
          <w:tcPr>
            <w:tcW w:w="7857" w:type="dxa"/>
            <w:tcBorders/>
          </w:tcPr>
          <w:p>
            <w:pPr>
              <w:pStyle w:val="FileNumber1"/>
              <w:ind w:end="0"/>
              <w:jc w:val="center"/>
              <w:rPr>
                <w:sz w:val="28"/>
              </w:rPr>
            </w:pPr>
            <w:bookmarkStart w:id="0" w:name="Text1"/>
            <w:r>
              <w:rPr>
                <w:rtl w:val="true"/>
              </w:rPr>
              <w:t>בבית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המשפט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העליון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בשבתו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כבית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משפט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לערעורים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פליליים</w:t>
            </w:r>
            <w:bookmarkEnd w:id="0"/>
          </w:p>
        </w:tc>
      </w:tr>
    </w:tbl>
    <w:p>
      <w:pPr>
        <w:pStyle w:val="Normal"/>
        <w:ind w:end="0"/>
        <w:jc w:val="end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p>
      <w:pPr>
        <w:pStyle w:val="Normal"/>
        <w:ind w:end="0"/>
        <w:jc w:val="end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495"/>
      </w:tblGrid>
      <w:tr>
        <w:trPr>
          <w:trHeight w:val="342" w:hRule="atLeast"/>
        </w:trPr>
        <w:tc>
          <w:tcPr>
            <w:tcW w:w="8495" w:type="dxa"/>
            <w:tcBorders/>
          </w:tcPr>
          <w:p>
            <w:pPr>
              <w:pStyle w:val="FileNumber"/>
              <w:ind w:end="0"/>
              <w:jc w:val="end"/>
              <w:rPr>
                <w:sz w:val="28"/>
                <w:szCs w:val="28"/>
              </w:rPr>
            </w:pPr>
            <w:bookmarkStart w:id="1" w:name="casename_body"/>
            <w:r>
              <w:rPr>
                <w:sz w:val="28"/>
                <w:sz w:val="28"/>
                <w:szCs w:val="28"/>
                <w:rtl w:val="true"/>
              </w:rPr>
              <w:t>ע</w:t>
            </w:r>
            <w:r>
              <w:rPr>
                <w:sz w:val="28"/>
                <w:szCs w:val="28"/>
                <w:rtl w:val="true"/>
              </w:rPr>
              <w:t>"</w:t>
            </w:r>
            <w:r>
              <w:rPr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sz w:val="28"/>
                <w:szCs w:val="28"/>
              </w:rPr>
              <w:t>5203/10</w:t>
            </w:r>
            <w:r>
              <w:rPr>
                <w:sz w:val="28"/>
                <w:szCs w:val="28"/>
                <w:rtl w:val="true"/>
              </w:rPr>
              <w:t xml:space="preserve"> </w:t>
            </w:r>
            <w:bookmarkEnd w:id="1"/>
          </w:p>
        </w:tc>
      </w:tr>
    </w:tbl>
    <w:p>
      <w:pPr>
        <w:pStyle w:val="Normal"/>
        <w:ind w:end="0"/>
        <w:jc w:val="end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Miriam"/>
                <w:b/>
                <w:bCs/>
              </w:rPr>
            </w:pPr>
            <w:r>
              <w:rPr>
                <w:rtl w:val="true"/>
              </w:rPr>
              <w:t>בפני</w:t>
            </w:r>
            <w:r>
              <w:rPr>
                <w:rtl w:val="true"/>
              </w:rPr>
              <w:t>:</w:t>
              <w:tab/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א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לוי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רובינשטיין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rtl w:val="true"/>
              </w:rPr>
            </w:r>
            <w:bookmarkStart w:id="2" w:name="LastJudge"/>
            <w:bookmarkStart w:id="3" w:name="LastJudge"/>
            <w:bookmarkEnd w:id="3"/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חיות</w:t>
            </w:r>
          </w:p>
        </w:tc>
      </w:tr>
    </w:tbl>
    <w:p>
      <w:pPr>
        <w:pStyle w:val="Ruller31"/>
        <w:ind w:end="0"/>
        <w:jc w:val="start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4" w:name="FirstAppellant"/>
            <w:bookmarkEnd w:id="4"/>
            <w:r>
              <w:rPr>
                <w:rtl w:val="true"/>
              </w:rPr>
              <w:t>המערער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עבד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אל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פתח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ג</w:t>
            </w:r>
            <w:r>
              <w:rPr>
                <w:rtl w:val="true"/>
              </w:rPr>
              <w:t>'</w:t>
            </w:r>
            <w:r>
              <w:rPr>
                <w:rtl w:val="true"/>
              </w:rPr>
              <w:t>ברין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/>
            </w:pPr>
            <w:r>
              <w:rPr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נ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ג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ד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  <w:tab/>
        <w:tab/>
        <w:t xml:space="preserve">    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המשיבה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מדינת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ישראל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52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38"/>
      </w:tblGrid>
      <w:tr>
        <w:trPr/>
        <w:tc>
          <w:tcPr>
            <w:tcW w:w="5238" w:type="dxa"/>
            <w:tcBorders/>
          </w:tcPr>
          <w:p>
            <w:pPr>
              <w:pStyle w:val="BodyRuller1"/>
              <w:ind w:end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ערעור</w:t>
            </w:r>
            <w:r>
              <w:rPr>
                <w:rFonts w:cs="Times New Roman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על</w:t>
            </w:r>
            <w:r>
              <w:rPr>
                <w:rFonts w:cs="Times New Roman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גזר</w:t>
            </w:r>
            <w:r>
              <w:rPr>
                <w:rFonts w:cs="Times New Roman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דינו</w:t>
            </w:r>
            <w:r>
              <w:rPr>
                <w:rFonts w:cs="Times New Roman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של</w:t>
            </w:r>
            <w:r>
              <w:rPr>
                <w:rFonts w:cs="Times New Roman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בית</w:t>
            </w:r>
            <w:r>
              <w:rPr>
                <w:rFonts w:cs="Times New Roman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המשפט</w:t>
            </w:r>
            <w:r>
              <w:rPr>
                <w:rFonts w:cs="Times New Roman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המחוזי</w:t>
            </w:r>
            <w:r>
              <w:rPr>
                <w:rFonts w:cs="Times New Roman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בחיפה</w:t>
            </w:r>
            <w:r>
              <w:rPr>
                <w:b/>
                <w:bCs/>
                <w:sz w:val="24"/>
                <w:szCs w:val="24"/>
                <w:rtl w:val="true"/>
              </w:rPr>
              <w:t xml:space="preserve">,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מיום</w:t>
            </w:r>
            <w:r>
              <w:rPr>
                <w:rFonts w:cs="Times New Roman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23.5.10</w:t>
            </w:r>
            <w:r>
              <w:rPr>
                <w:b/>
                <w:bCs/>
                <w:sz w:val="24"/>
                <w:szCs w:val="24"/>
                <w:rtl w:val="true"/>
              </w:rPr>
              <w:t xml:space="preserve">,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ב</w:t>
            </w:r>
            <w:hyperlink r:id="rId2">
              <w:r>
                <w:rPr>
                  <w:rStyle w:val="Hyperlink"/>
                  <w:b/>
                  <w:b/>
                  <w:bCs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ת</w:t>
              </w:r>
              <w:r>
                <w:rPr>
                  <w:rStyle w:val="Hyperlink"/>
                  <w:b/>
                  <w:bCs/>
                  <w:color w:val="0000FF"/>
                  <w:sz w:val="24"/>
                  <w:szCs w:val="24"/>
                  <w:u w:val="single"/>
                  <w:rtl w:val="true"/>
                </w:rPr>
                <w:t>.</w:t>
              </w:r>
              <w:r>
                <w:rPr>
                  <w:rStyle w:val="Hyperlink"/>
                  <w:b/>
                  <w:b/>
                  <w:bCs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פ</w:t>
              </w:r>
              <w:r>
                <w:rPr>
                  <w:rStyle w:val="Hyperlink"/>
                  <w:b/>
                  <w:bCs/>
                  <w:color w:val="0000FF"/>
                  <w:sz w:val="24"/>
                  <w:szCs w:val="24"/>
                  <w:u w:val="single"/>
                  <w:rtl w:val="true"/>
                </w:rPr>
                <w:t xml:space="preserve">. </w:t>
              </w:r>
              <w:r>
                <w:rPr>
                  <w:rStyle w:val="Hyperlink"/>
                  <w:b/>
                  <w:bCs/>
                  <w:color w:val="0000FF"/>
                  <w:sz w:val="24"/>
                  <w:szCs w:val="24"/>
                  <w:u w:val="single"/>
                </w:rPr>
                <w:t>22509-09-09</w:t>
              </w:r>
            </w:hyperlink>
            <w:r>
              <w:rPr>
                <w:b/>
                <w:bCs/>
                <w:sz w:val="24"/>
                <w:szCs w:val="24"/>
                <w:rtl w:val="true"/>
              </w:rPr>
              <w:t xml:space="preserve">,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שניתן</w:t>
            </w:r>
            <w:r>
              <w:rPr>
                <w:rFonts w:cs="Times New Roman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על</w:t>
            </w:r>
            <w:r>
              <w:rPr>
                <w:rFonts w:cs="Times New Roman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ידי</w:t>
            </w:r>
            <w:r>
              <w:rPr>
                <w:rFonts w:cs="Times New Roman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השופטת</w:t>
            </w:r>
            <w:r>
              <w:rPr>
                <w:rFonts w:cs="Times New Roman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ת</w:t>
            </w:r>
            <w:r>
              <w:rPr>
                <w:b/>
                <w:bCs/>
                <w:sz w:val="24"/>
                <w:szCs w:val="24"/>
                <w:rtl w:val="true"/>
              </w:rPr>
              <w:t xml:space="preserve">'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שרון</w:t>
            </w:r>
            <w:r>
              <w:rPr>
                <w:rFonts w:cs="Times New Roman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נתנאל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8535" w:type="dxa"/>
        <w:jc w:val="start"/>
        <w:tblInd w:w="-4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2301"/>
        <w:gridCol w:w="2977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תאריך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הישיבה</w:t>
            </w:r>
            <w:r>
              <w:rPr>
                <w:sz w:val="24"/>
                <w:szCs w:val="24"/>
                <w:rtl w:val="true"/>
              </w:rPr>
              <w:t>:</w:t>
            </w:r>
          </w:p>
        </w:tc>
        <w:tc>
          <w:tcPr>
            <w:tcW w:w="2301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5" w:name="xDate"/>
            <w:r>
              <w:rPr>
                <w:sz w:val="24"/>
                <w:sz w:val="24"/>
                <w:szCs w:val="24"/>
                <w:rtl w:val="true"/>
              </w:rPr>
              <w:t>כ</w:t>
            </w:r>
            <w:r>
              <w:rPr>
                <w:sz w:val="24"/>
                <w:szCs w:val="24"/>
                <w:rtl w:val="true"/>
              </w:rPr>
              <w:t>"</w:t>
            </w:r>
            <w:r>
              <w:rPr>
                <w:sz w:val="24"/>
                <w:sz w:val="24"/>
                <w:szCs w:val="24"/>
                <w:rtl w:val="true"/>
              </w:rPr>
              <w:t>ט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בכסלו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התשע</w:t>
            </w:r>
            <w:r>
              <w:rPr>
                <w:sz w:val="24"/>
                <w:szCs w:val="24"/>
                <w:rtl w:val="true"/>
              </w:rPr>
              <w:t>"</w:t>
            </w:r>
            <w:r>
              <w:rPr>
                <w:sz w:val="24"/>
                <w:sz w:val="24"/>
                <w:szCs w:val="24"/>
                <w:rtl w:val="true"/>
              </w:rPr>
              <w:t>א</w:t>
            </w:r>
            <w:bookmarkEnd w:id="5"/>
            <w:r>
              <w:rPr>
                <w:rFonts w:cs="Times New Roman"/>
                <w:rtl w:val="true"/>
              </w:rPr>
              <w:t xml:space="preserve">      </w:t>
            </w:r>
            <w:r>
              <w:rPr>
                <w:rFonts w:cs="Times New Roman"/>
                <w:rtl w:val="true"/>
              </w:rPr>
              <w:t xml:space="preserve"> </w:t>
            </w:r>
          </w:p>
        </w:tc>
        <w:tc>
          <w:tcPr>
            <w:tcW w:w="297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bookmarkStart w:id="6" w:name="xGDate"/>
            <w:r>
              <w:rPr>
                <w:rtl w:val="true"/>
              </w:rPr>
              <w:t>(</w:t>
            </w:r>
            <w:r>
              <w:rPr/>
              <w:t>06.12.10</w:t>
            </w:r>
            <w:r>
              <w:rPr>
                <w:rtl w:val="true"/>
              </w:rPr>
              <w:t>)</w:t>
            </w:r>
            <w:bookmarkEnd w:id="6"/>
            <w:r>
              <w:rPr>
                <w:rtl w:val="true"/>
              </w:rPr>
              <w:t xml:space="preserve"> 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7" w:name="FirstLawyer"/>
            <w:bookmarkEnd w:id="7"/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המערער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אגברייה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בדר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אלדין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  <w:bookmarkStart w:id="8" w:name="LawTable"/>
      <w:bookmarkStart w:id="9" w:name="LawTable"/>
      <w:bookmarkEnd w:id="9"/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r>
        <w:rPr>
          <w:rFonts w:cs="FrankRuehl" w:ascii="FrankRuehl" w:hAnsi="FrankRuehl"/>
          <w:sz w:val="24"/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r>
        <w:rPr>
          <w:rFonts w:ascii="FrankRuehl" w:hAnsi="FrankRuehl" w:cs="FrankRuehl"/>
          <w:sz w:val="24"/>
          <w:sz w:val="24"/>
          <w:rtl w:val="true"/>
        </w:rPr>
        <w:t>חקיקה שאוזכרה</w:t>
      </w:r>
      <w:r>
        <w:rPr>
          <w:rFonts w:cs="FrankRuehl" w:ascii="FrankRuehl" w:hAnsi="FrankRuehl"/>
          <w:sz w:val="24"/>
          <w:rtl w:val="true"/>
        </w:rPr>
        <w:t xml:space="preserve">: </w:t>
      </w:r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hyperlink r:id="rId3"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חוק העונשין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תשל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ז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1977</w:t>
        </w:r>
      </w:hyperlink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r>
        <w:rPr>
          <w:rFonts w:cs="FrankRuehl" w:ascii="FrankRuehl" w:hAnsi="FrankRuehl"/>
          <w:sz w:val="24"/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>
          <w:rFonts w:ascii="FrankRuehl" w:hAnsi="FrankRuehl" w:cs="FrankRuehl"/>
          <w:sz w:val="24"/>
        </w:rPr>
      </w:pPr>
      <w:r>
        <w:rPr>
          <w:rFonts w:cs="FrankRuehl" w:ascii="FrankRuehl" w:hAnsi="FrankRuehl"/>
          <w:sz w:val="24"/>
          <w:rtl w:val="true"/>
        </w:rPr>
      </w:r>
      <w:bookmarkStart w:id="10" w:name="LawTable_End"/>
      <w:bookmarkStart w:id="11" w:name="LawTable_End"/>
      <w:bookmarkEnd w:id="11"/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2"/>
      </w:tblGrid>
      <w:tr>
        <w:trPr/>
        <w:tc>
          <w:tcPr>
            <w:tcW w:w="8522" w:type="dxa"/>
            <w:tcBorders/>
          </w:tcPr>
          <w:p>
            <w:pPr>
              <w:pStyle w:val="DocumentHead"/>
              <w:ind w:end="0"/>
              <w:jc w:val="center"/>
              <w:rPr/>
            </w:pPr>
            <w:bookmarkStart w:id="12" w:name="PsakDin"/>
            <w:bookmarkStart w:id="13" w:name="secretary"/>
            <w:bookmarkStart w:id="14" w:name="BeginProtocol"/>
            <w:bookmarkEnd w:id="12"/>
            <w:bookmarkEnd w:id="13"/>
            <w:bookmarkEnd w:id="14"/>
            <w:r>
              <w:rPr>
                <w:rtl w:val="true"/>
              </w:rPr>
              <w:t>פסק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דין</w:t>
            </w:r>
          </w:p>
          <w:p>
            <w:pPr>
              <w:pStyle w:val="DocumentHead"/>
              <w:ind w:end="0"/>
              <w:jc w:val="center"/>
              <w:rPr/>
            </w:pPr>
            <w:r>
              <w:rPr>
                <w:rtl w:val="true"/>
              </w:rPr>
            </w:r>
          </w:p>
        </w:tc>
      </w:tr>
    </w:tbl>
    <w:p>
      <w:pPr>
        <w:pStyle w:val="BODYVERDICT"/>
        <w:ind w:end="0"/>
        <w:jc w:val="start"/>
        <w:rPr>
          <w:rFonts w:cs="Miriam"/>
          <w:sz w:val="24"/>
          <w:szCs w:val="24"/>
          <w:u w:val="single"/>
        </w:rPr>
      </w:pPr>
      <w:bookmarkStart w:id="15" w:name="Writer_Name"/>
      <w:bookmarkEnd w:id="15"/>
      <w:r>
        <w:rPr>
          <w:rFonts w:cs="Miriam"/>
          <w:sz w:val="24"/>
          <w:sz w:val="24"/>
          <w:szCs w:val="24"/>
          <w:u w:val="single"/>
          <w:rtl w:val="true"/>
        </w:rPr>
        <w:t>השופט</w:t>
      </w:r>
      <w:r>
        <w:rPr>
          <w:rFonts w:cs="Times New Roman"/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Miriam"/>
          <w:sz w:val="24"/>
          <w:sz w:val="24"/>
          <w:szCs w:val="24"/>
          <w:u w:val="single"/>
          <w:rtl w:val="true"/>
        </w:rPr>
        <w:t>א</w:t>
      </w:r>
      <w:r>
        <w:rPr>
          <w:rFonts w:cs="Miriam"/>
          <w:sz w:val="24"/>
          <w:szCs w:val="24"/>
          <w:u w:val="single"/>
          <w:rtl w:val="true"/>
        </w:rPr>
        <w:t xml:space="preserve">' </w:t>
      </w:r>
      <w:r>
        <w:rPr>
          <w:rFonts w:cs="Miriam"/>
          <w:sz w:val="24"/>
          <w:sz w:val="24"/>
          <w:szCs w:val="24"/>
          <w:u w:val="single"/>
          <w:rtl w:val="true"/>
        </w:rPr>
        <w:t>א</w:t>
      </w:r>
      <w:r>
        <w:rPr>
          <w:rFonts w:cs="Miriam"/>
          <w:sz w:val="24"/>
          <w:szCs w:val="24"/>
          <w:u w:val="single"/>
          <w:rtl w:val="true"/>
        </w:rPr>
        <w:t xml:space="preserve">' </w:t>
      </w:r>
      <w:r>
        <w:rPr>
          <w:rFonts w:cs="Miriam"/>
          <w:sz w:val="24"/>
          <w:sz w:val="24"/>
          <w:szCs w:val="24"/>
          <w:u w:val="single"/>
          <w:rtl w:val="true"/>
        </w:rPr>
        <w:t>לוי</w:t>
      </w:r>
      <w:r>
        <w:rPr>
          <w:rFonts w:cs="Miriam"/>
          <w:sz w:val="24"/>
          <w:szCs w:val="24"/>
          <w:u w:val="single"/>
          <w:rtl w:val="true"/>
        </w:rPr>
        <w:t>:</w:t>
      </w:r>
    </w:p>
    <w:p>
      <w:pPr>
        <w:pStyle w:val="Ruller41"/>
        <w:ind w:end="0"/>
        <w:jc w:val="both"/>
        <w:rPr>
          <w:rFonts w:cs="Miriam"/>
          <w:sz w:val="24"/>
          <w:szCs w:val="24"/>
          <w:u w:val="single"/>
        </w:rPr>
      </w:pPr>
      <w:r>
        <w:rPr>
          <w:rFonts w:cs="Miriam"/>
          <w:sz w:val="24"/>
          <w:szCs w:val="24"/>
          <w:u w:val="single"/>
          <w:rtl w:val="true"/>
        </w:rPr>
      </w:r>
      <w:bookmarkStart w:id="16" w:name="Start_Write"/>
      <w:bookmarkStart w:id="17" w:name="Start_Write"/>
      <w:bookmarkEnd w:id="17"/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בתאריך</w:t>
      </w:r>
      <w:r>
        <w:rPr>
          <w:rFonts w:eastAsia="Arial TUR;Arial" w:cs="Arial TUR;Arial"/>
          <w:rtl w:val="true"/>
        </w:rPr>
        <w:t xml:space="preserve"> </w:t>
      </w:r>
      <w:r>
        <w:rPr/>
        <w:t>21.9.09</w:t>
      </w:r>
      <w:r>
        <w:rPr>
          <w:rtl w:val="true"/>
        </w:rPr>
        <w:t xml:space="preserve">, </w:t>
      </w:r>
      <w:r>
        <w:rPr>
          <w:rtl w:val="true"/>
        </w:rPr>
        <w:t>בשעת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צהריים</w:t>
      </w:r>
      <w:r>
        <w:rPr>
          <w:rtl w:val="true"/>
        </w:rPr>
        <w:t xml:space="preserve">, </w:t>
      </w:r>
      <w:r>
        <w:rPr>
          <w:rtl w:val="true"/>
        </w:rPr>
        <w:t>נמצא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מחזיק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כדין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באקדח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פראבלום</w:t>
      </w:r>
      <w:r>
        <w:rPr>
          <w:rFonts w:eastAsia="Arial TUR;Arial" w:cs="Arial TUR;Arial"/>
          <w:rtl w:val="true"/>
        </w:rPr>
        <w:t xml:space="preserve"> </w:t>
      </w:r>
      <w:r>
        <w:rPr/>
        <w:t>9</w:t>
      </w:r>
      <w:r>
        <w:rPr>
          <w:rtl w:val="true"/>
        </w:rPr>
        <w:t xml:space="preserve">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ומחסנית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בתוכו</w:t>
      </w:r>
      <w:r>
        <w:rPr>
          <w:rtl w:val="true"/>
        </w:rPr>
        <w:t xml:space="preserve">, </w:t>
      </w:r>
      <w:r>
        <w:rPr>
          <w:rtl w:val="true"/>
        </w:rPr>
        <w:t>אותם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נשא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עמו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שהתהלך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בסמוך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לצומת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עיון</w:t>
      </w:r>
      <w:r>
        <w:rPr>
          <w:rtl w:val="true"/>
        </w:rPr>
        <w:t xml:space="preserve">.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הודה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בעובדות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האמורות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בשלב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מתקדם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שמיעת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הראיות</w:t>
      </w:r>
      <w:r>
        <w:rPr>
          <w:rtl w:val="true"/>
        </w:rPr>
        <w:t xml:space="preserve">, </w:t>
      </w:r>
      <w:r>
        <w:rPr>
          <w:rtl w:val="true"/>
        </w:rPr>
        <w:t>ובית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הרשיעו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לפי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סעיף</w:t>
      </w:r>
      <w:r>
        <w:rPr>
          <w:rFonts w:eastAsia="Arial TUR;Arial" w:cs="Arial TUR;Arial"/>
          <w:rtl w:val="true"/>
        </w:rPr>
        <w:t xml:space="preserve"> </w:t>
      </w:r>
      <w:r>
        <w:rPr/>
        <w:t>144</w:t>
      </w:r>
      <w:r>
        <w:rPr>
          <w:rtl w:val="true"/>
        </w:rPr>
        <w:t>(</w:t>
      </w:r>
      <w:r>
        <w:rPr>
          <w:rtl w:val="true"/>
        </w:rPr>
        <w:t>א</w:t>
      </w:r>
      <w:r>
        <w:rPr>
          <w:rtl w:val="true"/>
        </w:rPr>
        <w:t>)</w:t>
      </w:r>
      <w:r>
        <w:rPr>
          <w:rtl w:val="true"/>
        </w:rPr>
        <w:t>ו</w:t>
      </w:r>
      <w:r>
        <w:rPr>
          <w:rtl w:val="true"/>
        </w:rPr>
        <w:t>-(</w:t>
      </w:r>
      <w:r>
        <w:rPr>
          <w:rtl w:val="true"/>
        </w:rPr>
        <w:t>ב</w:t>
      </w:r>
      <w:r>
        <w:rPr>
          <w:rtl w:val="true"/>
        </w:rPr>
        <w:t xml:space="preserve">) </w:t>
      </w:r>
      <w:r>
        <w:rPr>
          <w:rtl w:val="true"/>
        </w:rPr>
        <w:t>ל</w:t>
      </w:r>
      <w:hyperlink r:id="rId4">
        <w:r>
          <w:rPr>
            <w:rStyle w:val="Hyperlink"/>
            <w:color w:val="0000FF"/>
            <w:u w:val="single"/>
            <w:rtl w:val="true"/>
          </w:rPr>
          <w:t>חוק</w:t>
        </w:r>
        <w:r>
          <w:rPr>
            <w:rStyle w:val="Hyperlink"/>
            <w:rFonts w:eastAsia="Arial TUR;Arial" w:cs="Arial TUR;Arial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העונשין</w:t>
        </w:r>
      </w:hyperlink>
      <w:r>
        <w:rPr>
          <w:rtl w:val="true"/>
        </w:rPr>
        <w:t xml:space="preserve">. </w:t>
      </w:r>
      <w:r>
        <w:rPr>
          <w:rtl w:val="true"/>
        </w:rPr>
        <w:t>בהמשך</w:t>
      </w:r>
      <w:r>
        <w:rPr>
          <w:rtl w:val="true"/>
        </w:rPr>
        <w:t xml:space="preserve">, </w:t>
      </w:r>
      <w:r>
        <w:rPr>
          <w:rtl w:val="true"/>
        </w:rPr>
        <w:t>נדון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לתשעה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חודשי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ושניים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עשר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חודשים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tl w:val="true"/>
        </w:rPr>
        <w:t>-</w:t>
      </w:r>
      <w:r>
        <w:rPr>
          <w:rtl w:val="true"/>
        </w:rPr>
        <w:t>תנאי</w:t>
      </w:r>
      <w:r>
        <w:rPr>
          <w:rtl w:val="true"/>
        </w:rPr>
        <w:t xml:space="preserve">, </w:t>
      </w:r>
      <w:r>
        <w:rPr>
          <w:rtl w:val="true"/>
        </w:rPr>
        <w:t>ועל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עונש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משיג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בפנינו</w:t>
      </w:r>
      <w:r>
        <w:rPr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דין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הערעור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להדחות</w:t>
      </w:r>
      <w:r>
        <w:rPr>
          <w:rtl w:val="true"/>
        </w:rPr>
        <w:t xml:space="preserve">. </w:t>
      </w:r>
      <w:r>
        <w:rPr>
          <w:rtl w:val="true"/>
        </w:rPr>
        <w:t>אכן</w:t>
      </w:r>
      <w:r>
        <w:rPr>
          <w:rtl w:val="true"/>
        </w:rPr>
        <w:t xml:space="preserve">,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אדם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צעיר</w:t>
      </w:r>
      <w:r>
        <w:rPr>
          <w:rtl w:val="true"/>
        </w:rPr>
        <w:t xml:space="preserve">, </w:t>
      </w:r>
      <w:r>
        <w:rPr>
          <w:rtl w:val="true"/>
        </w:rPr>
        <w:t>ואנו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מוכנים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להניח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נסיבות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חייו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אינן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קלות</w:t>
      </w:r>
      <w:r>
        <w:rPr>
          <w:rtl w:val="true"/>
        </w:rPr>
        <w:t xml:space="preserve">. </w:t>
      </w:r>
      <w:r>
        <w:rPr>
          <w:rtl w:val="true"/>
        </w:rPr>
        <w:t>אולם</w:t>
      </w:r>
      <w:r>
        <w:rPr>
          <w:rtl w:val="true"/>
        </w:rPr>
        <w:t xml:space="preserve">, </w:t>
      </w:r>
      <w:r>
        <w:rPr>
          <w:rtl w:val="true"/>
        </w:rPr>
        <w:t>דווקא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רקע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תהינו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מדוע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נדרש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להחזיק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באקדח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ולשאתו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עמו</w:t>
      </w:r>
      <w:r>
        <w:rPr>
          <w:rtl w:val="true"/>
        </w:rPr>
        <w:t xml:space="preserve">. </w:t>
      </w:r>
      <w:r>
        <w:rPr>
          <w:rtl w:val="true"/>
        </w:rPr>
        <w:t>והרי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נמנה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חורשי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המזימות</w:t>
      </w:r>
      <w:r>
        <w:rPr>
          <w:rtl w:val="true"/>
        </w:rPr>
        <w:t xml:space="preserve">, </w:t>
      </w:r>
      <w:r>
        <w:rPr>
          <w:rtl w:val="true"/>
        </w:rPr>
        <w:t>ונוכח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עברו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הנקי</w:t>
      </w:r>
      <w:r>
        <w:rPr>
          <w:rtl w:val="true"/>
        </w:rPr>
        <w:t xml:space="preserve">, </w:t>
      </w:r>
      <w:r>
        <w:rPr>
          <w:rtl w:val="true"/>
        </w:rPr>
        <w:t>היה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יכול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לרכוש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נשק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כדין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ולבקש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מהרשות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המוסמכת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ליתן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רישיון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להחזיק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בו</w:t>
      </w:r>
      <w:r>
        <w:rPr>
          <w:rtl w:val="true"/>
        </w:rPr>
        <w:t xml:space="preserve">. </w:t>
      </w:r>
      <w:r>
        <w:rPr>
          <w:rtl w:val="true"/>
        </w:rPr>
        <w:t>העובדה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בחר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לנהוג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אחרת</w:t>
      </w:r>
      <w:r>
        <w:rPr>
          <w:rtl w:val="true"/>
        </w:rPr>
        <w:t xml:space="preserve">, </w:t>
      </w:r>
      <w:r>
        <w:rPr>
          <w:rtl w:val="true"/>
        </w:rPr>
        <w:t>מלמדת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יותר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מכל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הסבריו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לעניין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החזקת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הנשק</w:t>
      </w:r>
      <w:r>
        <w:rPr>
          <w:rtl w:val="true"/>
        </w:rPr>
        <w:t xml:space="preserve">, </w:t>
      </w:r>
      <w:r>
        <w:rPr>
          <w:rtl w:val="true"/>
        </w:rPr>
        <w:t>לאו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הסברים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הם</w:t>
      </w:r>
      <w:r>
        <w:rPr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בנסיבות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אלו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גלינו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בעונש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חומרה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כלשהי</w:t>
      </w:r>
      <w:r>
        <w:rPr>
          <w:rtl w:val="true"/>
        </w:rPr>
        <w:t xml:space="preserve">, </w:t>
      </w:r>
      <w:r>
        <w:rPr>
          <w:rtl w:val="true"/>
        </w:rPr>
        <w:t>ואף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סטייה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מרמת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הנוהגת</w:t>
      </w:r>
      <w:r>
        <w:rPr>
          <w:rtl w:val="true"/>
        </w:rPr>
        <w:t xml:space="preserve">. </w:t>
      </w:r>
      <w:r>
        <w:rPr>
          <w:rtl w:val="true"/>
        </w:rPr>
        <w:t>אדרבא</w:t>
      </w:r>
      <w:r>
        <w:rPr>
          <w:rtl w:val="true"/>
        </w:rPr>
        <w:t xml:space="preserve">, </w:t>
      </w:r>
      <w:r>
        <w:rPr>
          <w:rtl w:val="true"/>
        </w:rPr>
        <w:t>נוכח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הסכנה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הנשקפת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מכלי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הנשק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הרבים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המוחזקים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כדין</w:t>
      </w:r>
      <w:r>
        <w:rPr>
          <w:rtl w:val="true"/>
        </w:rPr>
        <w:t xml:space="preserve">, </w:t>
      </w:r>
      <w:r>
        <w:rPr>
          <w:rtl w:val="true"/>
        </w:rPr>
        <w:t>והעובדה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מחירה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תופעה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זו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שילמו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רבים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בחייהם</w:t>
      </w:r>
      <w:r>
        <w:rPr>
          <w:rtl w:val="true"/>
        </w:rPr>
        <w:t xml:space="preserve">, </w:t>
      </w:r>
      <w:r>
        <w:rPr>
          <w:rtl w:val="true"/>
        </w:rPr>
        <w:t>נראה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העונש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שנגזר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מתון</w:t>
      </w:r>
      <w:r>
        <w:rPr>
          <w:rtl w:val="true"/>
        </w:rPr>
        <w:t xml:space="preserve">, </w:t>
      </w:r>
      <w:r>
        <w:rPr>
          <w:rtl w:val="true"/>
        </w:rPr>
        <w:t>ומכאן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החלטתנו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לדחות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הערעור</w:t>
      </w:r>
      <w:r>
        <w:rPr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יתייצב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לשאת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בעונשו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במזכירות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בחיפה</w:t>
      </w:r>
      <w:r>
        <w:rPr>
          <w:rtl w:val="true"/>
        </w:rPr>
        <w:t xml:space="preserve">, </w:t>
      </w:r>
      <w:r>
        <w:rPr>
          <w:rtl w:val="true"/>
        </w:rPr>
        <w:t>ביום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</w:t>
      </w:r>
      <w:r>
        <w:rPr>
          <w:rtl w:val="true"/>
        </w:rPr>
        <w:t>"</w:t>
      </w:r>
      <w:r>
        <w:rPr>
          <w:rtl w:val="true"/>
        </w:rPr>
        <w:t>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בטבת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התשע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(</w:t>
      </w:r>
      <w:r>
        <w:rPr/>
        <w:t>19.12.2010</w:t>
      </w:r>
      <w:r>
        <w:rPr>
          <w:rtl w:val="true"/>
        </w:rPr>
        <w:t xml:space="preserve">), </w:t>
      </w:r>
      <w:r>
        <w:rPr>
          <w:rtl w:val="true"/>
        </w:rPr>
        <w:t>עד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לשעה</w:t>
      </w:r>
      <w:r>
        <w:rPr>
          <w:rFonts w:eastAsia="Arial TUR;Arial" w:cs="Arial TUR;Arial"/>
          <w:rtl w:val="true"/>
        </w:rPr>
        <w:t xml:space="preserve"> </w:t>
      </w:r>
      <w:r>
        <w:rPr/>
        <w:t>10:00</w:t>
      </w:r>
      <w:r>
        <w:rPr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ניתן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היום</w:t>
      </w:r>
      <w:r>
        <w:rPr>
          <w:rtl w:val="true"/>
        </w:rPr>
        <w:t xml:space="preserve">, </w:t>
      </w:r>
      <w:r>
        <w:rPr>
          <w:rtl w:val="true"/>
        </w:rPr>
        <w:t>כ</w:t>
      </w:r>
      <w:r>
        <w:rPr>
          <w:rtl w:val="true"/>
        </w:rPr>
        <w:t>"</w:t>
      </w:r>
      <w:r>
        <w:rPr>
          <w:rtl w:val="true"/>
        </w:rPr>
        <w:t>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בכסלו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התשע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(</w:t>
      </w:r>
      <w:r>
        <w:rPr/>
        <w:t>06.12.2010</w:t>
      </w:r>
      <w:r>
        <w:rPr>
          <w:rtl w:val="true"/>
        </w:rPr>
        <w:t xml:space="preserve">).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5129371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40"/>
        <w:gridCol w:w="2841"/>
        <w:gridCol w:w="2841"/>
      </w:tblGrid>
      <w:tr>
        <w:trPr/>
        <w:tc>
          <w:tcPr>
            <w:tcW w:w="2840" w:type="dxa"/>
            <w:tcBorders/>
          </w:tcPr>
          <w:p>
            <w:pPr>
              <w:pStyle w:val="Ruller41"/>
              <w:ind w:end="0"/>
              <w:jc w:val="both"/>
              <w:rPr/>
            </w:pPr>
            <w:r>
              <w:rPr>
                <w:color w:val="FFFFFF"/>
                <w:sz w:val="2"/>
                <w:szCs w:val="2"/>
              </w:rPr>
              <w:t>54678313</w:t>
            </w:r>
            <w:r>
              <w:rPr>
                <w:rtl w:val="true"/>
              </w:rPr>
              <w:t>ש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  <w:tc>
          <w:tcPr>
            <w:tcW w:w="2841" w:type="dxa"/>
            <w:tcBorders/>
          </w:tcPr>
          <w:p>
            <w:pPr>
              <w:pStyle w:val="Ruller41"/>
              <w:ind w:end="0"/>
              <w:jc w:val="center"/>
              <w:rPr/>
            </w:pPr>
            <w:r>
              <w:rPr>
                <w:rtl w:val="true"/>
              </w:rPr>
              <w:t>ש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  <w:tc>
          <w:tcPr>
            <w:tcW w:w="2841" w:type="dxa"/>
            <w:tcBorders/>
          </w:tcPr>
          <w:p>
            <w:pPr>
              <w:pStyle w:val="Ruller41"/>
              <w:ind w:end="0"/>
              <w:jc w:val="end"/>
              <w:rPr/>
            </w:pPr>
            <w:r>
              <w:rPr>
                <w:rtl w:val="true"/>
              </w:rPr>
              <w:t>ש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ת</w:t>
            </w:r>
          </w:p>
        </w:tc>
      </w:tr>
    </w:tbl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Normal"/>
        <w:ind w:end="0"/>
        <w:jc w:val="start"/>
        <w:rPr>
          <w:szCs w:val="16"/>
        </w:rPr>
      </w:pPr>
      <w:r>
        <w:rPr>
          <w:szCs w:val="16"/>
          <w:rtl w:val="true"/>
        </w:rPr>
        <w:t>_________________________</w:t>
      </w:r>
    </w:p>
    <w:p>
      <w:pPr>
        <w:pStyle w:val="Ruller381"/>
        <w:ind w:end="0"/>
        <w:jc w:val="start"/>
        <w:rPr/>
      </w:pPr>
      <w:r>
        <w:rPr>
          <w:rtl w:val="true"/>
        </w:rPr>
        <w:t>העותק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כפוף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לשינויי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עריכה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וניסוח</w:t>
      </w:r>
      <w:r>
        <w:rPr>
          <w:rtl w:val="true"/>
        </w:rPr>
        <w:t>.</w:t>
      </w:r>
      <w:r>
        <w:rPr>
          <w:sz w:val="16"/>
          <w:rtl w:val="true"/>
        </w:rPr>
        <w:t xml:space="preserve"> </w:t>
      </w:r>
      <w:r>
        <w:rPr>
          <w:sz w:val="16"/>
          <w:rtl w:val="true"/>
        </w:rPr>
        <w:t xml:space="preserve">  </w:t>
      </w:r>
      <w:bookmarkStart w:id="18" w:name="FileName"/>
      <w:r>
        <w:rPr>
          <w:sz w:val="16"/>
        </w:rPr>
        <w:t>10052030</w:t>
      </w:r>
      <w:r>
        <w:rPr>
          <w:sz w:val="16"/>
          <w:rtl w:val="true"/>
        </w:rPr>
        <w:t>_</w:t>
      </w:r>
      <w:r>
        <w:rPr>
          <w:sz w:val="16"/>
        </w:rPr>
        <w:t>O02.doc</w:t>
      </w:r>
      <w:r>
        <w:rPr>
          <w:sz w:val="16"/>
          <w:rtl w:val="true"/>
        </w:rPr>
        <w:t xml:space="preserve">   </w:t>
      </w:r>
      <w:bookmarkEnd w:id="18"/>
      <w:r>
        <w:rPr>
          <w:sz w:val="16"/>
          <w:sz w:val="16"/>
          <w:rtl w:val="true"/>
        </w:rPr>
        <w:t>אז</w:t>
      </w:r>
    </w:p>
    <w:p>
      <w:pPr>
        <w:pStyle w:val="Ruller381"/>
        <w:ind w:end="0"/>
        <w:jc w:val="start"/>
        <w:rPr/>
      </w:pPr>
      <w:r>
        <w:rPr>
          <w:rtl w:val="true"/>
        </w:rPr>
        <w:t>מרכז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מידע</w:t>
      </w:r>
      <w:r>
        <w:rPr>
          <w:rtl w:val="true"/>
        </w:rPr>
        <w:t xml:space="preserve">, </w:t>
      </w:r>
      <w:r>
        <w:rPr>
          <w:rtl w:val="true"/>
        </w:rPr>
        <w:t>טל</w:t>
      </w:r>
      <w:r>
        <w:rPr>
          <w:rtl w:val="true"/>
        </w:rPr>
        <w:t xml:space="preserve">' </w:t>
      </w:r>
      <w:r>
        <w:rPr/>
        <w:t>02-6593333</w:t>
      </w:r>
      <w:r>
        <w:rPr>
          <w:rtl w:val="true"/>
        </w:rPr>
        <w:t xml:space="preserve"> ; </w:t>
      </w:r>
      <w:r>
        <w:rPr>
          <w:rtl w:val="true"/>
        </w:rPr>
        <w:t>אתר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אינטרנט</w:t>
      </w:r>
      <w:r>
        <w:rPr>
          <w:rtl w:val="true"/>
        </w:rPr>
        <w:t xml:space="preserve">,  </w:t>
      </w:r>
      <w:hyperlink r:id="rId5">
        <w:r>
          <w:rPr>
            <w:rStyle w:val="Hyperlink"/>
            <w:sz w:val="16"/>
          </w:rPr>
          <w:t>www.court.gov.il</w:t>
        </w:r>
      </w:hyperlink>
    </w:p>
    <w:p>
      <w:pPr>
        <w:pStyle w:val="Ruller381"/>
        <w:keepNext w:val="true"/>
        <w:ind w:end="0"/>
        <w:jc w:val="start"/>
        <w:rPr>
          <w:rFonts w:ascii="David" w:hAnsi="David" w:cs="David"/>
          <w:color w:val="000000"/>
          <w:szCs w:val="22"/>
        </w:rPr>
      </w:pPr>
      <w:r>
        <w:rPr>
          <w:rFonts w:cs="David" w:ascii="David" w:hAnsi="David"/>
          <w:color w:val="000000"/>
          <w:szCs w:val="22"/>
          <w:rtl w:val="true"/>
        </w:rPr>
      </w:r>
    </w:p>
    <w:p>
      <w:pPr>
        <w:pStyle w:val="Ruller381"/>
        <w:keepNext w:val="true"/>
        <w:ind w:end="0"/>
        <w:jc w:val="start"/>
        <w:rPr>
          <w:rFonts w:ascii="David" w:hAnsi="David" w:cs="David"/>
          <w:color w:val="000000"/>
          <w:szCs w:val="22"/>
        </w:rPr>
      </w:pPr>
      <w:r>
        <w:rPr>
          <w:rFonts w:ascii="David" w:hAnsi="David"/>
          <w:color w:val="000000"/>
          <w:szCs w:val="22"/>
          <w:rtl w:val="true"/>
        </w:rPr>
        <w:t>א</w:t>
      </w:r>
      <w:r>
        <w:rPr>
          <w:rFonts w:cs="David" w:ascii="David" w:hAnsi="David"/>
          <w:color w:val="000000"/>
          <w:szCs w:val="22"/>
          <w:rtl w:val="true"/>
        </w:rPr>
        <w:t xml:space="preserve">' </w:t>
      </w:r>
      <w:r>
        <w:rPr>
          <w:rFonts w:ascii="David" w:hAnsi="David"/>
          <w:color w:val="000000"/>
          <w:szCs w:val="22"/>
          <w:rtl w:val="true"/>
        </w:rPr>
        <w:t>א</w:t>
      </w:r>
      <w:r>
        <w:rPr>
          <w:rFonts w:cs="David" w:ascii="David" w:hAnsi="David"/>
          <w:color w:val="000000"/>
          <w:szCs w:val="22"/>
          <w:rtl w:val="true"/>
        </w:rPr>
        <w:t xml:space="preserve">' </w:t>
      </w:r>
      <w:r>
        <w:rPr>
          <w:rFonts w:ascii="David" w:hAnsi="David"/>
          <w:color w:val="000000"/>
          <w:szCs w:val="22"/>
          <w:rtl w:val="true"/>
        </w:rPr>
        <w:t xml:space="preserve">לוי </w:t>
      </w:r>
      <w:r>
        <w:rPr>
          <w:rFonts w:cs="David" w:ascii="David" w:hAnsi="David"/>
          <w:color w:val="000000"/>
          <w:szCs w:val="22"/>
        </w:rPr>
        <w:t>54678313-5203/10</w:t>
      </w:r>
    </w:p>
    <w:p>
      <w:pPr>
        <w:pStyle w:val="Ruller381"/>
        <w:ind w:end="0"/>
        <w:jc w:val="start"/>
        <w:rPr/>
      </w:pPr>
      <w:r>
        <w:rPr>
          <w:color w:val="000000"/>
          <w:rtl w:val="true"/>
        </w:rPr>
        <w:t>נוסח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מסמך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זה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כפוף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לשינויי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ניסוח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ועריכה</w:t>
      </w:r>
    </w:p>
    <w:p>
      <w:pPr>
        <w:pStyle w:val="Ruller381"/>
        <w:ind w:end="0"/>
        <w:jc w:val="start"/>
        <w:rPr/>
      </w:pPr>
      <w:r>
        <w:rPr>
          <w:rtl w:val="true"/>
        </w:rPr>
      </w:r>
    </w:p>
    <w:p>
      <w:pPr>
        <w:pStyle w:val="Ruller381"/>
        <w:ind w:end="0"/>
        <w:jc w:val="center"/>
        <w:rPr>
          <w:color w:val="0000FF"/>
          <w:szCs w:val="24"/>
          <w:u w:val="single"/>
        </w:rPr>
      </w:pPr>
      <w:hyperlink r:id="rId6">
        <w:r>
          <w:rPr>
            <w:rStyle w:val="Hyperlink"/>
            <w:color w:val="0000FF"/>
            <w:szCs w:val="24"/>
            <w:u w:val="single"/>
            <w:rtl w:val="true"/>
          </w:rPr>
          <w:t>בעניין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עריכה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ושינויים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במסמכי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פסיקה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, </w:t>
        </w:r>
        <w:r>
          <w:rPr>
            <w:rStyle w:val="Hyperlink"/>
            <w:color w:val="0000FF"/>
            <w:szCs w:val="24"/>
            <w:u w:val="single"/>
            <w:rtl w:val="true"/>
          </w:rPr>
          <w:t>חקיקה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ועוד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באתר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נבו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–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הקש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כאן</w:t>
        </w:r>
      </w:hyperlink>
    </w:p>
    <w:p>
      <w:pPr>
        <w:pStyle w:val="Ruller381"/>
        <w:ind w:end="0"/>
        <w:jc w:val="center"/>
        <w:rPr>
          <w:color w:val="0000FF"/>
          <w:szCs w:val="24"/>
          <w:u w:val="single"/>
        </w:rPr>
      </w:pPr>
      <w:r>
        <w:rPr>
          <w:color w:val="0000FF"/>
          <w:szCs w:val="24"/>
          <w:u w:val="single"/>
          <w:rtl w:val="true"/>
        </w:rPr>
      </w:r>
    </w:p>
    <w:sectPr>
      <w:headerReference w:type="default" r:id="rId7"/>
      <w:footerReference w:type="default" r:id="rId8"/>
      <w:type w:val="nextPage"/>
      <w:pgSz w:w="11906" w:h="16838"/>
      <w:pgMar w:left="1800" w:right="1800" w:gutter="0" w:header="708" w:top="1701" w:footer="708" w:bottom="1440"/>
      <w:pgNumType w:start="1"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 TUR">
    <w:altName w:val="Arial"/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FrankRuehl">
    <w:charset w:val="b1" w:characterSet="windows-1255"/>
    <w:family w:val="swiss"/>
    <w:pitch w:val="variable"/>
  </w:font>
  <w:font w:name="David">
    <w:charset w:val="b1" w:characterSet="windows-1255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  <w:sz w:val="24"/>
      </w:rPr>
    </w:pPr>
    <w:r>
      <w:rPr>
        <w:rFonts w:cs="FrankRuehl" w:ascii="FrankRuehl" w:hAnsi="FrankRuehl"/>
        <w:sz w:val="24"/>
        <w:rtl w:val="true"/>
      </w:rPr>
      <w:fldChar w:fldCharType="begin"/>
    </w:r>
    <w:r>
      <w:rPr>
        <w:rtl w:val="true"/>
        <w:sz w:val="24"/>
        <w:rFonts w:cs="FrankRuehl" w:ascii="FrankRuehl" w:hAnsi="FrankRuehl"/>
      </w:rPr>
      <w:instrText xml:space="preserve"> PAGE </w:instrText>
    </w:r>
    <w:r>
      <w:rPr>
        <w:rtl w:val="true"/>
        <w:sz w:val="24"/>
        <w:rFonts w:cs="FrankRuehl" w:ascii="FrankRuehl" w:hAnsi="FrankRuehl"/>
      </w:rPr>
      <w:fldChar w:fldCharType="separate"/>
    </w:r>
    <w:r>
      <w:rPr>
        <w:rtl w:val="true"/>
        <w:sz w:val="24"/>
        <w:rFonts w:cs="FrankRuehl" w:ascii="FrankRuehl" w:hAnsi="FrankRuehl"/>
      </w:rPr>
      <w:t>2</w:t>
    </w:r>
    <w:r>
      <w:rPr>
        <w:rtl w:val="true"/>
        <w:sz w:val="24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  <w:sz w:val="24"/>
      </w:rPr>
    </w:pPr>
    <w:r>
      <w:rPr>
        <w:rFonts w:cs="FrankRuehl" w:ascii="FrankRuehl" w:hAnsi="FrankRuehl"/>
        <w:color w:val="000000"/>
        <w:sz w:val="24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4153"/>
        <w:tab w:val="clear" w:pos="8306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/>
        <w:color w:val="000000"/>
        <w:sz w:val="22"/>
        <w:sz w:val="22"/>
        <w:szCs w:val="22"/>
        <w:rtl w:val="true"/>
      </w:rPr>
      <w:t xml:space="preserve">עפ </w:t>
    </w:r>
    <w:r>
      <w:rPr>
        <w:rFonts w:cs="David" w:ascii="David" w:hAnsi="David"/>
        <w:color w:val="000000"/>
        <w:sz w:val="22"/>
        <w:szCs w:val="22"/>
      </w:rPr>
      <w:t>5203/10</w:t>
    </w:r>
    <w:r>
      <w:rPr>
        <w:rFonts w:cs="David" w:ascii="David" w:hAnsi="David"/>
        <w:color w:val="000000"/>
        <w:sz w:val="22"/>
        <w:szCs w:val="22"/>
        <w:rtl w:val="true"/>
      </w:rPr>
      <w:t xml:space="preserve"> </w:t>
      <w:tab/>
      <w:t xml:space="preserve"> </w:t>
    </w:r>
    <w:r>
      <w:rPr>
        <w:rFonts w:ascii="David" w:hAnsi="David"/>
        <w:color w:val="000000"/>
        <w:sz w:val="22"/>
        <w:sz w:val="22"/>
        <w:szCs w:val="22"/>
        <w:rtl w:val="true"/>
      </w:rPr>
      <w:t>עבד אל פתח ג</w:t>
    </w:r>
    <w:r>
      <w:rPr>
        <w:rFonts w:cs="David" w:ascii="David" w:hAnsi="David"/>
        <w:color w:val="000000"/>
        <w:sz w:val="22"/>
        <w:szCs w:val="22"/>
        <w:rtl w:val="true"/>
      </w:rPr>
      <w:t>'</w:t>
    </w:r>
    <w:r>
      <w:rPr>
        <w:rFonts w:ascii="David" w:hAnsi="David"/>
        <w:color w:val="000000"/>
        <w:sz w:val="22"/>
        <w:sz w:val="22"/>
        <w:szCs w:val="22"/>
        <w:rtl w:val="true"/>
      </w:rPr>
      <w:t>ברין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/>
        <w:color w:val="000000"/>
        <w:sz w:val="22"/>
        <w:sz w:val="22"/>
        <w:szCs w:val="22"/>
        <w:rtl w:val="true"/>
      </w:rPr>
      <w:t>מדינת ישראל</w:t>
    </w:r>
  </w:p>
</w:hdr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doNotExpandShiftReturn/>
    <w:doNotBreakWrappedTables/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1"/>
      <w:ind w:hanging="0" w:start="0" w:end="0"/>
      <w:jc w:val="start"/>
    </w:pPr>
    <w:rPr>
      <w:rFonts w:ascii="Times New Roman" w:hAnsi="Times New Roman" w:eastAsia="Times New Roman" w:cs="David"/>
      <w:color w:val="auto"/>
      <w:sz w:val="20"/>
      <w:szCs w:val="24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Ruller4">
    <w:name w:val="Ruller4 תו"/>
    <w:basedOn w:val="DefaultParagraphFont"/>
    <w:qFormat/>
    <w:rPr>
      <w:rFonts w:ascii="Arial TUR;Arial" w:hAnsi="Arial TUR;Arial" w:cs="FrankRuehl"/>
      <w:spacing w:val="10"/>
      <w:sz w:val="22"/>
      <w:szCs w:val="28"/>
      <w:lang w:val="en-US" w:bidi="he-IL"/>
    </w:rPr>
  </w:style>
  <w:style w:type="character" w:styleId="Delete">
    <w:name w:val="Delete"/>
    <w:basedOn w:val="DefaultParagraphFont"/>
    <w:qFormat/>
    <w:rPr>
      <w:strike/>
    </w:rPr>
  </w:style>
  <w:style w:type="character" w:styleId="Hand">
    <w:name w:val="Hand"/>
    <w:basedOn w:val="DefaultParagraphFont"/>
    <w:qFormat/>
    <w:rPr>
      <w:rFonts w:cs="Guttman Yad"/>
    </w:rPr>
  </w:style>
  <w:style w:type="character" w:styleId="Ruller3">
    <w:name w:val="Ruller 3 תו"/>
    <w:basedOn w:val="DefaultParagraphFont"/>
    <w:qFormat/>
    <w:rPr>
      <w:rFonts w:cs="FrankRuehl"/>
      <w:sz w:val="22"/>
      <w:szCs w:val="28"/>
      <w:lang w:val="en-US" w:bidi="he-IL"/>
    </w:rPr>
  </w:style>
  <w:style w:type="character" w:styleId="BodyRuller">
    <w:name w:val="Body Ruller תו"/>
    <w:basedOn w:val="Ruller3"/>
    <w:qFormat/>
    <w:rPr>
      <w:rFonts w:cs="David"/>
    </w:rPr>
  </w:style>
  <w:style w:type="character" w:styleId="Ruller38">
    <w:name w:val="סגנון Ruller 3 + (מורכב) ‏8 נק תו"/>
    <w:basedOn w:val="BodyRuller"/>
    <w:qFormat/>
    <w:rPr>
      <w:szCs w:val="16"/>
    </w:rPr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Ruller31">
    <w:name w:val="Ruller 3"/>
    <w:basedOn w:val="Normal"/>
    <w:qFormat/>
    <w:pPr>
      <w:tabs>
        <w:tab w:val="clear" w:pos="720"/>
        <w:tab w:val="left" w:pos="3210" w:leader="none"/>
        <w:tab w:val="left" w:pos="6753" w:leader="none"/>
      </w:tabs>
      <w:spacing w:lineRule="auto" w:line="360"/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Pskdinhead">
    <w:name w:val="Pskdin head"/>
    <w:basedOn w:val="Normal"/>
    <w:qFormat/>
    <w:pPr>
      <w:spacing w:lineRule="auto" w:line="360"/>
      <w:ind w:hanging="0" w:start="0" w:end="0"/>
      <w:jc w:val="start"/>
    </w:pPr>
    <w:rPr>
      <w:b/>
      <w:bCs/>
      <w:u w:val="single"/>
    </w:rPr>
  </w:style>
  <w:style w:type="paragraph" w:styleId="FileNumber">
    <w:name w:val="File Number"/>
    <w:basedOn w:val="Normal"/>
    <w:qFormat/>
    <w:pPr>
      <w:spacing w:lineRule="auto" w:line="360"/>
      <w:ind w:hanging="0" w:start="0" w:end="0"/>
      <w:jc w:val="end"/>
    </w:pPr>
    <w:rPr>
      <w:bCs/>
    </w:rPr>
  </w:style>
  <w:style w:type="paragraph" w:styleId="FirstpagestylePsakdin">
    <w:name w:val="First page style Psak din"/>
    <w:basedOn w:val="Ruller31"/>
    <w:qFormat/>
    <w:pPr>
      <w:tabs>
        <w:tab w:val="clear" w:pos="3210"/>
        <w:tab w:val="left" w:pos="3209" w:leader="none"/>
        <w:tab w:val="left" w:pos="6753" w:leader="none"/>
      </w:tabs>
      <w:ind w:hanging="0" w:start="0" w:end="0"/>
      <w:jc w:val="start"/>
    </w:pPr>
    <w:rPr>
      <w:bCs/>
    </w:rPr>
  </w:style>
  <w:style w:type="paragraph" w:styleId="TyutaDate">
    <w:name w:val="Tyuta Date"/>
    <w:basedOn w:val="Normal"/>
    <w:qFormat/>
    <w:pPr>
      <w:ind w:hanging="0" w:start="0" w:end="0"/>
      <w:jc w:val="center"/>
    </w:pPr>
    <w:rPr>
      <w:b/>
      <w:bCs/>
      <w:i/>
      <w:iCs/>
      <w:sz w:val="28"/>
      <w:szCs w:val="28"/>
    </w:rPr>
  </w:style>
  <w:style w:type="paragraph" w:styleId="DocumentHead">
    <w:name w:val="Document Head"/>
    <w:basedOn w:val="Normal"/>
    <w:qFormat/>
    <w:pPr>
      <w:spacing w:lineRule="auto" w:line="360"/>
      <w:ind w:hanging="0" w:start="0" w:end="0"/>
      <w:jc w:val="center"/>
    </w:pPr>
    <w:rPr>
      <w:bCs/>
      <w:spacing w:val="30"/>
      <w:szCs w:val="28"/>
      <w:u w:val="single"/>
    </w:rPr>
  </w:style>
  <w:style w:type="paragraph" w:styleId="TfutzaList">
    <w:name w:val="Tfutza List"/>
    <w:basedOn w:val="Normal"/>
    <w:qFormat/>
    <w:pPr>
      <w:ind w:hanging="0" w:start="0" w:end="0"/>
      <w:jc w:val="start"/>
    </w:pPr>
    <w:rPr>
      <w:i/>
      <w:iCs/>
    </w:rPr>
  </w:style>
  <w:style w:type="paragraph" w:styleId="Ruller41">
    <w:name w:val="Ruller4"/>
    <w:basedOn w:val="Normal"/>
    <w:qFormat/>
    <w:pPr>
      <w:tabs>
        <w:tab w:val="clear" w:pos="720"/>
        <w:tab w:val="left" w:pos="800" w:leader="none"/>
      </w:tabs>
      <w:spacing w:lineRule="auto" w:line="360"/>
      <w:ind w:hanging="0" w:start="0" w:end="0"/>
      <w:jc w:val="both"/>
    </w:pPr>
    <w:rPr>
      <w:rFonts w:ascii="Arial TUR;Arial" w:hAnsi="Arial TUR;Arial" w:cs="FrankRuehl"/>
      <w:spacing w:val="10"/>
      <w:sz w:val="22"/>
      <w:szCs w:val="28"/>
    </w:rPr>
  </w:style>
  <w:style w:type="paragraph" w:styleId="Ruller5">
    <w:name w:val="Ruller5"/>
    <w:basedOn w:val="Normal"/>
    <w:qFormat/>
    <w:pPr>
      <w:ind w:hanging="0" w:start="1642" w:end="1282"/>
      <w:jc w:val="both"/>
    </w:pPr>
    <w:rPr>
      <w:rFonts w:ascii="Arial TUR;Arial" w:hAnsi="Arial TUR;Arial" w:cs="FrankRuehl"/>
      <w:spacing w:val="10"/>
      <w:sz w:val="22"/>
      <w:szCs w:val="28"/>
    </w:rPr>
  </w:style>
  <w:style w:type="paragraph" w:styleId="Ruller6">
    <w:name w:val="Ruller6"/>
    <w:basedOn w:val="Normal"/>
    <w:qFormat/>
    <w:pPr>
      <w:tabs>
        <w:tab w:val="clear" w:pos="720"/>
        <w:tab w:val="left" w:pos="794" w:leader="none"/>
        <w:tab w:val="left" w:pos="2268" w:leader="none"/>
        <w:tab w:val="left" w:pos="5783" w:leader="none"/>
        <w:tab w:val="left" w:pos="7371" w:leader="none"/>
      </w:tabs>
      <w:ind w:hanging="0" w:start="0" w:end="0"/>
      <w:jc w:val="start"/>
    </w:pPr>
    <w:rPr>
      <w:rFonts w:ascii="Arial TUR;Arial" w:hAnsi="Arial TUR;Arial" w:cs="DavidFix"/>
      <w:spacing w:val="10"/>
      <w:sz w:val="22"/>
      <w:szCs w:val="20"/>
    </w:rPr>
  </w:style>
  <w:style w:type="paragraph" w:styleId="WriterName">
    <w:name w:val="Writer Name"/>
    <w:basedOn w:val="Ruller41"/>
    <w:next w:val="Ruller41"/>
    <w:qFormat/>
    <w:pPr>
      <w:ind w:hanging="0" w:start="0" w:end="0"/>
      <w:jc w:val="both"/>
    </w:pPr>
    <w:rPr>
      <w:rFonts w:cs="David"/>
      <w:b/>
      <w:bCs/>
      <w:u w:val="single"/>
    </w:rPr>
  </w:style>
  <w:style w:type="paragraph" w:styleId="2">
    <w:name w:val="ñâðåï2"/>
    <w:basedOn w:val="Normal"/>
    <w:qFormat/>
    <w:pPr>
      <w:overflowPunct w:val="true"/>
      <w:ind w:hanging="0" w:start="0" w:end="0"/>
      <w:jc w:val="start"/>
    </w:pPr>
    <w:rPr>
      <w:rFonts w:cs="Times New Roman"/>
    </w:rPr>
  </w:style>
  <w:style w:type="paragraph" w:styleId="Casenameintextbody">
    <w:name w:val="Case name in text body"/>
    <w:basedOn w:val="Normal"/>
    <w:qFormat/>
    <w:pPr>
      <w:overflowPunct w:val="true"/>
      <w:ind w:hanging="0" w:start="0" w:end="0"/>
      <w:jc w:val="end"/>
    </w:pPr>
    <w:rPr>
      <w:rFonts w:cs="Times New Roman"/>
      <w:b/>
      <w:bCs/>
      <w:u w:val="single"/>
    </w:rPr>
  </w:style>
  <w:style w:type="paragraph" w:styleId="precasestyle">
    <w:name w:val="pre_case style"/>
    <w:basedOn w:val="Normal"/>
    <w:qFormat/>
    <w:pPr>
      <w:tabs>
        <w:tab w:val="clear" w:pos="720"/>
        <w:tab w:val="left" w:pos="2552" w:leader="none"/>
      </w:tabs>
      <w:overflowPunct w:val="true"/>
      <w:ind w:hanging="0" w:start="0" w:end="2549"/>
      <w:jc w:val="start"/>
    </w:pPr>
    <w:rPr>
      <w:rFonts w:cs="Times New Roman"/>
    </w:rPr>
  </w:style>
  <w:style w:type="paragraph" w:styleId="BodyRuller1">
    <w:name w:val="Body Ruller"/>
    <w:basedOn w:val="Normal"/>
    <w:qFormat/>
    <w:pPr>
      <w:ind w:hanging="0" w:start="0" w:end="0"/>
      <w:jc w:val="start"/>
    </w:pPr>
    <w:rPr>
      <w:sz w:val="22"/>
      <w:szCs w:val="28"/>
    </w:rPr>
  </w:style>
  <w:style w:type="paragraph" w:styleId="Ruller381">
    <w:name w:val="סגנון Ruller 3 + (מורכב) ‏8 נק"/>
    <w:basedOn w:val="BodyRuller1"/>
    <w:qFormat/>
    <w:pPr>
      <w:ind w:hanging="0" w:start="0" w:end="0"/>
      <w:jc w:val="start"/>
    </w:pPr>
    <w:rPr>
      <w:szCs w:val="16"/>
    </w:rPr>
  </w:style>
  <w:style w:type="paragraph" w:styleId="FileNumber1">
    <w:name w:val="סגנון File Number + ימין"/>
    <w:basedOn w:val="FileNumber"/>
    <w:qFormat/>
    <w:pPr>
      <w:ind w:hanging="0" w:start="0" w:end="0"/>
      <w:jc w:val="start"/>
    </w:pPr>
    <w:rPr>
      <w:szCs w:val="28"/>
    </w:rPr>
  </w:style>
  <w:style w:type="paragraph" w:styleId="BODYVERDICT">
    <w:name w:val="BODY VERDICT"/>
    <w:basedOn w:val="Normal"/>
    <w:qFormat/>
    <w:pPr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case/4418530" TargetMode="External"/><Relationship Id="rId3" Type="http://schemas.openxmlformats.org/officeDocument/2006/relationships/hyperlink" Target="http://www.nevo.co.il/law/70301" TargetMode="External"/><Relationship Id="rId4" Type="http://schemas.openxmlformats.org/officeDocument/2006/relationships/hyperlink" Target="http://www.nevo.co.il/law/70301" TargetMode="External"/><Relationship Id="rId5" Type="http://schemas.openxmlformats.org/officeDocument/2006/relationships/hyperlink" Target="http://www.court.gov.il/" TargetMode="External"/><Relationship Id="rId6" Type="http://schemas.openxmlformats.org/officeDocument/2006/relationships/hyperlink" Target="http://www.nevo.co.il/advertisements/nevo-100.doc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10052030.O02.doc</Template>
  <TotalTime>0</TotalTime>
  <Application>LibreOffice/24.8.4.2$MacOSX_AARCH64 LibreOffice_project/bb3cfa12c7b1bf994ecc5649a80400d06cd71002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2017-05-31T13:55:00Z</dcterms:created>
  <dc:creator> </dc:creator>
  <dc:description/>
  <cp:keywords/>
  <dc:language>en-IL</dc:language>
  <cp:lastModifiedBy>orly</cp:lastModifiedBy>
  <cp:lastPrinted>2009-02-15T12:12:00Z</cp:lastPrinted>
  <dcterms:modified xsi:type="dcterms:W3CDTF">2017-05-31T13:55:00Z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עבד אל פתח ג'ברין</vt:lpwstr>
  </property>
  <property fmtid="{D5CDD505-2E9C-101B-9397-08002B2CF9AE}" pid="3" name="APPELLEE">
    <vt:lpwstr>מדינת ישראל</vt:lpwstr>
  </property>
  <property fmtid="{D5CDD505-2E9C-101B-9397-08002B2CF9AE}" pid="4" name="CASESLISTTMP1">
    <vt:lpwstr>4418530</vt:lpwstr>
  </property>
  <property fmtid="{D5CDD505-2E9C-101B-9397-08002B2CF9AE}" pid="5" name="DATE">
    <vt:lpwstr>20101206</vt:lpwstr>
  </property>
  <property fmtid="{D5CDD505-2E9C-101B-9397-08002B2CF9AE}" pid="6" name="JUDGE">
    <vt:lpwstr>א' א' לוי;א' רובינשטיין;א' חיות</vt:lpwstr>
  </property>
  <property fmtid="{D5CDD505-2E9C-101B-9397-08002B2CF9AE}" pid="7" name="LAWLISTTMP1">
    <vt:lpwstr>70301</vt:lpwstr>
  </property>
  <property fmtid="{D5CDD505-2E9C-101B-9397-08002B2CF9AE}" pid="8" name="LAWYER">
    <vt:lpwstr>אגברייה בדר אלדין</vt:lpwstr>
  </property>
  <property fmtid="{D5CDD505-2E9C-101B-9397-08002B2CF9AE}" pid="9" name="PROCESS">
    <vt:lpwstr>עפ</vt:lpwstr>
  </property>
  <property fmtid="{D5CDD505-2E9C-101B-9397-08002B2CF9AE}" pid="10" name="PROCNUM">
    <vt:lpwstr>5203</vt:lpwstr>
  </property>
  <property fmtid="{D5CDD505-2E9C-101B-9397-08002B2CF9AE}" pid="11" name="PROCYEAR">
    <vt:lpwstr>10</vt:lpwstr>
  </property>
  <property fmtid="{D5CDD505-2E9C-101B-9397-08002B2CF9AE}" pid="12" name="PSAKDIN">
    <vt:lpwstr>פסק-דין</vt:lpwstr>
  </property>
  <property fmtid="{D5CDD505-2E9C-101B-9397-08002B2CF9AE}" pid="13" name="TYPE">
    <vt:lpwstr>1</vt:lpwstr>
  </property>
  <property fmtid="{D5CDD505-2E9C-101B-9397-08002B2CF9AE}" pid="14" name="TYPE_ABS_DATE">
    <vt:lpwstr>410020101206</vt:lpwstr>
  </property>
  <property fmtid="{D5CDD505-2E9C-101B-9397-08002B2CF9AE}" pid="15" name="TYPE_N_DATE">
    <vt:lpwstr>41020101206</vt:lpwstr>
  </property>
  <property fmtid="{D5CDD505-2E9C-101B-9397-08002B2CF9AE}" pid="16" name="WORDNUMPAGES">
    <vt:lpwstr>2</vt:lpwstr>
  </property>
</Properties>
</file>