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bidiVisual w:val="true"/>
        <w:tblW w:w="7857" w:type="dxa"/>
        <w:jc w:val="end"/>
        <w:tblInd w:w="0" w:type="dxa"/>
        <w:tblLayout w:type="fixed"/>
        <w:tblCellMar>
          <w:top w:w="0" w:type="dxa"/>
          <w:start w:w="108" w:type="dxa"/>
          <w:bottom w:w="0" w:type="dxa"/>
          <w:end w:w="108" w:type="dxa"/>
        </w:tblCellMar>
      </w:tblPr>
      <w:tblGrid>
        <w:gridCol w:w="7857"/>
      </w:tblGrid>
      <w:tr>
        <w:trPr/>
        <w:tc>
          <w:tcPr>
            <w:tcW w:w="7857" w:type="dxa"/>
            <w:tcBorders/>
          </w:tcPr>
          <w:p>
            <w:pPr>
              <w:pStyle w:val="FileNumber1"/>
              <w:ind w:end="0"/>
              <w:jc w:val="center"/>
              <w:rPr>
                <w:sz w:val="28"/>
              </w:rPr>
            </w:pPr>
            <w:bookmarkStart w:id="0" w:name="Text1"/>
            <w:r>
              <w:rPr>
                <w:sz w:val="22"/>
                <w:sz w:val="22"/>
                <w:szCs w:val="30"/>
                <w:rtl w:val="true"/>
              </w:rPr>
              <w:t>בבית</w:t>
            </w:r>
            <w:r>
              <w:rPr>
                <w:rFonts w:cs="Times New Roman"/>
                <w:sz w:val="22"/>
                <w:sz w:val="22"/>
                <w:szCs w:val="30"/>
                <w:rtl w:val="true"/>
              </w:rPr>
              <w:t xml:space="preserve"> </w:t>
            </w:r>
            <w:r>
              <w:rPr>
                <w:sz w:val="22"/>
                <w:sz w:val="22"/>
                <w:szCs w:val="30"/>
                <w:rtl w:val="true"/>
              </w:rPr>
              <w:t>המשפט</w:t>
            </w:r>
            <w:r>
              <w:rPr>
                <w:rFonts w:cs="Times New Roman"/>
                <w:sz w:val="22"/>
                <w:sz w:val="22"/>
                <w:szCs w:val="30"/>
                <w:rtl w:val="true"/>
              </w:rPr>
              <w:t xml:space="preserve"> </w:t>
            </w:r>
            <w:r>
              <w:rPr>
                <w:sz w:val="22"/>
                <w:sz w:val="22"/>
                <w:szCs w:val="30"/>
                <w:rtl w:val="true"/>
              </w:rPr>
              <w:t>העליון</w:t>
            </w:r>
            <w:r>
              <w:rPr>
                <w:rFonts w:cs="Times New Roman"/>
                <w:sz w:val="22"/>
                <w:sz w:val="22"/>
                <w:szCs w:val="30"/>
                <w:rtl w:val="true"/>
              </w:rPr>
              <w:t xml:space="preserve"> </w:t>
            </w:r>
            <w:r>
              <w:rPr>
                <w:sz w:val="22"/>
                <w:sz w:val="22"/>
                <w:szCs w:val="30"/>
                <w:rtl w:val="true"/>
              </w:rPr>
              <w:t>בשבתו</w:t>
            </w:r>
            <w:r>
              <w:rPr>
                <w:rFonts w:cs="Times New Roman"/>
                <w:sz w:val="22"/>
                <w:sz w:val="22"/>
                <w:szCs w:val="30"/>
                <w:rtl w:val="true"/>
              </w:rPr>
              <w:t xml:space="preserve"> </w:t>
            </w:r>
            <w:r>
              <w:rPr>
                <w:sz w:val="22"/>
                <w:sz w:val="22"/>
                <w:szCs w:val="30"/>
                <w:rtl w:val="true"/>
              </w:rPr>
              <w:t>כבית</w:t>
            </w:r>
            <w:r>
              <w:rPr>
                <w:rFonts w:cs="Times New Roman"/>
                <w:sz w:val="22"/>
                <w:sz w:val="22"/>
                <w:szCs w:val="30"/>
                <w:rtl w:val="true"/>
              </w:rPr>
              <w:t xml:space="preserve"> </w:t>
            </w:r>
            <w:r>
              <w:rPr>
                <w:sz w:val="22"/>
                <w:sz w:val="22"/>
                <w:szCs w:val="30"/>
                <w:rtl w:val="true"/>
              </w:rPr>
              <w:t>משפט</w:t>
            </w:r>
            <w:r>
              <w:rPr>
                <w:rFonts w:cs="Times New Roman"/>
                <w:sz w:val="22"/>
                <w:sz w:val="22"/>
                <w:szCs w:val="30"/>
                <w:rtl w:val="true"/>
              </w:rPr>
              <w:t xml:space="preserve"> </w:t>
            </w:r>
            <w:r>
              <w:rPr>
                <w:sz w:val="22"/>
                <w:sz w:val="22"/>
                <w:szCs w:val="30"/>
                <w:rtl w:val="true"/>
              </w:rPr>
              <w:t>לערעורים</w:t>
            </w:r>
            <w:r>
              <w:rPr>
                <w:rFonts w:cs="Times New Roman"/>
                <w:sz w:val="22"/>
                <w:sz w:val="22"/>
                <w:szCs w:val="30"/>
                <w:rtl w:val="true"/>
              </w:rPr>
              <w:t xml:space="preserve"> </w:t>
            </w:r>
            <w:r>
              <w:rPr>
                <w:sz w:val="22"/>
                <w:sz w:val="22"/>
                <w:szCs w:val="30"/>
                <w:rtl w:val="true"/>
              </w:rPr>
              <w:t>פליליים</w:t>
            </w:r>
            <w:bookmarkEnd w:id="0"/>
          </w:p>
        </w:tc>
      </w:tr>
    </w:tbl>
    <w:p>
      <w:pPr>
        <w:pStyle w:val="Normal"/>
        <w:ind w:end="0"/>
        <w:jc w:val="end"/>
        <w:rPr>
          <w:rFonts w:cs="Miriam;Lucida Sans Unicode"/>
          <w:b/>
          <w:bCs/>
        </w:rPr>
      </w:pPr>
      <w:r>
        <w:rPr>
          <w:rFonts w:cs="Miriam;Lucida Sans Unicode"/>
          <w:b/>
          <w:bCs/>
          <w:rtl w:val="true"/>
        </w:rPr>
      </w:r>
    </w:p>
    <w:tbl>
      <w:tblPr>
        <w:bidiVisual w:val="true"/>
        <w:tblW w:w="8495" w:type="dxa"/>
        <w:jc w:val="start"/>
        <w:tblInd w:w="0" w:type="dxa"/>
        <w:tblLayout w:type="fixed"/>
        <w:tblCellMar>
          <w:top w:w="0" w:type="dxa"/>
          <w:start w:w="108" w:type="dxa"/>
          <w:bottom w:w="0" w:type="dxa"/>
          <w:end w:w="108" w:type="dxa"/>
        </w:tblCellMar>
      </w:tblPr>
      <w:tblGrid>
        <w:gridCol w:w="8495"/>
      </w:tblGrid>
      <w:tr>
        <w:trPr>
          <w:trHeight w:val="342" w:hRule="atLeast"/>
        </w:trPr>
        <w:tc>
          <w:tcPr>
            <w:tcW w:w="8495" w:type="dxa"/>
            <w:tcBorders/>
          </w:tcPr>
          <w:p>
            <w:pPr>
              <w:pStyle w:val="FileNumber"/>
              <w:ind w:end="0"/>
              <w:jc w:val="end"/>
              <w:rPr>
                <w:sz w:val="28"/>
                <w:szCs w:val="28"/>
              </w:rPr>
            </w:pPr>
            <w:bookmarkStart w:id="1" w:name="casename_body"/>
            <w:r>
              <w:rPr>
                <w:sz w:val="28"/>
                <w:sz w:val="28"/>
                <w:szCs w:val="28"/>
                <w:rtl w:val="true"/>
              </w:rPr>
              <w:t>ע</w:t>
            </w:r>
            <w:r>
              <w:rPr>
                <w:sz w:val="28"/>
                <w:szCs w:val="28"/>
                <w:rtl w:val="true"/>
              </w:rPr>
              <w:t>"</w:t>
            </w:r>
            <w:r>
              <w:rPr>
                <w:sz w:val="28"/>
                <w:sz w:val="28"/>
                <w:szCs w:val="28"/>
                <w:rtl w:val="true"/>
              </w:rPr>
              <w:t>פ</w:t>
            </w:r>
            <w:r>
              <w:rPr>
                <w:rFonts w:cs="Times New Roman"/>
                <w:sz w:val="28"/>
                <w:sz w:val="28"/>
                <w:szCs w:val="28"/>
                <w:rtl w:val="true"/>
              </w:rPr>
              <w:t xml:space="preserve">  </w:t>
            </w:r>
            <w:r>
              <w:rPr>
                <w:sz w:val="28"/>
                <w:szCs w:val="28"/>
              </w:rPr>
              <w:t>526/14</w:t>
            </w:r>
            <w:r>
              <w:rPr>
                <w:sz w:val="28"/>
                <w:szCs w:val="28"/>
                <w:rtl w:val="true"/>
              </w:rPr>
              <w:t xml:space="preserve"> </w:t>
            </w:r>
            <w:bookmarkEnd w:id="1"/>
          </w:p>
        </w:tc>
      </w:tr>
    </w:tbl>
    <w:p>
      <w:pPr>
        <w:pStyle w:val="Normal"/>
        <w:spacing w:lineRule="auto" w:line="360"/>
        <w:ind w:end="0"/>
        <w:jc w:val="end"/>
        <w:rPr>
          <w:rFonts w:cs="Miriam;Lucida Sans Unicode"/>
          <w:b/>
          <w:bCs/>
        </w:rPr>
      </w:pPr>
      <w:r>
        <w:rPr>
          <w:rFonts w:cs="Miriam;Lucida Sans Unicode"/>
          <w:b/>
          <w:bCs/>
          <w:rtl w:val="true"/>
        </w:rPr>
      </w:r>
    </w:p>
    <w:tbl>
      <w:tblPr>
        <w:bidiVisual w:val="true"/>
        <w:tblW w:w="8522" w:type="dxa"/>
        <w:jc w:val="end"/>
        <w:tblInd w:w="0" w:type="dxa"/>
        <w:tblLayout w:type="fixed"/>
        <w:tblCellMar>
          <w:top w:w="0" w:type="dxa"/>
          <w:start w:w="108" w:type="dxa"/>
          <w:bottom w:w="0" w:type="dxa"/>
          <w:end w:w="108" w:type="dxa"/>
        </w:tblCellMar>
      </w:tblPr>
      <w:tblGrid>
        <w:gridCol w:w="3284"/>
        <w:gridCol w:w="5238"/>
      </w:tblGrid>
      <w:tr>
        <w:trPr>
          <w:trHeight w:val="287" w:hRule="atLeast"/>
        </w:trPr>
        <w:tc>
          <w:tcPr>
            <w:tcW w:w="3284" w:type="dxa"/>
            <w:tcBorders/>
          </w:tcPr>
          <w:p>
            <w:pPr>
              <w:pStyle w:val="BodyRuller1"/>
              <w:ind w:end="0"/>
              <w:jc w:val="start"/>
              <w:rPr>
                <w:rFonts w:cs="Miriam;Lucida Sans Unicode"/>
                <w:b/>
                <w:bCs/>
              </w:rPr>
            </w:pPr>
            <w:r>
              <w:rPr>
                <w:rtl w:val="true"/>
              </w:rPr>
              <w:t>לפני</w:t>
            </w:r>
            <w:r>
              <w:rPr>
                <w:rtl w:val="true"/>
              </w:rPr>
              <w:t>:</w:t>
              <w:tab/>
            </w:r>
          </w:p>
        </w:tc>
        <w:tc>
          <w:tcPr>
            <w:tcW w:w="5238" w:type="dxa"/>
            <w:tcBorders/>
          </w:tcPr>
          <w:p>
            <w:pPr>
              <w:pStyle w:val="BodyRuller1"/>
              <w:ind w:end="0"/>
              <w:jc w:val="start"/>
              <w:rPr/>
            </w:pPr>
            <w:r>
              <w:rPr>
                <w:rtl w:val="true"/>
              </w:rPr>
              <w:t>כבוד</w:t>
            </w:r>
            <w:r>
              <w:rPr>
                <w:rFonts w:cs="Times New Roman"/>
                <w:rtl w:val="true"/>
              </w:rPr>
              <w:t xml:space="preserve"> </w:t>
            </w:r>
            <w:r>
              <w:rPr>
                <w:rtl w:val="true"/>
              </w:rPr>
              <w:t>השופט</w:t>
            </w:r>
            <w:r>
              <w:rPr>
                <w:rFonts w:cs="Times New Roman"/>
                <w:rtl w:val="true"/>
              </w:rPr>
              <w:t xml:space="preserve"> </w:t>
            </w:r>
            <w:r>
              <w:rPr>
                <w:rtl w:val="true"/>
              </w:rPr>
              <w:t>ס</w:t>
            </w:r>
            <w:r>
              <w:rPr>
                <w:rtl w:val="true"/>
              </w:rPr>
              <w:t xml:space="preserve">' </w:t>
            </w:r>
            <w:r>
              <w:rPr>
                <w:rtl w:val="true"/>
              </w:rPr>
              <w:t>ג</w:t>
            </w:r>
            <w:r>
              <w:rPr>
                <w:rtl w:val="true"/>
              </w:rPr>
              <w:t>'</w:t>
            </w:r>
            <w:r>
              <w:rPr>
                <w:rtl w:val="true"/>
              </w:rPr>
              <w:t>ובראן</w:t>
            </w:r>
          </w:p>
        </w:tc>
      </w:tr>
      <w:tr>
        <w:trPr>
          <w:trHeight w:val="287" w:hRule="atLeast"/>
        </w:trPr>
        <w:tc>
          <w:tcPr>
            <w:tcW w:w="3284" w:type="dxa"/>
            <w:tcBorders/>
          </w:tcPr>
          <w:p>
            <w:pPr>
              <w:pStyle w:val="BodyRuller1"/>
              <w:snapToGrid w:val="false"/>
              <w:ind w:end="0"/>
              <w:jc w:val="start"/>
              <w:rPr>
                <w:rFonts w:cs="Times New Roman"/>
                <w:szCs w:val="20"/>
              </w:rPr>
            </w:pPr>
            <w:r>
              <w:rPr>
                <w:rFonts w:cs="Times New Roman"/>
                <w:szCs w:val="20"/>
                <w:rtl w:val="true"/>
              </w:rPr>
            </w:r>
          </w:p>
        </w:tc>
        <w:tc>
          <w:tcPr>
            <w:tcW w:w="5238" w:type="dxa"/>
            <w:tcBorders/>
          </w:tcPr>
          <w:p>
            <w:pPr>
              <w:pStyle w:val="BodyRuller1"/>
              <w:ind w:end="0"/>
              <w:jc w:val="start"/>
              <w:rPr/>
            </w:pPr>
            <w:r>
              <w:rPr>
                <w:rtl w:val="true"/>
              </w:rPr>
              <w:t>כבוד</w:t>
            </w:r>
            <w:r>
              <w:rPr>
                <w:rFonts w:cs="Times New Roman"/>
                <w:rtl w:val="true"/>
              </w:rPr>
              <w:t xml:space="preserve"> </w:t>
            </w:r>
            <w:r>
              <w:rPr>
                <w:rtl w:val="true"/>
              </w:rPr>
              <w:t>השופט</w:t>
            </w:r>
            <w:r>
              <w:rPr>
                <w:rFonts w:cs="Times New Roman"/>
                <w:rtl w:val="true"/>
              </w:rPr>
              <w:t xml:space="preserve"> </w:t>
            </w:r>
            <w:r>
              <w:rPr>
                <w:rtl w:val="true"/>
              </w:rPr>
              <w:t>י</w:t>
            </w:r>
            <w:r>
              <w:rPr>
                <w:rtl w:val="true"/>
              </w:rPr>
              <w:t xml:space="preserve">' </w:t>
            </w:r>
            <w:r>
              <w:rPr>
                <w:rtl w:val="true"/>
              </w:rPr>
              <w:t>עמית</w:t>
            </w:r>
          </w:p>
        </w:tc>
      </w:tr>
      <w:tr>
        <w:trPr>
          <w:trHeight w:val="287" w:hRule="atLeast"/>
        </w:trPr>
        <w:tc>
          <w:tcPr>
            <w:tcW w:w="3284" w:type="dxa"/>
            <w:tcBorders/>
          </w:tcPr>
          <w:p>
            <w:pPr>
              <w:pStyle w:val="BodyRuller1"/>
              <w:snapToGrid w:val="false"/>
              <w:ind w:end="0"/>
              <w:jc w:val="start"/>
              <w:rPr>
                <w:rFonts w:cs="Times New Roman"/>
                <w:szCs w:val="20"/>
              </w:rPr>
            </w:pPr>
            <w:r>
              <w:rPr>
                <w:rFonts w:cs="Times New Roman"/>
                <w:szCs w:val="20"/>
                <w:rtl w:val="true"/>
              </w:rPr>
            </w:r>
            <w:bookmarkStart w:id="2" w:name="LastJudge"/>
            <w:bookmarkStart w:id="3" w:name="LastJudge"/>
            <w:bookmarkEnd w:id="3"/>
          </w:p>
        </w:tc>
        <w:tc>
          <w:tcPr>
            <w:tcW w:w="5238" w:type="dxa"/>
            <w:tcBorders/>
          </w:tcPr>
          <w:p>
            <w:pPr>
              <w:pStyle w:val="BodyRuller1"/>
              <w:ind w:end="0"/>
              <w:jc w:val="start"/>
              <w:rPr/>
            </w:pPr>
            <w:r>
              <w:rPr>
                <w:rtl w:val="true"/>
              </w:rPr>
              <w:t>כבוד</w:t>
            </w:r>
            <w:r>
              <w:rPr>
                <w:rFonts w:cs="Times New Roman"/>
                <w:rtl w:val="true"/>
              </w:rPr>
              <w:t xml:space="preserve"> </w:t>
            </w:r>
            <w:r>
              <w:rPr>
                <w:rtl w:val="true"/>
              </w:rPr>
              <w:t>השופט</w:t>
            </w:r>
            <w:r>
              <w:rPr>
                <w:rFonts w:cs="Times New Roman"/>
                <w:rtl w:val="true"/>
              </w:rPr>
              <w:t xml:space="preserve"> </w:t>
            </w:r>
            <w:r>
              <w:rPr>
                <w:rtl w:val="true"/>
              </w:rPr>
              <w:t>נ</w:t>
            </w:r>
            <w:r>
              <w:rPr>
                <w:rtl w:val="true"/>
              </w:rPr>
              <w:t xml:space="preserve">' </w:t>
            </w:r>
            <w:r>
              <w:rPr>
                <w:rtl w:val="true"/>
              </w:rPr>
              <w:t>סולברג</w:t>
            </w:r>
          </w:p>
        </w:tc>
      </w:tr>
    </w:tbl>
    <w:p>
      <w:pPr>
        <w:pStyle w:val="Ruller31"/>
        <w:ind w:end="0"/>
        <w:jc w:val="start"/>
        <w:rPr>
          <w:rFonts w:cs="Miriam;Lucida Sans Unicode"/>
          <w:b/>
          <w:bCs/>
        </w:rPr>
      </w:pPr>
      <w:r>
        <w:rPr>
          <w:rFonts w:cs="Miriam;Lucida Sans Unicode"/>
          <w:b/>
          <w:bCs/>
          <w:rtl w:val="true"/>
        </w:rPr>
      </w:r>
    </w:p>
    <w:tbl>
      <w:tblPr>
        <w:bidiVisual w:val="true"/>
        <w:tblW w:w="8522" w:type="dxa"/>
        <w:jc w:val="end"/>
        <w:tblInd w:w="0" w:type="dxa"/>
        <w:tblLayout w:type="fixed"/>
        <w:tblCellMar>
          <w:top w:w="0" w:type="dxa"/>
          <w:start w:w="108" w:type="dxa"/>
          <w:bottom w:w="0" w:type="dxa"/>
          <w:end w:w="108" w:type="dxa"/>
        </w:tblCellMar>
      </w:tblPr>
      <w:tblGrid>
        <w:gridCol w:w="3284"/>
        <w:gridCol w:w="5238"/>
      </w:tblGrid>
      <w:tr>
        <w:trPr/>
        <w:tc>
          <w:tcPr>
            <w:tcW w:w="3284" w:type="dxa"/>
            <w:tcBorders/>
          </w:tcPr>
          <w:p>
            <w:pPr>
              <w:pStyle w:val="BodyRuller1"/>
              <w:ind w:end="0"/>
              <w:jc w:val="start"/>
              <w:rPr/>
            </w:pPr>
            <w:bookmarkStart w:id="4" w:name="FirstAppellant"/>
            <w:bookmarkEnd w:id="4"/>
            <w:r>
              <w:rPr>
                <w:rtl w:val="true"/>
              </w:rPr>
              <w:t>המערער</w:t>
            </w:r>
            <w:r>
              <w:rPr>
                <w:rtl w:val="true"/>
              </w:rPr>
              <w:t>:</w:t>
            </w:r>
          </w:p>
        </w:tc>
        <w:tc>
          <w:tcPr>
            <w:tcW w:w="5238" w:type="dxa"/>
            <w:tcBorders/>
          </w:tcPr>
          <w:p>
            <w:pPr>
              <w:pStyle w:val="BodyRuller1"/>
              <w:ind w:end="0"/>
              <w:jc w:val="start"/>
              <w:rPr/>
            </w:pPr>
            <w:r>
              <w:rPr>
                <w:rtl w:val="true"/>
              </w:rPr>
              <w:t>פלוני</w:t>
            </w:r>
          </w:p>
        </w:tc>
      </w:tr>
    </w:tbl>
    <w:p>
      <w:pPr>
        <w:pStyle w:val="Ruller31"/>
        <w:spacing w:lineRule="auto" w:line="240"/>
        <w:ind w:end="0"/>
        <w:jc w:val="start"/>
        <w:rPr/>
      </w:pPr>
      <w:r>
        <w:rPr>
          <w:rtl w:val="true"/>
        </w:rPr>
        <w:tab/>
      </w:r>
    </w:p>
    <w:tbl>
      <w:tblPr>
        <w:bidiVisual w:val="true"/>
        <w:tblW w:w="8522" w:type="dxa"/>
        <w:jc w:val="end"/>
        <w:tblInd w:w="0" w:type="dxa"/>
        <w:tblLayout w:type="fixed"/>
        <w:tblCellMar>
          <w:top w:w="0" w:type="dxa"/>
          <w:start w:w="108" w:type="dxa"/>
          <w:bottom w:w="0" w:type="dxa"/>
          <w:end w:w="108" w:type="dxa"/>
        </w:tblCellMar>
      </w:tblPr>
      <w:tblGrid>
        <w:gridCol w:w="3284"/>
        <w:gridCol w:w="5238"/>
      </w:tblGrid>
      <w:tr>
        <w:trPr/>
        <w:tc>
          <w:tcPr>
            <w:tcW w:w="3284" w:type="dxa"/>
            <w:tcBorders/>
          </w:tcPr>
          <w:p>
            <w:pPr>
              <w:pStyle w:val="BodyRuller1"/>
              <w:snapToGrid w:val="false"/>
              <w:ind w:end="0"/>
              <w:jc w:val="start"/>
              <w:rPr/>
            </w:pPr>
            <w:r>
              <w:rPr>
                <w:rtl w:val="true"/>
              </w:rPr>
            </w:r>
          </w:p>
        </w:tc>
        <w:tc>
          <w:tcPr>
            <w:tcW w:w="5238" w:type="dxa"/>
            <w:tcBorders/>
          </w:tcPr>
          <w:p>
            <w:pPr>
              <w:pStyle w:val="BodyRuller1"/>
              <w:ind w:end="0"/>
              <w:jc w:val="start"/>
              <w:rPr/>
            </w:pPr>
            <w:r>
              <w:rPr>
                <w:rtl w:val="true"/>
              </w:rPr>
              <w:t>נ</w:t>
            </w:r>
            <w:r>
              <w:rPr>
                <w:rFonts w:cs="Times New Roman"/>
                <w:rtl w:val="true"/>
              </w:rPr>
              <w:t xml:space="preserve"> </w:t>
            </w:r>
            <w:r>
              <w:rPr>
                <w:rFonts w:cs="Times New Roman"/>
                <w:rtl w:val="true"/>
              </w:rPr>
              <w:t xml:space="preserve"> </w:t>
            </w:r>
            <w:r>
              <w:rPr>
                <w:rtl w:val="true"/>
              </w:rPr>
              <w:t>ג</w:t>
            </w:r>
            <w:r>
              <w:rPr>
                <w:rFonts w:cs="Times New Roman"/>
                <w:rtl w:val="true"/>
              </w:rPr>
              <w:t xml:space="preserve"> </w:t>
            </w:r>
            <w:r>
              <w:rPr>
                <w:rFonts w:cs="Times New Roman"/>
                <w:rtl w:val="true"/>
              </w:rPr>
              <w:t xml:space="preserve"> </w:t>
            </w:r>
            <w:r>
              <w:rPr>
                <w:rtl w:val="true"/>
              </w:rPr>
              <w:t>ד</w:t>
            </w:r>
          </w:p>
        </w:tc>
      </w:tr>
    </w:tbl>
    <w:p>
      <w:pPr>
        <w:pStyle w:val="Ruller31"/>
        <w:spacing w:lineRule="auto" w:line="240"/>
        <w:ind w:end="0"/>
        <w:jc w:val="start"/>
        <w:rPr/>
      </w:pPr>
      <w:r>
        <w:rPr>
          <w:rtl w:val="true"/>
        </w:rPr>
        <w:tab/>
        <w:tab/>
        <w:tab/>
        <w:t xml:space="preserve">     </w:t>
      </w:r>
    </w:p>
    <w:tbl>
      <w:tblPr>
        <w:bidiVisual w:val="true"/>
        <w:tblW w:w="8522" w:type="dxa"/>
        <w:jc w:val="end"/>
        <w:tblInd w:w="0" w:type="dxa"/>
        <w:tblLayout w:type="fixed"/>
        <w:tblCellMar>
          <w:top w:w="0" w:type="dxa"/>
          <w:start w:w="108" w:type="dxa"/>
          <w:bottom w:w="0" w:type="dxa"/>
          <w:end w:w="108" w:type="dxa"/>
        </w:tblCellMar>
      </w:tblPr>
      <w:tblGrid>
        <w:gridCol w:w="3284"/>
        <w:gridCol w:w="5238"/>
      </w:tblGrid>
      <w:tr>
        <w:trPr/>
        <w:tc>
          <w:tcPr>
            <w:tcW w:w="3284" w:type="dxa"/>
            <w:tcBorders/>
          </w:tcPr>
          <w:p>
            <w:pPr>
              <w:pStyle w:val="BodyRuller1"/>
              <w:ind w:end="0"/>
              <w:jc w:val="start"/>
              <w:rPr/>
            </w:pPr>
            <w:r>
              <w:rPr>
                <w:rtl w:val="true"/>
              </w:rPr>
              <w:t>המשיבה</w:t>
            </w:r>
            <w:r>
              <w:rPr>
                <w:rtl w:val="true"/>
              </w:rPr>
              <w:t>:</w:t>
            </w:r>
          </w:p>
        </w:tc>
        <w:tc>
          <w:tcPr>
            <w:tcW w:w="5238" w:type="dxa"/>
            <w:tcBorders/>
          </w:tcPr>
          <w:p>
            <w:pPr>
              <w:pStyle w:val="BodyRuller1"/>
              <w:ind w:end="0"/>
              <w:jc w:val="start"/>
              <w:rPr/>
            </w:pPr>
            <w:r>
              <w:rPr>
                <w:rtl w:val="true"/>
              </w:rPr>
              <w:t>מדינת</w:t>
            </w:r>
            <w:r>
              <w:rPr>
                <w:rFonts w:cs="Times New Roman"/>
                <w:rtl w:val="true"/>
              </w:rPr>
              <w:t xml:space="preserve"> </w:t>
            </w:r>
            <w:r>
              <w:rPr>
                <w:rtl w:val="true"/>
              </w:rPr>
              <w:t>ישראל</w:t>
            </w:r>
          </w:p>
        </w:tc>
      </w:tr>
    </w:tbl>
    <w:p>
      <w:pPr>
        <w:pStyle w:val="Ruller31"/>
        <w:ind w:end="0"/>
        <w:jc w:val="start"/>
        <w:rPr/>
      </w:pPr>
      <w:r>
        <w:rPr>
          <w:rtl w:val="true"/>
        </w:rPr>
        <w:tab/>
      </w:r>
    </w:p>
    <w:tbl>
      <w:tblPr>
        <w:bidiVisual w:val="true"/>
        <w:tblW w:w="5238" w:type="dxa"/>
        <w:jc w:val="start"/>
        <w:tblInd w:w="0" w:type="dxa"/>
        <w:tblLayout w:type="fixed"/>
        <w:tblCellMar>
          <w:top w:w="0" w:type="dxa"/>
          <w:start w:w="108" w:type="dxa"/>
          <w:bottom w:w="0" w:type="dxa"/>
          <w:end w:w="108" w:type="dxa"/>
        </w:tblCellMar>
      </w:tblPr>
      <w:tblGrid>
        <w:gridCol w:w="5238"/>
      </w:tblGrid>
      <w:tr>
        <w:trPr/>
        <w:tc>
          <w:tcPr>
            <w:tcW w:w="5238" w:type="dxa"/>
            <w:tcBorders/>
          </w:tcPr>
          <w:p>
            <w:pPr>
              <w:pStyle w:val="BodyRuller1"/>
              <w:ind w:end="0"/>
              <w:jc w:val="both"/>
              <w:rPr>
                <w:sz w:val="24"/>
                <w:szCs w:val="24"/>
              </w:rPr>
            </w:pPr>
            <w:r>
              <w:rPr>
                <w:sz w:val="24"/>
                <w:sz w:val="24"/>
                <w:szCs w:val="24"/>
                <w:rtl w:val="true"/>
              </w:rPr>
              <w:t>ערעור</w:t>
            </w:r>
            <w:r>
              <w:rPr>
                <w:rFonts w:cs="Times New Roman"/>
                <w:sz w:val="24"/>
                <w:sz w:val="24"/>
                <w:szCs w:val="24"/>
                <w:rtl w:val="true"/>
              </w:rPr>
              <w:t xml:space="preserve"> </w:t>
            </w:r>
            <w:r>
              <w:rPr>
                <w:sz w:val="24"/>
                <w:sz w:val="24"/>
                <w:szCs w:val="24"/>
                <w:rtl w:val="true"/>
              </w:rPr>
              <w:t>על</w:t>
            </w:r>
            <w:r>
              <w:rPr>
                <w:rFonts w:cs="Times New Roman"/>
                <w:sz w:val="24"/>
                <w:sz w:val="24"/>
                <w:szCs w:val="24"/>
                <w:rtl w:val="true"/>
              </w:rPr>
              <w:t xml:space="preserve"> </w:t>
            </w:r>
            <w:r>
              <w:rPr>
                <w:sz w:val="24"/>
                <w:sz w:val="24"/>
                <w:szCs w:val="24"/>
                <w:rtl w:val="true"/>
              </w:rPr>
              <w:t>גזר</w:t>
            </w:r>
            <w:r>
              <w:rPr>
                <w:rFonts w:cs="Times New Roman"/>
                <w:sz w:val="24"/>
                <w:sz w:val="24"/>
                <w:szCs w:val="24"/>
                <w:rtl w:val="true"/>
              </w:rPr>
              <w:t xml:space="preserve"> </w:t>
            </w:r>
            <w:r>
              <w:rPr>
                <w:sz w:val="24"/>
                <w:sz w:val="24"/>
                <w:szCs w:val="24"/>
                <w:rtl w:val="true"/>
              </w:rPr>
              <w:t>דינו</w:t>
            </w:r>
            <w:r>
              <w:rPr>
                <w:rFonts w:cs="Times New Roman"/>
                <w:sz w:val="24"/>
                <w:sz w:val="24"/>
                <w:szCs w:val="24"/>
                <w:rtl w:val="true"/>
              </w:rPr>
              <w:t xml:space="preserve"> </w:t>
            </w:r>
            <w:r>
              <w:rPr>
                <w:sz w:val="24"/>
                <w:sz w:val="24"/>
                <w:szCs w:val="24"/>
                <w:rtl w:val="true"/>
              </w:rPr>
              <w:t>של</w:t>
            </w:r>
            <w:r>
              <w:rPr>
                <w:rFonts w:cs="Times New Roman"/>
                <w:sz w:val="24"/>
                <w:sz w:val="24"/>
                <w:szCs w:val="24"/>
                <w:rtl w:val="true"/>
              </w:rPr>
              <w:t xml:space="preserve"> </w:t>
            </w:r>
            <w:r>
              <w:rPr>
                <w:sz w:val="24"/>
                <w:sz w:val="24"/>
                <w:szCs w:val="24"/>
                <w:rtl w:val="true"/>
              </w:rPr>
              <w:t>בית</w:t>
            </w:r>
            <w:r>
              <w:rPr>
                <w:rFonts w:cs="Times New Roman"/>
                <w:sz w:val="24"/>
                <w:sz w:val="24"/>
                <w:szCs w:val="24"/>
                <w:rtl w:val="true"/>
              </w:rPr>
              <w:t xml:space="preserve"> </w:t>
            </w:r>
            <w:r>
              <w:rPr>
                <w:sz w:val="24"/>
                <w:sz w:val="24"/>
                <w:szCs w:val="24"/>
                <w:rtl w:val="true"/>
              </w:rPr>
              <w:t>המשפט</w:t>
            </w:r>
            <w:r>
              <w:rPr>
                <w:rFonts w:cs="Times New Roman"/>
                <w:sz w:val="24"/>
                <w:sz w:val="24"/>
                <w:szCs w:val="24"/>
                <w:rtl w:val="true"/>
              </w:rPr>
              <w:t xml:space="preserve"> </w:t>
            </w:r>
            <w:r>
              <w:rPr>
                <w:sz w:val="24"/>
                <w:sz w:val="24"/>
                <w:szCs w:val="24"/>
                <w:rtl w:val="true"/>
              </w:rPr>
              <w:t>המחוזי</w:t>
            </w:r>
            <w:r>
              <w:rPr>
                <w:rFonts w:cs="Times New Roman"/>
                <w:sz w:val="24"/>
                <w:sz w:val="24"/>
                <w:szCs w:val="24"/>
                <w:rtl w:val="true"/>
              </w:rPr>
              <w:t xml:space="preserve"> </w:t>
            </w:r>
            <w:r>
              <w:rPr>
                <w:sz w:val="24"/>
                <w:sz w:val="24"/>
                <w:szCs w:val="24"/>
                <w:rtl w:val="true"/>
              </w:rPr>
              <w:t>בבאר</w:t>
            </w:r>
            <w:r>
              <w:rPr>
                <w:rFonts w:cs="Times New Roman"/>
                <w:sz w:val="24"/>
                <w:sz w:val="24"/>
                <w:szCs w:val="24"/>
                <w:rtl w:val="true"/>
              </w:rPr>
              <w:t xml:space="preserve"> </w:t>
            </w:r>
            <w:r>
              <w:rPr>
                <w:sz w:val="24"/>
                <w:sz w:val="24"/>
                <w:szCs w:val="24"/>
                <w:rtl w:val="true"/>
              </w:rPr>
              <w:t>שבע</w:t>
            </w:r>
            <w:r>
              <w:rPr>
                <w:rFonts w:cs="Times New Roman"/>
                <w:sz w:val="24"/>
                <w:sz w:val="24"/>
                <w:szCs w:val="24"/>
                <w:rtl w:val="true"/>
              </w:rPr>
              <w:t xml:space="preserve"> </w:t>
            </w:r>
            <w:r>
              <w:rPr>
                <w:sz w:val="24"/>
                <w:sz w:val="24"/>
                <w:szCs w:val="24"/>
                <w:rtl w:val="true"/>
              </w:rPr>
              <w:t>מיום</w:t>
            </w:r>
            <w:r>
              <w:rPr>
                <w:rFonts w:cs="Times New Roman"/>
                <w:sz w:val="24"/>
                <w:sz w:val="24"/>
                <w:szCs w:val="24"/>
                <w:rtl w:val="true"/>
              </w:rPr>
              <w:t xml:space="preserve"> </w:t>
            </w:r>
            <w:r>
              <w:rPr>
                <w:sz w:val="24"/>
                <w:szCs w:val="24"/>
              </w:rPr>
              <w:t>14.1.14</w:t>
            </w:r>
            <w:r>
              <w:rPr>
                <w:sz w:val="24"/>
                <w:szCs w:val="24"/>
                <w:rtl w:val="true"/>
              </w:rPr>
              <w:t xml:space="preserve"> </w:t>
            </w:r>
            <w:r>
              <w:rPr>
                <w:sz w:val="24"/>
                <w:sz w:val="24"/>
                <w:szCs w:val="24"/>
                <w:rtl w:val="true"/>
              </w:rPr>
              <w:t>ב</w:t>
            </w:r>
            <w:r>
              <w:rPr>
                <w:sz w:val="24"/>
                <w:sz w:val="24"/>
                <w:szCs w:val="24"/>
                <w:rtl w:val="true"/>
              </w:rPr>
              <w:t>ת</w:t>
            </w:r>
            <w:r>
              <w:rPr>
                <w:sz w:val="24"/>
                <w:szCs w:val="24"/>
                <w:rtl w:val="true"/>
              </w:rPr>
              <w:t>"</w:t>
            </w:r>
            <w:r>
              <w:rPr>
                <w:sz w:val="24"/>
                <w:sz w:val="24"/>
                <w:szCs w:val="24"/>
                <w:rtl w:val="true"/>
              </w:rPr>
              <w:t>פ</w:t>
            </w:r>
            <w:r>
              <w:rPr>
                <w:rFonts w:cs="Times New Roman"/>
                <w:sz w:val="24"/>
                <w:sz w:val="24"/>
                <w:szCs w:val="24"/>
                <w:rtl w:val="true"/>
              </w:rPr>
              <w:t xml:space="preserve"> </w:t>
            </w:r>
            <w:r>
              <w:rPr>
                <w:sz w:val="24"/>
                <w:szCs w:val="24"/>
              </w:rPr>
              <w:t>39259-01-13</w:t>
            </w:r>
            <w:r>
              <w:rPr>
                <w:sz w:val="24"/>
                <w:szCs w:val="24"/>
                <w:rtl w:val="true"/>
              </w:rPr>
              <w:t xml:space="preserve"> </w:t>
            </w:r>
            <w:r>
              <w:rPr>
                <w:sz w:val="24"/>
                <w:sz w:val="24"/>
                <w:szCs w:val="24"/>
                <w:rtl w:val="true"/>
              </w:rPr>
              <w:t>שניתן</w:t>
            </w:r>
            <w:r>
              <w:rPr>
                <w:rFonts w:cs="Times New Roman"/>
                <w:sz w:val="24"/>
                <w:sz w:val="24"/>
                <w:szCs w:val="24"/>
                <w:rtl w:val="true"/>
              </w:rPr>
              <w:t xml:space="preserve"> </w:t>
            </w:r>
            <w:r>
              <w:rPr>
                <w:sz w:val="24"/>
                <w:sz w:val="24"/>
                <w:szCs w:val="24"/>
                <w:rtl w:val="true"/>
              </w:rPr>
              <w:t>על</w:t>
            </w:r>
            <w:r>
              <w:rPr>
                <w:rFonts w:cs="Times New Roman"/>
                <w:sz w:val="24"/>
                <w:sz w:val="24"/>
                <w:szCs w:val="24"/>
                <w:rtl w:val="true"/>
              </w:rPr>
              <w:t xml:space="preserve"> </w:t>
            </w:r>
            <w:r>
              <w:rPr>
                <w:sz w:val="24"/>
                <w:sz w:val="24"/>
                <w:szCs w:val="24"/>
                <w:rtl w:val="true"/>
              </w:rPr>
              <w:t>ידי</w:t>
            </w:r>
            <w:r>
              <w:rPr>
                <w:rFonts w:cs="Times New Roman"/>
                <w:sz w:val="24"/>
                <w:sz w:val="24"/>
                <w:szCs w:val="24"/>
                <w:rtl w:val="true"/>
              </w:rPr>
              <w:t xml:space="preserve"> </w:t>
            </w:r>
            <w:r>
              <w:rPr>
                <w:sz w:val="24"/>
                <w:sz w:val="24"/>
                <w:szCs w:val="24"/>
                <w:rtl w:val="true"/>
              </w:rPr>
              <w:t>כבוד</w:t>
            </w:r>
            <w:r>
              <w:rPr>
                <w:rFonts w:cs="Times New Roman"/>
                <w:sz w:val="24"/>
                <w:sz w:val="24"/>
                <w:szCs w:val="24"/>
                <w:rtl w:val="true"/>
              </w:rPr>
              <w:t xml:space="preserve"> </w:t>
            </w:r>
            <w:r>
              <w:rPr>
                <w:sz w:val="24"/>
                <w:sz w:val="24"/>
                <w:szCs w:val="24"/>
                <w:rtl w:val="true"/>
              </w:rPr>
              <w:t>השופט</w:t>
            </w:r>
            <w:r>
              <w:rPr>
                <w:rFonts w:cs="Times New Roman"/>
                <w:sz w:val="24"/>
                <w:sz w:val="24"/>
                <w:szCs w:val="24"/>
                <w:rtl w:val="true"/>
              </w:rPr>
              <w:t xml:space="preserve"> </w:t>
            </w:r>
            <w:r>
              <w:rPr>
                <w:sz w:val="24"/>
                <w:sz w:val="24"/>
                <w:szCs w:val="24"/>
                <w:rtl w:val="true"/>
              </w:rPr>
              <w:t>אליהו</w:t>
            </w:r>
            <w:r>
              <w:rPr>
                <w:rFonts w:cs="Times New Roman"/>
                <w:sz w:val="24"/>
                <w:sz w:val="24"/>
                <w:szCs w:val="24"/>
                <w:rtl w:val="true"/>
              </w:rPr>
              <w:t xml:space="preserve"> </w:t>
            </w:r>
            <w:r>
              <w:rPr>
                <w:sz w:val="24"/>
                <w:sz w:val="24"/>
                <w:szCs w:val="24"/>
                <w:rtl w:val="true"/>
              </w:rPr>
              <w:t>ביתן</w:t>
            </w:r>
          </w:p>
        </w:tc>
      </w:tr>
    </w:tbl>
    <w:p>
      <w:pPr>
        <w:pStyle w:val="Ruller31"/>
        <w:ind w:end="0"/>
        <w:jc w:val="start"/>
        <w:rPr/>
      </w:pPr>
      <w:r>
        <w:rPr>
          <w:rtl w:val="true"/>
        </w:rPr>
        <w:tab/>
      </w:r>
    </w:p>
    <w:tbl>
      <w:tblPr>
        <w:bidiVisual w:val="true"/>
        <w:tblW w:w="8535" w:type="dxa"/>
        <w:jc w:val="start"/>
        <w:tblInd w:w="-40" w:type="dxa"/>
        <w:tblLayout w:type="fixed"/>
        <w:tblCellMar>
          <w:top w:w="0" w:type="dxa"/>
          <w:start w:w="108" w:type="dxa"/>
          <w:bottom w:w="0" w:type="dxa"/>
          <w:end w:w="108" w:type="dxa"/>
        </w:tblCellMar>
      </w:tblPr>
      <w:tblGrid>
        <w:gridCol w:w="3257"/>
        <w:gridCol w:w="2301"/>
        <w:gridCol w:w="2977"/>
      </w:tblGrid>
      <w:tr>
        <w:trPr/>
        <w:tc>
          <w:tcPr>
            <w:tcW w:w="3257" w:type="dxa"/>
            <w:tcBorders/>
          </w:tcPr>
          <w:p>
            <w:pPr>
              <w:pStyle w:val="BodyRuller1"/>
              <w:ind w:end="0"/>
              <w:jc w:val="start"/>
              <w:rPr>
                <w:sz w:val="24"/>
                <w:szCs w:val="24"/>
              </w:rPr>
            </w:pPr>
            <w:r>
              <w:rPr>
                <w:sz w:val="24"/>
                <w:sz w:val="24"/>
                <w:szCs w:val="24"/>
                <w:rtl w:val="true"/>
              </w:rPr>
              <w:t>תאריך</w:t>
            </w:r>
            <w:r>
              <w:rPr>
                <w:rFonts w:cs="Times New Roman"/>
                <w:sz w:val="24"/>
                <w:sz w:val="24"/>
                <w:szCs w:val="24"/>
                <w:rtl w:val="true"/>
              </w:rPr>
              <w:t xml:space="preserve"> </w:t>
            </w:r>
            <w:r>
              <w:rPr>
                <w:sz w:val="24"/>
                <w:sz w:val="24"/>
                <w:szCs w:val="24"/>
                <w:rtl w:val="true"/>
              </w:rPr>
              <w:t>הישיבה</w:t>
            </w:r>
            <w:r>
              <w:rPr>
                <w:sz w:val="24"/>
                <w:szCs w:val="24"/>
                <w:rtl w:val="true"/>
              </w:rPr>
              <w:t>:</w:t>
            </w:r>
          </w:p>
        </w:tc>
        <w:tc>
          <w:tcPr>
            <w:tcW w:w="2301" w:type="dxa"/>
            <w:tcBorders/>
          </w:tcPr>
          <w:p>
            <w:pPr>
              <w:pStyle w:val="BodyRuller1"/>
              <w:ind w:end="0"/>
              <w:jc w:val="start"/>
              <w:rPr>
                <w:sz w:val="24"/>
                <w:szCs w:val="24"/>
              </w:rPr>
            </w:pPr>
            <w:bookmarkStart w:id="5" w:name="xDate"/>
            <w:r>
              <w:rPr>
                <w:sz w:val="24"/>
                <w:sz w:val="24"/>
                <w:szCs w:val="24"/>
                <w:rtl w:val="true"/>
              </w:rPr>
              <w:t>כ</w:t>
            </w:r>
            <w:r>
              <w:rPr>
                <w:sz w:val="24"/>
                <w:szCs w:val="24"/>
                <w:rtl w:val="true"/>
              </w:rPr>
              <w:t>"</w:t>
            </w:r>
            <w:r>
              <w:rPr>
                <w:sz w:val="24"/>
                <w:sz w:val="24"/>
                <w:szCs w:val="24"/>
                <w:rtl w:val="true"/>
              </w:rPr>
              <w:t>ו</w:t>
            </w:r>
            <w:r>
              <w:rPr>
                <w:rFonts w:cs="Times New Roman"/>
                <w:sz w:val="24"/>
                <w:sz w:val="24"/>
                <w:szCs w:val="24"/>
                <w:rtl w:val="true"/>
              </w:rPr>
              <w:t xml:space="preserve"> </w:t>
            </w:r>
            <w:r>
              <w:rPr>
                <w:sz w:val="24"/>
                <w:sz w:val="24"/>
                <w:szCs w:val="24"/>
                <w:rtl w:val="true"/>
              </w:rPr>
              <w:t>בא</w:t>
            </w:r>
            <w:bookmarkEnd w:id="5"/>
            <w:r>
              <w:rPr>
                <w:sz w:val="24"/>
                <w:sz w:val="24"/>
                <w:szCs w:val="24"/>
                <w:rtl w:val="true"/>
              </w:rPr>
              <w:t>דר</w:t>
            </w:r>
            <w:r>
              <w:rPr>
                <w:rFonts w:cs="Times New Roman"/>
                <w:sz w:val="24"/>
                <w:sz w:val="24"/>
                <w:szCs w:val="24"/>
                <w:rtl w:val="true"/>
              </w:rPr>
              <w:t xml:space="preserve"> </w:t>
            </w:r>
            <w:r>
              <w:rPr>
                <w:sz w:val="24"/>
                <w:sz w:val="24"/>
                <w:szCs w:val="24"/>
                <w:rtl w:val="true"/>
              </w:rPr>
              <w:t>א</w:t>
            </w:r>
            <w:r>
              <w:rPr>
                <w:sz w:val="24"/>
                <w:szCs w:val="24"/>
                <w:rtl w:val="true"/>
              </w:rPr>
              <w:t xml:space="preserve">' </w:t>
            </w:r>
            <w:r>
              <w:rPr>
                <w:sz w:val="24"/>
                <w:sz w:val="24"/>
                <w:szCs w:val="24"/>
                <w:rtl w:val="true"/>
              </w:rPr>
              <w:t>התשע</w:t>
            </w:r>
            <w:r>
              <w:rPr>
                <w:sz w:val="24"/>
                <w:szCs w:val="24"/>
                <w:rtl w:val="true"/>
              </w:rPr>
              <w:t>"</w:t>
            </w:r>
            <w:r>
              <w:rPr>
                <w:sz w:val="24"/>
                <w:sz w:val="24"/>
                <w:szCs w:val="24"/>
                <w:rtl w:val="true"/>
              </w:rPr>
              <w:t>ד</w:t>
            </w:r>
          </w:p>
        </w:tc>
        <w:tc>
          <w:tcPr>
            <w:tcW w:w="2977" w:type="dxa"/>
            <w:tcBorders/>
          </w:tcPr>
          <w:p>
            <w:pPr>
              <w:pStyle w:val="BodyRuller1"/>
              <w:ind w:end="0"/>
              <w:jc w:val="start"/>
              <w:rPr>
                <w:sz w:val="24"/>
                <w:szCs w:val="24"/>
              </w:rPr>
            </w:pPr>
            <w:r>
              <w:rPr>
                <w:rtl w:val="true"/>
              </w:rPr>
              <w:t>(</w:t>
            </w:r>
            <w:r>
              <w:rPr/>
              <w:t>26.2.2014</w:t>
            </w:r>
            <w:r>
              <w:rPr>
                <w:rtl w:val="true"/>
              </w:rPr>
              <w:t>)</w:t>
            </w:r>
          </w:p>
        </w:tc>
      </w:tr>
    </w:tbl>
    <w:p>
      <w:pPr>
        <w:pStyle w:val="Ruller31"/>
        <w:spacing w:lineRule="auto" w:line="240"/>
        <w:ind w:end="0"/>
        <w:jc w:val="start"/>
        <w:rPr/>
      </w:pPr>
      <w:r>
        <w:rPr>
          <w:rtl w:val="true"/>
        </w:rPr>
      </w:r>
    </w:p>
    <w:tbl>
      <w:tblPr>
        <w:bidiVisual w:val="true"/>
        <w:tblW w:w="8495" w:type="dxa"/>
        <w:jc w:val="start"/>
        <w:tblInd w:w="0" w:type="dxa"/>
        <w:tblLayout w:type="fixed"/>
        <w:tblCellMar>
          <w:top w:w="0" w:type="dxa"/>
          <w:start w:w="108" w:type="dxa"/>
          <w:bottom w:w="0" w:type="dxa"/>
          <w:end w:w="108" w:type="dxa"/>
        </w:tblCellMar>
      </w:tblPr>
      <w:tblGrid>
        <w:gridCol w:w="3257"/>
        <w:gridCol w:w="5238"/>
      </w:tblGrid>
      <w:tr>
        <w:trPr/>
        <w:tc>
          <w:tcPr>
            <w:tcW w:w="3257" w:type="dxa"/>
            <w:tcBorders/>
          </w:tcPr>
          <w:p>
            <w:pPr>
              <w:pStyle w:val="BodyRuller1"/>
              <w:ind w:end="0"/>
              <w:jc w:val="start"/>
              <w:rPr/>
            </w:pPr>
            <w:r>
              <w:rPr>
                <w:rtl w:val="true"/>
              </w:rPr>
              <w:t>בשם</w:t>
            </w:r>
            <w:r>
              <w:rPr>
                <w:rFonts w:cs="Times New Roman"/>
                <w:rtl w:val="true"/>
              </w:rPr>
              <w:t xml:space="preserve"> </w:t>
            </w:r>
            <w:r>
              <w:rPr>
                <w:rtl w:val="true"/>
              </w:rPr>
              <w:t>המערער</w:t>
            </w:r>
            <w:r>
              <w:rPr>
                <w:rtl w:val="true"/>
              </w:rPr>
              <w:t>:</w:t>
            </w:r>
          </w:p>
        </w:tc>
        <w:tc>
          <w:tcPr>
            <w:tcW w:w="5238" w:type="dxa"/>
            <w:tcBorders/>
          </w:tcPr>
          <w:p>
            <w:pPr>
              <w:pStyle w:val="BodyRuller1"/>
              <w:ind w:end="0"/>
              <w:jc w:val="start"/>
              <w:rPr/>
            </w:pPr>
            <w:r>
              <w:rPr>
                <w:rtl w:val="true"/>
              </w:rPr>
              <w:t>עו</w:t>
            </w:r>
            <w:r>
              <w:rPr>
                <w:rtl w:val="true"/>
              </w:rPr>
              <w:t>"</w:t>
            </w:r>
            <w:r>
              <w:rPr>
                <w:rtl w:val="true"/>
              </w:rPr>
              <w:t>ד</w:t>
            </w:r>
            <w:r>
              <w:rPr>
                <w:rFonts w:cs="Times New Roman"/>
                <w:rtl w:val="true"/>
              </w:rPr>
              <w:t xml:space="preserve"> </w:t>
            </w:r>
            <w:r>
              <w:rPr>
                <w:rtl w:val="true"/>
              </w:rPr>
              <w:t>איל</w:t>
            </w:r>
            <w:r>
              <w:rPr>
                <w:rFonts w:cs="Times New Roman"/>
                <w:rtl w:val="true"/>
              </w:rPr>
              <w:t xml:space="preserve"> </w:t>
            </w:r>
            <w:r>
              <w:rPr>
                <w:rtl w:val="true"/>
              </w:rPr>
              <w:t>הדר</w:t>
            </w:r>
            <w:r>
              <w:rPr>
                <w:rtl w:val="true"/>
              </w:rPr>
              <w:t xml:space="preserve">; </w:t>
            </w:r>
            <w:r>
              <w:rPr>
                <w:rtl w:val="true"/>
              </w:rPr>
              <w:t>עו</w:t>
            </w:r>
            <w:r>
              <w:rPr>
                <w:rtl w:val="true"/>
              </w:rPr>
              <w:t>"</w:t>
            </w:r>
            <w:r>
              <w:rPr>
                <w:rtl w:val="true"/>
              </w:rPr>
              <w:t>ד</w:t>
            </w:r>
            <w:r>
              <w:rPr>
                <w:rFonts w:cs="Times New Roman"/>
                <w:rtl w:val="true"/>
              </w:rPr>
              <w:t xml:space="preserve"> </w:t>
            </w:r>
            <w:r>
              <w:rPr>
                <w:rtl w:val="true"/>
              </w:rPr>
              <w:t>שלום</w:t>
            </w:r>
            <w:r>
              <w:rPr>
                <w:rFonts w:cs="Times New Roman"/>
                <w:rtl w:val="true"/>
              </w:rPr>
              <w:t xml:space="preserve"> </w:t>
            </w:r>
            <w:r>
              <w:rPr>
                <w:rtl w:val="true"/>
              </w:rPr>
              <w:t>פיניאה</w:t>
            </w:r>
          </w:p>
        </w:tc>
      </w:tr>
    </w:tbl>
    <w:p>
      <w:pPr>
        <w:pStyle w:val="Ruller31"/>
        <w:spacing w:lineRule="auto" w:line="240"/>
        <w:ind w:end="0"/>
        <w:jc w:val="start"/>
        <w:rPr/>
      </w:pPr>
      <w:r>
        <w:rPr>
          <w:rtl w:val="true"/>
        </w:rPr>
      </w:r>
    </w:p>
    <w:tbl>
      <w:tblPr>
        <w:bidiVisual w:val="true"/>
        <w:tblW w:w="8495" w:type="dxa"/>
        <w:jc w:val="start"/>
        <w:tblInd w:w="0" w:type="dxa"/>
        <w:tblLayout w:type="fixed"/>
        <w:tblCellMar>
          <w:top w:w="0" w:type="dxa"/>
          <w:start w:w="108" w:type="dxa"/>
          <w:bottom w:w="0" w:type="dxa"/>
          <w:end w:w="108" w:type="dxa"/>
        </w:tblCellMar>
      </w:tblPr>
      <w:tblGrid>
        <w:gridCol w:w="3257"/>
        <w:gridCol w:w="5238"/>
      </w:tblGrid>
      <w:tr>
        <w:trPr/>
        <w:tc>
          <w:tcPr>
            <w:tcW w:w="3257" w:type="dxa"/>
            <w:tcBorders/>
          </w:tcPr>
          <w:p>
            <w:pPr>
              <w:pStyle w:val="BodyRuller1"/>
              <w:ind w:end="0"/>
              <w:jc w:val="start"/>
              <w:rPr/>
            </w:pPr>
            <w:bookmarkStart w:id="6" w:name="FirstLawyer"/>
            <w:bookmarkEnd w:id="6"/>
            <w:r>
              <w:rPr>
                <w:rtl w:val="true"/>
              </w:rPr>
              <w:t>בשם</w:t>
            </w:r>
            <w:r>
              <w:rPr>
                <w:rFonts w:cs="Times New Roman"/>
                <w:rtl w:val="true"/>
              </w:rPr>
              <w:t xml:space="preserve"> </w:t>
            </w:r>
            <w:r>
              <w:rPr>
                <w:rtl w:val="true"/>
              </w:rPr>
              <w:t>המשיבה</w:t>
            </w:r>
            <w:r>
              <w:rPr>
                <w:rtl w:val="true"/>
              </w:rPr>
              <w:t>:</w:t>
            </w:r>
          </w:p>
        </w:tc>
        <w:tc>
          <w:tcPr>
            <w:tcW w:w="5238" w:type="dxa"/>
            <w:tcBorders/>
          </w:tcPr>
          <w:p>
            <w:pPr>
              <w:pStyle w:val="BodyRuller1"/>
              <w:ind w:end="0"/>
              <w:jc w:val="start"/>
              <w:rPr/>
            </w:pPr>
            <w:r>
              <w:rPr>
                <w:rtl w:val="true"/>
              </w:rPr>
              <w:t>עו</w:t>
            </w:r>
            <w:r>
              <w:rPr>
                <w:rtl w:val="true"/>
              </w:rPr>
              <w:t>"</w:t>
            </w:r>
            <w:r>
              <w:rPr>
                <w:rtl w:val="true"/>
              </w:rPr>
              <w:t>ד</w:t>
            </w:r>
            <w:r>
              <w:rPr>
                <w:rFonts w:cs="Times New Roman"/>
                <w:rtl w:val="true"/>
              </w:rPr>
              <w:t xml:space="preserve"> </w:t>
            </w:r>
            <w:r>
              <w:rPr>
                <w:rtl w:val="true"/>
              </w:rPr>
              <w:t>חיים</w:t>
            </w:r>
            <w:r>
              <w:rPr>
                <w:rFonts w:cs="Times New Roman"/>
                <w:rtl w:val="true"/>
              </w:rPr>
              <w:t xml:space="preserve"> </w:t>
            </w:r>
            <w:r>
              <w:rPr>
                <w:rtl w:val="true"/>
              </w:rPr>
              <w:t>שווייצר</w:t>
            </w:r>
          </w:p>
        </w:tc>
      </w:tr>
    </w:tbl>
    <w:p>
      <w:pPr>
        <w:pStyle w:val="Normal"/>
        <w:tabs>
          <w:tab w:val="clear" w:pos="720"/>
          <w:tab w:val="left" w:pos="2552" w:leader="none"/>
        </w:tabs>
        <w:ind w:end="0"/>
        <w:jc w:val="start"/>
        <w:rPr/>
      </w:pPr>
      <w:r>
        <w:rPr>
          <w:rtl w:val="true"/>
        </w:rPr>
      </w:r>
    </w:p>
    <w:tbl>
      <w:tblPr>
        <w:bidiVisual w:val="true"/>
        <w:tblW w:w="8522" w:type="dxa"/>
        <w:jc w:val="end"/>
        <w:tblInd w:w="0" w:type="dxa"/>
        <w:tblLayout w:type="fixed"/>
        <w:tblCellMar>
          <w:top w:w="0" w:type="dxa"/>
          <w:start w:w="108" w:type="dxa"/>
          <w:bottom w:w="0" w:type="dxa"/>
          <w:end w:w="108" w:type="dxa"/>
        </w:tblCellMar>
      </w:tblPr>
      <w:tblGrid>
        <w:gridCol w:w="3284"/>
        <w:gridCol w:w="5238"/>
      </w:tblGrid>
      <w:tr>
        <w:trPr/>
        <w:tc>
          <w:tcPr>
            <w:tcW w:w="3284" w:type="dxa"/>
            <w:tcBorders/>
          </w:tcPr>
          <w:p>
            <w:pPr>
              <w:pStyle w:val="BodyRuller1"/>
              <w:ind w:end="0"/>
              <w:jc w:val="start"/>
              <w:rPr/>
            </w:pPr>
            <w:r>
              <w:rPr>
                <w:rtl w:val="true"/>
              </w:rPr>
              <w:t>בשם</w:t>
            </w:r>
            <w:r>
              <w:rPr>
                <w:rFonts w:cs="Times New Roman"/>
                <w:rtl w:val="true"/>
              </w:rPr>
              <w:t xml:space="preserve"> </w:t>
            </w:r>
            <w:r>
              <w:rPr>
                <w:rtl w:val="true"/>
              </w:rPr>
              <w:t>שירות</w:t>
            </w:r>
            <w:r>
              <w:rPr>
                <w:rFonts w:cs="Times New Roman"/>
                <w:rtl w:val="true"/>
              </w:rPr>
              <w:t xml:space="preserve"> </w:t>
            </w:r>
            <w:r>
              <w:rPr>
                <w:rtl w:val="true"/>
              </w:rPr>
              <w:t>המבחן</w:t>
            </w:r>
            <w:r>
              <w:rPr>
                <w:rtl w:val="true"/>
              </w:rPr>
              <w:t>:</w:t>
            </w:r>
          </w:p>
        </w:tc>
        <w:tc>
          <w:tcPr>
            <w:tcW w:w="5238" w:type="dxa"/>
            <w:tcBorders/>
          </w:tcPr>
          <w:p>
            <w:pPr>
              <w:pStyle w:val="BodyRuller1"/>
              <w:ind w:end="0"/>
              <w:jc w:val="start"/>
              <w:rPr/>
            </w:pPr>
            <w:r>
              <w:rPr>
                <w:rtl w:val="true"/>
              </w:rPr>
              <w:t>גב</w:t>
            </w:r>
            <w:r>
              <w:rPr>
                <w:rtl w:val="true"/>
              </w:rPr>
              <w:t xml:space="preserve">' </w:t>
            </w:r>
            <w:r>
              <w:rPr>
                <w:rtl w:val="true"/>
              </w:rPr>
              <w:t>ברכה</w:t>
            </w:r>
            <w:r>
              <w:rPr>
                <w:rFonts w:cs="Times New Roman"/>
                <w:rtl w:val="true"/>
              </w:rPr>
              <w:t xml:space="preserve"> </w:t>
            </w:r>
            <w:r>
              <w:rPr>
                <w:rtl w:val="true"/>
              </w:rPr>
              <w:t>וייס</w:t>
            </w:r>
          </w:p>
        </w:tc>
      </w:tr>
    </w:tbl>
    <w:p>
      <w:pPr>
        <w:pStyle w:val="Normal"/>
        <w:tabs>
          <w:tab w:val="clear" w:pos="720"/>
          <w:tab w:val="left" w:pos="2552" w:leader="none"/>
        </w:tabs>
        <w:spacing w:lineRule="auto" w:line="360"/>
        <w:ind w:end="0"/>
        <w:jc w:val="start"/>
        <w:rPr/>
      </w:pPr>
      <w:r>
        <w:rPr>
          <w:rtl w:val="true"/>
        </w:rPr>
      </w:r>
      <w:bookmarkStart w:id="7" w:name="LawTable"/>
      <w:bookmarkStart w:id="8" w:name="LawTable"/>
      <w:bookmarkEnd w:id="8"/>
    </w:p>
    <w:p>
      <w:pPr>
        <w:pStyle w:val="Normal"/>
        <w:tabs>
          <w:tab w:val="clear" w:pos="720"/>
          <w:tab w:val="left" w:pos="2552" w:leader="none"/>
        </w:tabs>
        <w:spacing w:lineRule="exact" w:line="240" w:before="0" w:after="120"/>
        <w:ind w:hanging="283" w:start="283" w:end="0"/>
        <w:jc w:val="both"/>
        <w:rPr>
          <w:rFonts w:ascii="FrankRuehl" w:hAnsi="FrankRuehl" w:cs="FrankRuehl"/>
          <w:sz w:val="24"/>
        </w:rPr>
      </w:pPr>
      <w:r>
        <w:rPr>
          <w:rFonts w:ascii="FrankRuehl" w:hAnsi="FrankRuehl" w:cs="FrankRuehl"/>
          <w:sz w:val="24"/>
          <w:sz w:val="24"/>
          <w:rtl w:val="true"/>
        </w:rPr>
        <w:t>חקיקה שאוזכרה</w:t>
      </w:r>
      <w:r>
        <w:rPr>
          <w:rFonts w:cs="FrankRuehl" w:ascii="FrankRuehl" w:hAnsi="FrankRuehl"/>
          <w:sz w:val="24"/>
          <w:rtl w:val="true"/>
        </w:rPr>
        <w:t xml:space="preserve">: </w:t>
      </w:r>
    </w:p>
    <w:p>
      <w:pPr>
        <w:pStyle w:val="Normal"/>
        <w:tabs>
          <w:tab w:val="clear" w:pos="720"/>
          <w:tab w:val="left" w:pos="2552" w:leader="none"/>
        </w:tabs>
        <w:spacing w:lineRule="exact" w:line="240" w:before="0" w:after="120"/>
        <w:ind w:hanging="283" w:start="283" w:end="0"/>
        <w:jc w:val="both"/>
        <w:rPr>
          <w:rFonts w:ascii="FrankRuehl" w:hAnsi="FrankRuehl" w:cs="FrankRuehl"/>
          <w:sz w:val="24"/>
        </w:rPr>
      </w:pPr>
      <w:hyperlink r:id="rId2">
        <w:r>
          <w:rPr>
            <w:rStyle w:val="Hyperlink"/>
            <w:rFonts w:ascii="FrankRuehl" w:hAnsi="FrankRuehl" w:cs="FrankRuehl"/>
            <w:color w:val="0000FF"/>
            <w:sz w:val="24"/>
            <w:sz w:val="24"/>
            <w:u w:val="single"/>
            <w:rtl w:val="true"/>
          </w:rPr>
          <w:t>חוק העונשין</w:t>
        </w:r>
        <w:r>
          <w:rPr>
            <w:rStyle w:val="Hyperlink"/>
            <w:rFonts w:cs="FrankRuehl" w:ascii="FrankRuehl" w:hAnsi="FrankRuehl"/>
            <w:color w:val="0000FF"/>
            <w:sz w:val="24"/>
            <w:u w:val="single"/>
            <w:rtl w:val="true"/>
          </w:rPr>
          <w:t xml:space="preserve">, </w:t>
        </w:r>
        <w:r>
          <w:rPr>
            <w:rStyle w:val="Hyperlink"/>
            <w:rFonts w:ascii="FrankRuehl" w:hAnsi="FrankRuehl" w:cs="FrankRuehl"/>
            <w:color w:val="0000FF"/>
            <w:sz w:val="24"/>
            <w:sz w:val="24"/>
            <w:u w:val="single"/>
            <w:rtl w:val="true"/>
          </w:rPr>
          <w:t>תשל</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ז</w:t>
        </w:r>
        <w:r>
          <w:rPr>
            <w:rStyle w:val="Hyperlink"/>
            <w:rFonts w:cs="FrankRuehl" w:ascii="FrankRuehl" w:hAnsi="FrankRuehl"/>
            <w:color w:val="0000FF"/>
            <w:sz w:val="24"/>
            <w:u w:val="single"/>
            <w:rtl w:val="true"/>
          </w:rPr>
          <w:t>-</w:t>
        </w:r>
        <w:r>
          <w:rPr>
            <w:rStyle w:val="Hyperlink"/>
            <w:rFonts w:cs="FrankRuehl" w:ascii="FrankRuehl" w:hAnsi="FrankRuehl"/>
            <w:color w:val="0000FF"/>
            <w:sz w:val="24"/>
            <w:u w:val="single"/>
          </w:rPr>
          <w:t>1977</w:t>
        </w:r>
      </w:hyperlink>
      <w:r>
        <w:rPr>
          <w:rFonts w:cs="FrankRuehl" w:ascii="FrankRuehl" w:hAnsi="FrankRuehl"/>
          <w:sz w:val="24"/>
          <w:rtl w:val="true"/>
        </w:rPr>
        <w:t xml:space="preserve">: </w:t>
      </w:r>
      <w:r>
        <w:rPr>
          <w:rFonts w:ascii="FrankRuehl" w:hAnsi="FrankRuehl" w:cs="FrankRuehl"/>
          <w:sz w:val="24"/>
          <w:sz w:val="24"/>
          <w:rtl w:val="true"/>
        </w:rPr>
        <w:t>סע</w:t>
      </w:r>
      <w:r>
        <w:rPr>
          <w:rFonts w:cs="FrankRuehl" w:ascii="FrankRuehl" w:hAnsi="FrankRuehl"/>
          <w:sz w:val="24"/>
          <w:rtl w:val="true"/>
        </w:rPr>
        <w:t xml:space="preserve">'  </w:t>
      </w:r>
      <w:hyperlink r:id="rId3">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ד</w:t>
        </w:r>
      </w:hyperlink>
      <w:r>
        <w:rPr>
          <w:rFonts w:cs="FrankRuehl" w:ascii="FrankRuehl" w:hAnsi="FrankRuehl"/>
          <w:sz w:val="24"/>
          <w:rtl w:val="true"/>
        </w:rPr>
        <w:t xml:space="preserve">, </w:t>
      </w:r>
      <w:hyperlink r:id="rId4">
        <w:r>
          <w:rPr>
            <w:rStyle w:val="Hyperlink"/>
            <w:rFonts w:cs="FrankRuehl" w:ascii="FrankRuehl" w:hAnsi="FrankRuehl"/>
            <w:color w:val="0000FF"/>
            <w:sz w:val="24"/>
            <w:u w:val="single"/>
          </w:rPr>
          <w:t>144</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א</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5">
        <w:r>
          <w:rPr>
            <w:rStyle w:val="Hyperlink"/>
            <w:rFonts w:cs="FrankRuehl" w:ascii="FrankRuehl" w:hAnsi="FrankRuehl"/>
            <w:color w:val="0000FF"/>
            <w:sz w:val="24"/>
            <w:u w:val="single"/>
          </w:rPr>
          <w:t>144</w:t>
        </w:r>
        <w:r>
          <w:rPr>
            <w:rStyle w:val="Hyperlink"/>
            <w:rFonts w:cs="FrankRuehl" w:ascii="FrankRuehl" w:hAnsi="FrankRuehl"/>
            <w:color w:val="0000FF"/>
            <w:sz w:val="24"/>
            <w:u w:val="single"/>
            <w:rtl w:val="true"/>
          </w:rPr>
          <w:t xml:space="preserve"> (</w:t>
        </w:r>
        <w:r>
          <w:rPr>
            <w:rStyle w:val="Hyperlink"/>
            <w:rFonts w:ascii="FrankRuehl" w:hAnsi="FrankRuehl" w:cs="FrankRuehl"/>
            <w:color w:val="0000FF"/>
            <w:sz w:val="24"/>
            <w:sz w:val="24"/>
            <w:u w:val="single"/>
            <w:rtl w:val="true"/>
          </w:rPr>
          <w:t>ב</w:t>
        </w:r>
        <w:r>
          <w:rPr>
            <w:rStyle w:val="Hyperlink"/>
            <w:rFonts w:cs="FrankRuehl" w:ascii="FrankRuehl" w:hAnsi="FrankRuehl"/>
            <w:color w:val="0000FF"/>
            <w:sz w:val="24"/>
            <w:u w:val="single"/>
          </w:rPr>
          <w:t>2</w:t>
        </w:r>
        <w:r>
          <w:rPr>
            <w:rStyle w:val="Hyperlink"/>
            <w:rFonts w:cs="FrankRuehl" w:ascii="FrankRuehl" w:hAnsi="FrankRuehl"/>
            <w:color w:val="0000FF"/>
            <w:sz w:val="24"/>
            <w:u w:val="single"/>
            <w:rtl w:val="true"/>
          </w:rPr>
          <w:t>)</w:t>
        </w:r>
      </w:hyperlink>
    </w:p>
    <w:p>
      <w:pPr>
        <w:pStyle w:val="Normal"/>
        <w:tabs>
          <w:tab w:val="clear" w:pos="720"/>
          <w:tab w:val="left" w:pos="2552" w:leader="none"/>
        </w:tabs>
        <w:spacing w:lineRule="exact" w:line="240" w:before="0" w:after="120"/>
        <w:ind w:hanging="283" w:start="283" w:end="0"/>
        <w:jc w:val="both"/>
        <w:rPr>
          <w:rFonts w:ascii="FrankRuehl" w:hAnsi="FrankRuehl" w:cs="FrankRuehl"/>
          <w:sz w:val="24"/>
        </w:rPr>
      </w:pPr>
      <w:r>
        <w:rPr>
          <w:rFonts w:cs="FrankRuehl" w:ascii="FrankRuehl" w:hAnsi="FrankRuehl"/>
          <w:sz w:val="24"/>
          <w:rtl w:val="true"/>
        </w:rPr>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bookmarkStart w:id="9" w:name="ABSTRACT_START"/>
      <w:bookmarkStart w:id="10" w:name="LawTable_End"/>
      <w:bookmarkEnd w:id="9"/>
      <w:bookmarkEnd w:id="10"/>
      <w:r>
        <w:rPr>
          <w:rFonts w:ascii="Times New Roman" w:hAnsi="Times New Roman" w:cs="Times New Roman"/>
          <w:spacing w:val="0"/>
          <w:szCs w:val="26"/>
          <w:rtl w:val="true"/>
        </w:rPr>
        <w:t>מיני</w:t>
      </w:r>
      <w:r>
        <w:rPr>
          <w:rFonts w:cs="Times New Roman" w:ascii="Times New Roman" w:hAnsi="Times New Roman"/>
          <w:spacing w:val="0"/>
          <w:szCs w:val="26"/>
          <w:rtl w:val="true"/>
        </w:rPr>
        <w:t>-</w:t>
      </w:r>
      <w:r>
        <w:rPr>
          <w:rFonts w:ascii="Times New Roman" w:hAnsi="Times New Roman" w:cs="Times New Roman"/>
          <w:spacing w:val="0"/>
          <w:szCs w:val="26"/>
          <w:rtl w:val="true"/>
        </w:rPr>
        <w:t>רציו</w:t>
      </w: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tl w:val="true"/>
        </w:rPr>
        <w:t xml:space="preserve">* </w:t>
      </w:r>
      <w:r>
        <w:rPr>
          <w:rFonts w:ascii="Times New Roman" w:hAnsi="Times New Roman" w:cs="Times New Roman"/>
          <w:spacing w:val="0"/>
          <w:szCs w:val="26"/>
          <w:rtl w:val="true"/>
        </w:rPr>
        <w:t>העונש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שהושת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המערער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בגין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הרשעתו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בעבירות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נשק</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המצוי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ברף</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התחתון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מתחם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העונש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ההולם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אינו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חורג</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מרף</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הענישה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המקובל</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זאת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יש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הצדקה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לסטות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מהמתחם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שנקבע</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נוכח</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פוטנציאל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שיקומי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גבוה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במיוחד</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ולפיכך</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בימ</w:t>
      </w:r>
      <w:r>
        <w:rPr>
          <w:rFonts w:cs="Times New Roman" w:ascii="Times New Roman" w:hAnsi="Times New Roman"/>
          <w:spacing w:val="0"/>
          <w:szCs w:val="26"/>
          <w:rtl w:val="true"/>
        </w:rPr>
        <w:t>"</w:t>
      </w:r>
      <w:r>
        <w:rPr>
          <w:rFonts w:ascii="Times New Roman" w:hAnsi="Times New Roman" w:cs="Times New Roman"/>
          <w:spacing w:val="0"/>
          <w:szCs w:val="26"/>
          <w:rtl w:val="true"/>
        </w:rPr>
        <w:t>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העליון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התערב</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והפחית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עונש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המאסר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בפועל</w:t>
      </w: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עונשין – ענישה – מדיניות ענישה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שיקום</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עונשין – ענישה – מתחם הענישה</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עונשין – ענישה – מדיניות ענישה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שיקולים לקולה</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עונשין – ענישה – התערבות ערכאת הערעור</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ascii="Times New Roman" w:hAnsi="Times New Roman" w:cs="Times New Roman"/>
          <w:spacing w:val="0"/>
          <w:szCs w:val="26"/>
          <w:rtl w:val="true"/>
        </w:rPr>
        <w:t>המערער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הורשע</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בבימ</w:t>
      </w:r>
      <w:r>
        <w:rPr>
          <w:rFonts w:cs="Times New Roman" w:ascii="Times New Roman" w:hAnsi="Times New Roman"/>
          <w:spacing w:val="0"/>
          <w:szCs w:val="26"/>
          <w:rtl w:val="true"/>
        </w:rPr>
        <w:t>"</w:t>
      </w:r>
      <w:r>
        <w:rPr>
          <w:rFonts w:ascii="Times New Roman" w:hAnsi="Times New Roman" w:cs="Times New Roman"/>
          <w:spacing w:val="0"/>
          <w:szCs w:val="26"/>
          <w:rtl w:val="true"/>
        </w:rPr>
        <w:t>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המחוזי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יסוד</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הודאתו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במסגרת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הסדר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טיעון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בעובדות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כתב</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אישום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מתוקן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בעבירת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החזקת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נשק</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ובעבירת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סחר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בנשק</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בימ</w:t>
      </w:r>
      <w:r>
        <w:rPr>
          <w:rFonts w:cs="Times New Roman" w:ascii="Times New Roman" w:hAnsi="Times New Roman"/>
          <w:spacing w:val="0"/>
          <w:szCs w:val="26"/>
          <w:rtl w:val="true"/>
        </w:rPr>
        <w:t>"</w:t>
      </w:r>
      <w:r>
        <w:rPr>
          <w:rFonts w:ascii="Times New Roman" w:hAnsi="Times New Roman" w:cs="Times New Roman"/>
          <w:spacing w:val="0"/>
          <w:szCs w:val="26"/>
          <w:rtl w:val="true"/>
        </w:rPr>
        <w:t>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המחוזי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גזר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המערער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עונש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של</w:t>
      </w:r>
      <w:r>
        <w:rPr>
          <w:rFonts w:ascii="Times New Roman" w:hAnsi="Times New Roman" w:cs="Times New Roman"/>
          <w:spacing w:val="0"/>
          <w:szCs w:val="26"/>
          <w:rtl w:val="true"/>
        </w:rPr>
        <w:t xml:space="preserve"> </w:t>
      </w:r>
      <w:r>
        <w:rPr>
          <w:rFonts w:cs="Times New Roman" w:ascii="Times New Roman" w:hAnsi="Times New Roman"/>
          <w:spacing w:val="0"/>
          <w:szCs w:val="26"/>
        </w:rPr>
        <w:t>22</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חודשי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מאסר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בפועל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ו</w:t>
      </w:r>
      <w:r>
        <w:rPr>
          <w:rFonts w:cs="Times New Roman" w:ascii="Times New Roman" w:hAnsi="Times New Roman"/>
          <w:spacing w:val="0"/>
          <w:szCs w:val="26"/>
          <w:rtl w:val="true"/>
        </w:rPr>
        <w:t>-</w:t>
      </w:r>
      <w:r>
        <w:rPr>
          <w:rFonts w:cs="Times New Roman" w:ascii="Times New Roman" w:hAnsi="Times New Roman"/>
          <w:spacing w:val="0"/>
          <w:szCs w:val="26"/>
        </w:rPr>
        <w:t>12</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חודשי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מאסר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תנאי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למשך</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שלוש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שנים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מיום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שחרורו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מהמאסר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שלא</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יעבור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עבירת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נשק</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מסוג</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פשע</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הערעור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נסב</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גזר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הדין</w:t>
      </w:r>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ascii="Times New Roman" w:hAnsi="Times New Roman" w:cs="Times New Roman"/>
          <w:spacing w:val="0"/>
          <w:szCs w:val="26"/>
          <w:rtl w:val="true"/>
        </w:rPr>
        <w:t>בית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המשפט</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העליון</w:t>
      </w:r>
      <w:r>
        <w:rPr>
          <w:rFonts w:ascii="Times New Roman" w:hAnsi="Times New Roman" w:cs="Times New Roman"/>
          <w:spacing w:val="0"/>
          <w:szCs w:val="26"/>
          <w:rtl w:val="true"/>
        </w:rPr>
        <w:t xml:space="preserve"> </w:t>
      </w:r>
      <w:r>
        <w:rPr>
          <w:rFonts w:cs="Times New Roman" w:ascii="Times New Roman" w:hAnsi="Times New Roman"/>
          <w:spacing w:val="0"/>
          <w:szCs w:val="26"/>
          <w:rtl w:val="true"/>
        </w:rPr>
        <w:t>(</w:t>
      </w:r>
      <w:r>
        <w:rPr>
          <w:rFonts w:ascii="Times New Roman" w:hAnsi="Times New Roman" w:cs="Times New Roman"/>
          <w:spacing w:val="0"/>
          <w:szCs w:val="26"/>
          <w:rtl w:val="true"/>
        </w:rPr>
        <w:t>מפי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השופט</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ג</w:t>
      </w:r>
      <w:r>
        <w:rPr>
          <w:rFonts w:cs="Times New Roman" w:ascii="Times New Roman" w:hAnsi="Times New Roman"/>
          <w:spacing w:val="0"/>
          <w:szCs w:val="26"/>
          <w:rtl w:val="true"/>
        </w:rPr>
        <w:t>'</w:t>
      </w:r>
      <w:r>
        <w:rPr>
          <w:rFonts w:ascii="Times New Roman" w:hAnsi="Times New Roman" w:cs="Times New Roman"/>
          <w:spacing w:val="0"/>
          <w:szCs w:val="26"/>
          <w:rtl w:val="true"/>
        </w:rPr>
        <w:t>ובראן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ובהסכמת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השופטים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עמית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וסולברג</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קיבל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הערעור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בחלקו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ופסק</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כי</w:t>
      </w: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ascii="Times New Roman" w:hAnsi="Times New Roman" w:cs="Times New Roman"/>
          <w:spacing w:val="0"/>
          <w:szCs w:val="26"/>
          <w:rtl w:val="true"/>
        </w:rPr>
        <w:t>לאחר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תיקון</w:t>
      </w:r>
      <w:r>
        <w:rPr>
          <w:rFonts w:ascii="Times New Roman" w:hAnsi="Times New Roman" w:cs="Times New Roman"/>
          <w:spacing w:val="0"/>
          <w:szCs w:val="26"/>
          <w:rtl w:val="true"/>
        </w:rPr>
        <w:t xml:space="preserve"> </w:t>
      </w:r>
      <w:r>
        <w:rPr>
          <w:rFonts w:cs="Times New Roman" w:ascii="Times New Roman" w:hAnsi="Times New Roman"/>
          <w:spacing w:val="0"/>
          <w:szCs w:val="26"/>
        </w:rPr>
        <w:t>113</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לחוק</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העונשין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גזירת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העונש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נחלקת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לשלושה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שלבים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בשלב</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ראשון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נקבע</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מתחם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העונש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ההולם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העבירה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נסיבותיה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בשלב</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שני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נבחנת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השאלה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האם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יש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מקום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לחרוג</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ממתחם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זה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לנוכח</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קיומו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פוטנציאל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שיקומי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משמעותי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צורך</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מיוחד</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בהגנה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הציבור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בשלב</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שלישי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ככל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שלא</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מצא</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בימ</w:t>
      </w:r>
      <w:r>
        <w:rPr>
          <w:rFonts w:cs="Times New Roman" w:ascii="Times New Roman" w:hAnsi="Times New Roman"/>
          <w:spacing w:val="0"/>
          <w:szCs w:val="26"/>
          <w:rtl w:val="true"/>
        </w:rPr>
        <w:t>"</w:t>
      </w:r>
      <w:r>
        <w:rPr>
          <w:rFonts w:ascii="Times New Roman" w:hAnsi="Times New Roman" w:cs="Times New Roman"/>
          <w:spacing w:val="0"/>
          <w:szCs w:val="26"/>
          <w:rtl w:val="true"/>
        </w:rPr>
        <w:t>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להעדיף</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שיקולי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שיקום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הגנה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הציבור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קובע</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הוא</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העונש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בתוך</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המתחם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שקבע</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גם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לאחר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תיקון</w:t>
      </w:r>
      <w:r>
        <w:rPr>
          <w:rFonts w:ascii="Times New Roman" w:hAnsi="Times New Roman" w:cs="Times New Roman"/>
          <w:spacing w:val="0"/>
          <w:szCs w:val="26"/>
          <w:rtl w:val="true"/>
        </w:rPr>
        <w:t xml:space="preserve"> </w:t>
      </w:r>
      <w:r>
        <w:rPr>
          <w:rFonts w:cs="Times New Roman" w:ascii="Times New Roman" w:hAnsi="Times New Roman"/>
          <w:spacing w:val="0"/>
          <w:szCs w:val="26"/>
        </w:rPr>
        <w:t>113</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עומדת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מכונה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ההלכה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לפיה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אין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ערכאת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הערעור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מתערבת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בחומרת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העונש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שנקבע</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ידי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הערכאה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הדיונית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אלא</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במקרים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חריגים</w:t>
      </w: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ascii="Times New Roman" w:hAnsi="Times New Roman" w:cs="Times New Roman"/>
          <w:spacing w:val="0"/>
          <w:szCs w:val="26"/>
          <w:rtl w:val="true"/>
        </w:rPr>
        <w:t>במקרה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דנן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העונש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אינו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חורג</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מרף</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הענישה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המקובל</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בימ</w:t>
      </w:r>
      <w:r>
        <w:rPr>
          <w:rFonts w:cs="Times New Roman" w:ascii="Times New Roman" w:hAnsi="Times New Roman"/>
          <w:spacing w:val="0"/>
          <w:szCs w:val="26"/>
          <w:rtl w:val="true"/>
        </w:rPr>
        <w:t>"</w:t>
      </w:r>
      <w:r>
        <w:rPr>
          <w:rFonts w:ascii="Times New Roman" w:hAnsi="Times New Roman" w:cs="Times New Roman"/>
          <w:spacing w:val="0"/>
          <w:szCs w:val="26"/>
          <w:rtl w:val="true"/>
        </w:rPr>
        <w:t>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המחוזי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שקל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לקולה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התהליך</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השיקומי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אותו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עבר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וקבע</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עונשו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ברף</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הנמוך</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המתחם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לצד</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זאת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תסקיר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המבחן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שנערך</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לאחר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מתן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גזר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הדין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מצביע</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פוטנציאל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שיקומי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גבוה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במיוחד</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המצדיק</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סטייה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מהמתחם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שנקבע</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באופן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שמצדיק</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התערבות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ערכאת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הערעור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שירות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המבחן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המליץ</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להשית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המערער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עונש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מאסר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שיבוצע</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בעבודות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שירות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כמו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כן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המערער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משתף</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פעולה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שירות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המבחן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שמעיד</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רצונו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להשתקם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מהתסקיר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נראה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גם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כי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היום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בניגוד</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לעבר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רואה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המערער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היתרונות</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בניהול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אורח</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חיים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נורמטיבי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אלו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לצד</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החרטה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שהביע</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מעשיו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מביאים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למסקנה</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כי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למערער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סיכוי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ממש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להשתקם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באופן</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המצדיק</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לחרוג</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מהמתחם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שנקבע</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לפיכך</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עונשו</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של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המערער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יעמוד</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cs="Times New Roman" w:ascii="Times New Roman" w:hAnsi="Times New Roman"/>
          <w:spacing w:val="0"/>
          <w:szCs w:val="26"/>
        </w:rPr>
        <w:t>16</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חודשים</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חודשי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מאסר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בפועל</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עונש</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המאסר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על</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תנאי</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נותר</w:t>
      </w:r>
      <w:r>
        <w:rPr>
          <w:rFonts w:ascii="Times New Roman" w:hAnsi="Times New Roman" w:cs="Times New Roman"/>
          <w:spacing w:val="0"/>
          <w:szCs w:val="26"/>
          <w:rtl w:val="true"/>
        </w:rPr>
        <w:t xml:space="preserve"> </w:t>
      </w:r>
      <w:r>
        <w:rPr>
          <w:rFonts w:ascii="Times New Roman" w:hAnsi="Times New Roman" w:cs="Times New Roman"/>
          <w:spacing w:val="0"/>
          <w:szCs w:val="26"/>
          <w:rtl w:val="true"/>
        </w:rPr>
        <w:t>בעינו</w:t>
      </w:r>
      <w:r>
        <w:rPr>
          <w:rFonts w:cs="Times New Roman" w:ascii="Times New Roman" w:hAnsi="Times New Roman"/>
          <w:spacing w:val="0"/>
          <w:szCs w:val="26"/>
          <w:rtl w:val="true"/>
        </w:rPr>
        <w:t>.</w:t>
      </w:r>
    </w:p>
    <w:p>
      <w:pPr>
        <w:pStyle w:val="Normal"/>
        <w:tabs>
          <w:tab w:val="clear" w:pos="720"/>
          <w:tab w:val="left" w:pos="2552" w:leader="none"/>
        </w:tabs>
        <w:spacing w:lineRule="auto" w:line="360"/>
        <w:ind w:end="0"/>
        <w:jc w:val="start"/>
        <w:rPr>
          <w:rFonts w:ascii="Times New Roman" w:hAnsi="Times New Roman" w:cs="Times New Roman"/>
          <w:spacing w:val="0"/>
          <w:szCs w:val="26"/>
        </w:rPr>
      </w:pPr>
      <w:r>
        <w:rPr>
          <w:rFonts w:cs="Times New Roman"/>
          <w:spacing w:val="0"/>
          <w:szCs w:val="26"/>
          <w:rtl w:val="true"/>
        </w:rPr>
      </w:r>
      <w:bookmarkStart w:id="11" w:name="ABSTRACT_END"/>
      <w:bookmarkStart w:id="12" w:name="ABSTRACT_END"/>
      <w:bookmarkEnd w:id="12"/>
    </w:p>
    <w:tbl>
      <w:tblPr>
        <w:bidiVisual w:val="true"/>
        <w:tblW w:w="8522" w:type="dxa"/>
        <w:jc w:val="end"/>
        <w:tblInd w:w="0" w:type="dxa"/>
        <w:tblLayout w:type="fixed"/>
        <w:tblCellMar>
          <w:top w:w="0" w:type="dxa"/>
          <w:start w:w="108" w:type="dxa"/>
          <w:bottom w:w="0" w:type="dxa"/>
          <w:end w:w="108" w:type="dxa"/>
        </w:tblCellMar>
      </w:tblPr>
      <w:tblGrid>
        <w:gridCol w:w="8522"/>
      </w:tblGrid>
      <w:tr>
        <w:trPr/>
        <w:tc>
          <w:tcPr>
            <w:tcW w:w="8522" w:type="dxa"/>
            <w:tcBorders/>
          </w:tcPr>
          <w:p>
            <w:pPr>
              <w:pStyle w:val="DocumentHead"/>
              <w:ind w:end="0"/>
              <w:jc w:val="center"/>
              <w:rPr>
                <w:u w:val="none"/>
              </w:rPr>
            </w:pPr>
            <w:bookmarkStart w:id="13" w:name="PsakDin"/>
            <w:bookmarkStart w:id="14" w:name="secretary"/>
            <w:bookmarkStart w:id="15" w:name="BeginProtocol"/>
            <w:bookmarkEnd w:id="13"/>
            <w:bookmarkEnd w:id="14"/>
            <w:bookmarkEnd w:id="15"/>
            <w:r>
              <w:rPr>
                <w:u w:val="none"/>
                <w:rtl w:val="true"/>
              </w:rPr>
              <w:t>פסק</w:t>
            </w:r>
            <w:r>
              <w:rPr>
                <w:u w:val="none"/>
                <w:rtl w:val="true"/>
              </w:rPr>
              <w:t>-</w:t>
            </w:r>
            <w:r>
              <w:rPr>
                <w:u w:val="none"/>
                <w:rtl w:val="true"/>
              </w:rPr>
              <w:t>דין</w:t>
            </w:r>
          </w:p>
        </w:tc>
      </w:tr>
    </w:tbl>
    <w:p>
      <w:pPr>
        <w:pStyle w:val="BODYVERDICT"/>
        <w:ind w:end="0"/>
        <w:jc w:val="start"/>
        <w:rPr/>
      </w:pPr>
      <w:r>
        <w:rPr>
          <w:rtl w:val="true"/>
        </w:rPr>
      </w:r>
    </w:p>
    <w:p>
      <w:pPr>
        <w:pStyle w:val="BODYVERDICT"/>
        <w:ind w:end="0"/>
        <w:jc w:val="start"/>
        <w:rPr>
          <w:rFonts w:cs="Miriam;Lucida Sans Unicode"/>
          <w:sz w:val="24"/>
          <w:szCs w:val="24"/>
        </w:rPr>
      </w:pPr>
      <w:bookmarkStart w:id="16" w:name="Writer_Name"/>
      <w:bookmarkEnd w:id="16"/>
      <w:r>
        <w:rPr>
          <w:rFonts w:cs="Miriam;Lucida Sans Unicode"/>
          <w:sz w:val="24"/>
          <w:sz w:val="24"/>
          <w:szCs w:val="24"/>
          <w:u w:val="single"/>
          <w:rtl w:val="true"/>
        </w:rPr>
        <w:t>השופט</w:t>
      </w:r>
      <w:r>
        <w:rPr>
          <w:rFonts w:cs="Times New Roman"/>
          <w:sz w:val="24"/>
          <w:sz w:val="24"/>
          <w:szCs w:val="24"/>
          <w:u w:val="single"/>
          <w:rtl w:val="true"/>
        </w:rPr>
        <w:t xml:space="preserve"> </w:t>
      </w:r>
      <w:r>
        <w:rPr>
          <w:rFonts w:cs="Miriam;Lucida Sans Unicode"/>
          <w:sz w:val="24"/>
          <w:sz w:val="24"/>
          <w:szCs w:val="24"/>
          <w:u w:val="single"/>
          <w:rtl w:val="true"/>
        </w:rPr>
        <w:t>ס</w:t>
      </w:r>
      <w:r>
        <w:rPr>
          <w:rFonts w:cs="Miriam;Lucida Sans Unicode"/>
          <w:sz w:val="24"/>
          <w:szCs w:val="24"/>
          <w:u w:val="single"/>
          <w:rtl w:val="true"/>
        </w:rPr>
        <w:t xml:space="preserve">' </w:t>
      </w:r>
      <w:r>
        <w:rPr>
          <w:rFonts w:cs="Miriam;Lucida Sans Unicode"/>
          <w:sz w:val="24"/>
          <w:sz w:val="24"/>
          <w:szCs w:val="24"/>
          <w:u w:val="single"/>
          <w:rtl w:val="true"/>
        </w:rPr>
        <w:t>ג</w:t>
      </w:r>
      <w:r>
        <w:rPr>
          <w:rFonts w:cs="Miriam;Lucida Sans Unicode"/>
          <w:sz w:val="24"/>
          <w:szCs w:val="24"/>
          <w:u w:val="single"/>
          <w:rtl w:val="true"/>
        </w:rPr>
        <w:t>'</w:t>
      </w:r>
      <w:r>
        <w:rPr>
          <w:rFonts w:cs="Miriam;Lucida Sans Unicode"/>
          <w:sz w:val="24"/>
          <w:sz w:val="24"/>
          <w:szCs w:val="24"/>
          <w:u w:val="single"/>
          <w:rtl w:val="true"/>
        </w:rPr>
        <w:t>ובראן</w:t>
      </w:r>
      <w:r>
        <w:rPr>
          <w:rFonts w:cs="Miriam;Lucida Sans Unicode"/>
          <w:sz w:val="24"/>
          <w:szCs w:val="24"/>
          <w:rtl w:val="true"/>
        </w:rPr>
        <w:t>:</w:t>
      </w:r>
    </w:p>
    <w:p>
      <w:pPr>
        <w:pStyle w:val="Ruller41"/>
        <w:ind w:end="0"/>
        <w:jc w:val="both"/>
        <w:rPr>
          <w:rFonts w:cs="Miriam;Lucida Sans Unicode"/>
          <w:sz w:val="24"/>
          <w:szCs w:val="24"/>
        </w:rPr>
      </w:pPr>
      <w:r>
        <w:rPr>
          <w:rFonts w:cs="Miriam;Lucida Sans Unicode"/>
          <w:sz w:val="24"/>
          <w:szCs w:val="24"/>
          <w:rtl w:val="true"/>
        </w:rPr>
      </w:r>
      <w:bookmarkStart w:id="17" w:name="Start_Write"/>
      <w:bookmarkStart w:id="18" w:name="Start_Write"/>
      <w:bookmarkEnd w:id="18"/>
    </w:p>
    <w:p>
      <w:pPr>
        <w:pStyle w:val="Ruller42"/>
        <w:numPr>
          <w:ilvl w:val="0"/>
          <w:numId w:val="2"/>
        </w:numPr>
        <w:ind w:end="0"/>
        <w:jc w:val="both"/>
        <w:rPr/>
      </w:pPr>
      <w:r>
        <w:rPr>
          <w:rtl w:val="true"/>
        </w:rPr>
        <w:t xml:space="preserve">לפנינו ערעור על גזר דינו של בית המשפט המחוזי בבאר שבע </w:t>
      </w:r>
      <w:r>
        <w:rPr>
          <w:rtl w:val="true"/>
        </w:rPr>
        <w:t>(</w:t>
      </w:r>
      <w:r>
        <w:rPr>
          <w:rtl w:val="true"/>
        </w:rPr>
        <w:t xml:space="preserve">השופט </w:t>
      </w:r>
      <w:r>
        <w:rPr>
          <w:rFonts w:cs="Miriam;Lucida Sans Unicode"/>
          <w:b/>
          <w:b/>
          <w:spacing w:val="0"/>
          <w:szCs w:val="24"/>
          <w:rtl w:val="true"/>
        </w:rPr>
        <w:t>א</w:t>
      </w:r>
      <w:r>
        <w:rPr>
          <w:rFonts w:cs="Miriam;Lucida Sans Unicode"/>
          <w:b/>
          <w:spacing w:val="0"/>
          <w:szCs w:val="24"/>
          <w:rtl w:val="true"/>
        </w:rPr>
        <w:t xml:space="preserve">' </w:t>
      </w:r>
      <w:r>
        <w:rPr>
          <w:rFonts w:cs="Miriam;Lucida Sans Unicode"/>
          <w:b/>
          <w:b/>
          <w:spacing w:val="0"/>
          <w:szCs w:val="24"/>
          <w:rtl w:val="true"/>
        </w:rPr>
        <w:t>ביתן</w:t>
      </w:r>
      <w:r>
        <w:rPr>
          <w:rtl w:val="true"/>
        </w:rPr>
        <w:t xml:space="preserve">) </w:t>
      </w:r>
      <w:r>
        <w:rPr>
          <w:rtl w:val="true"/>
        </w:rPr>
        <w:t>ב</w:t>
      </w:r>
      <w:r>
        <w:rPr>
          <w:rtl w:val="true"/>
        </w:rPr>
        <w:t>ת</w:t>
      </w:r>
      <w:r>
        <w:rPr>
          <w:rtl w:val="true"/>
        </w:rPr>
        <w:t>"</w:t>
      </w:r>
      <w:r>
        <w:rPr>
          <w:rtl w:val="true"/>
        </w:rPr>
        <w:t>פ</w:t>
      </w:r>
      <w:r>
        <w:rPr>
          <w:rtl w:val="true"/>
        </w:rPr>
        <w:t xml:space="preserve"> </w:t>
      </w:r>
      <w:r>
        <w:rPr/>
        <w:t>39259-01-13</w:t>
      </w:r>
      <w:r>
        <w:rPr>
          <w:rtl w:val="true"/>
        </w:rPr>
        <w:t xml:space="preserve"> </w:t>
      </w:r>
      <w:r>
        <w:rPr>
          <w:rtl w:val="true"/>
        </w:rPr>
        <w:t xml:space="preserve">מיום </w:t>
      </w:r>
      <w:r>
        <w:rPr/>
        <w:t>14.01.2014</w:t>
      </w:r>
      <w:r>
        <w:rPr>
          <w:rtl w:val="true"/>
        </w:rPr>
        <w:t xml:space="preserve">, </w:t>
      </w:r>
      <w:r>
        <w:rPr>
          <w:rtl w:val="true"/>
        </w:rPr>
        <w:t xml:space="preserve">במסגרתו הושת על המערער עונש של </w:t>
      </w:r>
      <w:r>
        <w:rPr/>
        <w:t>22</w:t>
      </w:r>
      <w:r>
        <w:rPr>
          <w:rtl w:val="true"/>
        </w:rPr>
        <w:t xml:space="preserve"> </w:t>
      </w:r>
      <w:r>
        <w:rPr>
          <w:rtl w:val="true"/>
        </w:rPr>
        <w:t>חודשי מאסר בפועל ו</w:t>
      </w:r>
      <w:r>
        <w:rPr>
          <w:rtl w:val="true"/>
        </w:rPr>
        <w:t>-</w:t>
      </w:r>
      <w:r>
        <w:rPr/>
        <w:t>12</w:t>
      </w:r>
      <w:r>
        <w:rPr>
          <w:rtl w:val="true"/>
        </w:rPr>
        <w:t xml:space="preserve"> </w:t>
      </w:r>
      <w:r>
        <w:rPr>
          <w:rtl w:val="true"/>
        </w:rPr>
        <w:t>חודשי מאסר על תנאי למשך שלוש שנים מיום שחרורו מהמאסר שלא יעבור עבירת נשק מסוג פשע</w:t>
      </w:r>
      <w:r>
        <w:rPr>
          <w:rtl w:val="true"/>
        </w:rPr>
        <w:t xml:space="preserve">. </w:t>
      </w:r>
    </w:p>
    <w:p>
      <w:pPr>
        <w:pStyle w:val="Ruller41"/>
        <w:ind w:end="0"/>
        <w:jc w:val="both"/>
        <w:rPr/>
      </w:pPr>
      <w:r>
        <w:rPr>
          <w:rtl w:val="true"/>
        </w:rPr>
      </w:r>
    </w:p>
    <w:p>
      <w:pPr>
        <w:pStyle w:val="Ruller41"/>
        <w:ind w:end="0"/>
        <w:jc w:val="both"/>
        <w:rPr>
          <w:rFonts w:ascii="Century" w:hAnsi="Century"/>
          <w:b/>
          <w:spacing w:val="0"/>
          <w:szCs w:val="24"/>
        </w:rPr>
      </w:pPr>
      <w:r>
        <w:rPr>
          <w:rFonts w:ascii="Century" w:hAnsi="Century" w:cs="Miriam;Lucida Sans Unicode"/>
          <w:b/>
          <w:b/>
          <w:spacing w:val="0"/>
          <w:szCs w:val="24"/>
          <w:rtl w:val="true"/>
        </w:rPr>
        <w:t>כתב</w:t>
      </w:r>
      <w:r>
        <w:rPr>
          <w:rFonts w:ascii="Century" w:hAnsi="Century" w:eastAsia="Century" w:cs="Century"/>
          <w:b/>
          <w:b/>
          <w:spacing w:val="0"/>
          <w:szCs w:val="24"/>
          <w:rtl w:val="true"/>
        </w:rPr>
        <w:t xml:space="preserve"> </w:t>
      </w:r>
      <w:r>
        <w:rPr>
          <w:rFonts w:ascii="Century" w:hAnsi="Century" w:cs="Miriam;Lucida Sans Unicode"/>
          <w:b/>
          <w:b/>
          <w:spacing w:val="0"/>
          <w:szCs w:val="24"/>
          <w:rtl w:val="true"/>
        </w:rPr>
        <w:t>האישום</w:t>
      </w:r>
    </w:p>
    <w:p>
      <w:pPr>
        <w:pStyle w:val="Ruller41"/>
        <w:spacing w:lineRule="auto" w:line="240"/>
        <w:ind w:end="0"/>
        <w:jc w:val="both"/>
        <w:rPr>
          <w:rFonts w:ascii="Century" w:hAnsi="Century" w:cs="Miriam;Lucida Sans Unicode"/>
          <w:b/>
          <w:spacing w:val="0"/>
          <w:szCs w:val="24"/>
        </w:rPr>
      </w:pPr>
      <w:r>
        <w:rPr>
          <w:rFonts w:cs="Miriam;Lucida Sans Unicode" w:ascii="Century" w:hAnsi="Century"/>
          <w:b/>
          <w:spacing w:val="0"/>
          <w:szCs w:val="24"/>
          <w:rtl w:val="true"/>
        </w:rPr>
      </w:r>
    </w:p>
    <w:p>
      <w:pPr>
        <w:pStyle w:val="Ruller42"/>
        <w:numPr>
          <w:ilvl w:val="0"/>
          <w:numId w:val="2"/>
        </w:numPr>
        <w:ind w:end="0"/>
        <w:jc w:val="both"/>
        <w:rPr/>
      </w:pPr>
      <w:r>
        <w:rPr>
          <w:rtl w:val="true"/>
        </w:rPr>
        <w:t>המערער הורשע על יסוד הודאתו במסגרת הסדר טיעון בעובדות כתב אישום מתוקן בעבירת החזקת נשק</w:t>
      </w:r>
      <w:r>
        <w:rPr>
          <w:rtl w:val="true"/>
        </w:rPr>
        <w:t xml:space="preserve">, </w:t>
      </w:r>
      <w:r>
        <w:rPr>
          <w:rtl w:val="true"/>
        </w:rPr>
        <w:t xml:space="preserve">לפי </w:t>
      </w:r>
      <w:hyperlink r:id="rId6">
        <w:r>
          <w:rPr>
            <w:rStyle w:val="Hyperlink"/>
            <w:color w:val="0000FF"/>
            <w:u w:val="single"/>
            <w:rtl w:val="true"/>
          </w:rPr>
          <w:t>סעיף</w:t>
        </w:r>
        <w:r>
          <w:rPr>
            <w:rStyle w:val="Hyperlink"/>
            <w:color w:val="0000FF"/>
            <w:u w:val="single"/>
            <w:rtl w:val="true"/>
          </w:rPr>
          <w:t xml:space="preserve"> </w:t>
        </w:r>
        <w:r>
          <w:rPr>
            <w:rStyle w:val="Hyperlink"/>
            <w:color w:val="0000FF"/>
            <w:u w:val="single"/>
          </w:rPr>
          <w:t>144</w:t>
        </w:r>
        <w:r>
          <w:rPr>
            <w:rStyle w:val="Hyperlink"/>
            <w:color w:val="0000FF"/>
            <w:u w:val="single"/>
            <w:rtl w:val="true"/>
          </w:rPr>
          <w:t>(</w:t>
        </w:r>
        <w:r>
          <w:rPr>
            <w:rStyle w:val="Hyperlink"/>
            <w:color w:val="0000FF"/>
            <w:u w:val="single"/>
            <w:rtl w:val="true"/>
          </w:rPr>
          <w:t>א</w:t>
        </w:r>
        <w:r>
          <w:rPr>
            <w:rStyle w:val="Hyperlink"/>
            <w:color w:val="0000FF"/>
            <w:u w:val="single"/>
            <w:rtl w:val="true"/>
          </w:rPr>
          <w:t>)</w:t>
        </w:r>
      </w:hyperlink>
      <w:r>
        <w:rPr>
          <w:rtl w:val="true"/>
        </w:rPr>
        <w:t xml:space="preserve"> </w:t>
      </w:r>
      <w:r>
        <w:rPr>
          <w:rtl w:val="true"/>
        </w:rPr>
        <w:t>ל</w:t>
      </w:r>
      <w:hyperlink r:id="rId7">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התשל</w:t>
      </w:r>
      <w:r>
        <w:rPr>
          <w:rtl w:val="true"/>
        </w:rPr>
        <w:t>"</w:t>
      </w:r>
      <w:r>
        <w:rPr>
          <w:rtl w:val="true"/>
        </w:rPr>
        <w:t>ז</w:t>
      </w:r>
      <w:r>
        <w:rPr>
          <w:rtl w:val="true"/>
        </w:rPr>
        <w:t>-</w:t>
      </w:r>
      <w:r>
        <w:rPr/>
        <w:t>1977</w:t>
      </w:r>
      <w:r>
        <w:rPr>
          <w:rtl w:val="true"/>
        </w:rPr>
        <w:t xml:space="preserve"> (</w:t>
      </w:r>
      <w:r>
        <w:rPr>
          <w:rtl w:val="true"/>
        </w:rPr>
        <w:t>להלן</w:t>
      </w:r>
      <w:r>
        <w:rPr>
          <w:rtl w:val="true"/>
        </w:rPr>
        <w:t xml:space="preserve">: </w:t>
      </w:r>
      <w:r>
        <w:rPr>
          <w:rFonts w:ascii="Century" w:hAnsi="Century" w:cs="Miriam;Lucida Sans Unicode"/>
          <w:b/>
          <w:b/>
          <w:spacing w:val="0"/>
          <w:sz w:val="22"/>
          <w:sz w:val="22"/>
          <w:szCs w:val="24"/>
          <w:rtl w:val="true"/>
        </w:rPr>
        <w:t>חוק</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העונשין</w:t>
      </w:r>
      <w:r>
        <w:rPr>
          <w:rFonts w:cs="Miriam;Lucida Sans Unicode" w:ascii="Century" w:hAnsi="Century"/>
          <w:b/>
          <w:spacing w:val="0"/>
          <w:sz w:val="22"/>
          <w:szCs w:val="24"/>
          <w:rtl w:val="true"/>
        </w:rPr>
        <w:t>)</w:t>
      </w:r>
      <w:r>
        <w:rPr>
          <w:rFonts w:cs="Century" w:ascii="Century" w:hAnsi="Century"/>
          <w:sz w:val="22"/>
          <w:rtl w:val="true"/>
        </w:rPr>
        <w:t xml:space="preserve"> </w:t>
      </w:r>
      <w:r>
        <w:rPr>
          <w:rFonts w:ascii="Century" w:hAnsi="Century" w:cs="Century"/>
          <w:sz w:val="22"/>
          <w:sz w:val="22"/>
          <w:rtl w:val="true"/>
        </w:rPr>
        <w:t>ובעבירת</w:t>
      </w:r>
      <w:r>
        <w:rPr>
          <w:rtl w:val="true"/>
        </w:rPr>
        <w:t xml:space="preserve"> סחר בנשק</w:t>
      </w:r>
      <w:r>
        <w:rPr>
          <w:rtl w:val="true"/>
        </w:rPr>
        <w:t xml:space="preserve">, </w:t>
      </w:r>
      <w:r>
        <w:rPr>
          <w:rtl w:val="true"/>
        </w:rPr>
        <w:t xml:space="preserve">לפי </w:t>
      </w:r>
      <w:hyperlink r:id="rId8">
        <w:r>
          <w:rPr>
            <w:rStyle w:val="Hyperlink"/>
            <w:color w:val="0000FF"/>
            <w:u w:val="single"/>
            <w:rtl w:val="true"/>
          </w:rPr>
          <w:t>סעיף</w:t>
        </w:r>
        <w:r>
          <w:rPr>
            <w:rStyle w:val="Hyperlink"/>
            <w:color w:val="0000FF"/>
            <w:u w:val="single"/>
            <w:rtl w:val="true"/>
          </w:rPr>
          <w:t xml:space="preserve"> </w:t>
        </w:r>
        <w:r>
          <w:rPr>
            <w:rStyle w:val="Hyperlink"/>
            <w:color w:val="0000FF"/>
            <w:u w:val="single"/>
          </w:rPr>
          <w:t>144</w:t>
        </w:r>
        <w:r>
          <w:rPr>
            <w:rStyle w:val="Hyperlink"/>
            <w:color w:val="0000FF"/>
            <w:u w:val="single"/>
            <w:rtl w:val="true"/>
          </w:rPr>
          <w:t xml:space="preserve"> (</w:t>
        </w:r>
        <w:r>
          <w:rPr>
            <w:rStyle w:val="Hyperlink"/>
            <w:color w:val="0000FF"/>
            <w:u w:val="single"/>
            <w:rtl w:val="true"/>
          </w:rPr>
          <w:t>ב</w:t>
        </w:r>
        <w:r>
          <w:rPr>
            <w:rStyle w:val="Hyperlink"/>
            <w:color w:val="0000FF"/>
            <w:u w:val="single"/>
          </w:rPr>
          <w:t>2</w:t>
        </w:r>
        <w:r>
          <w:rPr>
            <w:rStyle w:val="Hyperlink"/>
            <w:color w:val="0000FF"/>
            <w:u w:val="single"/>
            <w:rtl w:val="true"/>
          </w:rPr>
          <w:t>)</w:t>
        </w:r>
      </w:hyperlink>
      <w:r>
        <w:rPr>
          <w:rtl w:val="true"/>
        </w:rPr>
        <w:t xml:space="preserve"> </w:t>
      </w:r>
      <w:r>
        <w:rPr>
          <w:rtl w:val="true"/>
        </w:rPr>
        <w:t>לחוק העונשין</w:t>
      </w:r>
      <w:r>
        <w:rPr>
          <w:rtl w:val="true"/>
        </w:rPr>
        <w:t xml:space="preserve">. </w:t>
      </w:r>
    </w:p>
    <w:p>
      <w:pPr>
        <w:pStyle w:val="Ruller41"/>
        <w:spacing w:lineRule="auto" w:line="240"/>
        <w:ind w:end="0"/>
        <w:jc w:val="both"/>
        <w:rPr/>
      </w:pPr>
      <w:r>
        <w:rPr>
          <w:rtl w:val="true"/>
        </w:rPr>
      </w:r>
    </w:p>
    <w:p>
      <w:pPr>
        <w:pStyle w:val="Ruller41"/>
        <w:spacing w:lineRule="auto" w:line="240"/>
        <w:ind w:end="0"/>
        <w:jc w:val="both"/>
        <w:rPr/>
      </w:pPr>
      <w:r>
        <w:rPr>
          <w:rtl w:val="true"/>
        </w:rPr>
      </w:r>
    </w:p>
    <w:p>
      <w:pPr>
        <w:pStyle w:val="Ruller42"/>
        <w:numPr>
          <w:ilvl w:val="0"/>
          <w:numId w:val="2"/>
        </w:numPr>
        <w:ind w:end="0"/>
        <w:jc w:val="both"/>
        <w:rPr/>
      </w:pPr>
      <w:r>
        <w:rPr>
          <w:rtl w:val="true"/>
        </w:rPr>
        <w:t>על פי כתב האישום המתוקן</w:t>
      </w:r>
      <w:r>
        <w:rPr>
          <w:rtl w:val="true"/>
        </w:rPr>
        <w:t xml:space="preserve">, </w:t>
      </w:r>
      <w:r>
        <w:rPr>
          <w:rtl w:val="true"/>
        </w:rPr>
        <w:t xml:space="preserve">סוכן סמוי שהפעילה המשטרה ללא ידיעת הנאשמים נפגש עם נאשם </w:t>
      </w:r>
      <w:r>
        <w:rPr/>
        <w:t>2</w:t>
      </w:r>
      <w:r>
        <w:rPr>
          <w:rtl w:val="true"/>
        </w:rPr>
        <w:t xml:space="preserve"> </w:t>
      </w:r>
      <w:r>
        <w:rPr>
          <w:rtl w:val="true"/>
        </w:rPr>
        <w:t xml:space="preserve">וסיפר לו כי לאחיו יש סכסוך עם אחרים והנאשם </w:t>
      </w:r>
      <w:r>
        <w:rPr/>
        <w:t>2</w:t>
      </w:r>
      <w:r>
        <w:rPr>
          <w:rtl w:val="true"/>
        </w:rPr>
        <w:t xml:space="preserve"> </w:t>
      </w:r>
      <w:r>
        <w:rPr>
          <w:rtl w:val="true"/>
        </w:rPr>
        <w:t xml:space="preserve">הציע להשיג עבורו אקדח תמורת </w:t>
      </w:r>
      <w:r>
        <w:rPr/>
        <w:t>14,000</w:t>
      </w:r>
      <w:r>
        <w:rPr>
          <w:rtl w:val="true"/>
        </w:rPr>
        <w:t xml:space="preserve"> </w:t>
      </w:r>
      <w:r>
        <w:rPr>
          <w:rtl w:val="true"/>
        </w:rPr>
        <w:t>ש</w:t>
      </w:r>
      <w:r>
        <w:rPr>
          <w:rtl w:val="true"/>
        </w:rPr>
        <w:t>"</w:t>
      </w:r>
      <w:r>
        <w:rPr>
          <w:rtl w:val="true"/>
        </w:rPr>
        <w:t>ח</w:t>
      </w:r>
      <w:r>
        <w:rPr>
          <w:rtl w:val="true"/>
        </w:rPr>
        <w:t xml:space="preserve">. </w:t>
      </w:r>
      <w:r>
        <w:rPr>
          <w:rtl w:val="true"/>
        </w:rPr>
        <w:t xml:space="preserve">לאחר שנאשם </w:t>
      </w:r>
      <w:r>
        <w:rPr/>
        <w:t>2</w:t>
      </w:r>
      <w:r>
        <w:rPr>
          <w:rtl w:val="true"/>
        </w:rPr>
        <w:t xml:space="preserve"> </w:t>
      </w:r>
      <w:r>
        <w:rPr>
          <w:rtl w:val="true"/>
        </w:rPr>
        <w:t>הודיע לסוכן כי השיג עבורו אקדח</w:t>
      </w:r>
      <w:r>
        <w:rPr>
          <w:rtl w:val="true"/>
        </w:rPr>
        <w:t xml:space="preserve">, </w:t>
      </w:r>
      <w:r>
        <w:rPr>
          <w:rtl w:val="true"/>
        </w:rPr>
        <w:t>נסעו שניהם אל המערער ואספו אותו ושלושתם נסעו בהוראת המערער אל מושב שדה צבי</w:t>
      </w:r>
      <w:r>
        <w:rPr>
          <w:rtl w:val="true"/>
        </w:rPr>
        <w:t xml:space="preserve">. </w:t>
      </w:r>
      <w:r>
        <w:rPr>
          <w:rtl w:val="true"/>
        </w:rPr>
        <w:t>כשהגיעו</w:t>
      </w:r>
      <w:r>
        <w:rPr>
          <w:rtl w:val="true"/>
        </w:rPr>
        <w:t xml:space="preserve">, </w:t>
      </w:r>
      <w:r>
        <w:rPr>
          <w:rtl w:val="true"/>
        </w:rPr>
        <w:t xml:space="preserve">המערער התקשר לנאשם </w:t>
      </w:r>
      <w:r>
        <w:rPr/>
        <w:t>3</w:t>
      </w:r>
      <w:r>
        <w:rPr>
          <w:rtl w:val="true"/>
        </w:rPr>
        <w:t xml:space="preserve"> </w:t>
      </w:r>
      <w:r>
        <w:rPr>
          <w:rtl w:val="true"/>
        </w:rPr>
        <w:t>וביקש שיפתח את השער במושב והם נכנסו למושב ונעצרו ליד אחד הבתים</w:t>
      </w:r>
      <w:r>
        <w:rPr>
          <w:rtl w:val="true"/>
        </w:rPr>
        <w:t xml:space="preserve">. </w:t>
      </w:r>
      <w:r>
        <w:rPr>
          <w:rtl w:val="true"/>
        </w:rPr>
        <w:t xml:space="preserve">הסוכן מסר למערער סך של </w:t>
      </w:r>
      <w:r>
        <w:rPr/>
        <w:t>14,000</w:t>
      </w:r>
      <w:r>
        <w:rPr>
          <w:rtl w:val="true"/>
        </w:rPr>
        <w:t xml:space="preserve"> </w:t>
      </w:r>
      <w:r>
        <w:rPr>
          <w:rtl w:val="true"/>
        </w:rPr>
        <w:t>ש</w:t>
      </w:r>
      <w:r>
        <w:rPr>
          <w:rtl w:val="true"/>
        </w:rPr>
        <w:t>"</w:t>
      </w:r>
      <w:r>
        <w:rPr>
          <w:rtl w:val="true"/>
        </w:rPr>
        <w:t>ח והמערער יצא מהרכב</w:t>
      </w:r>
      <w:r>
        <w:rPr>
          <w:rtl w:val="true"/>
        </w:rPr>
        <w:t xml:space="preserve">. </w:t>
      </w:r>
      <w:r>
        <w:rPr>
          <w:rtl w:val="true"/>
        </w:rPr>
        <w:t>כעבור מספר דקות</w:t>
      </w:r>
      <w:r>
        <w:rPr>
          <w:rtl w:val="true"/>
        </w:rPr>
        <w:t xml:space="preserve">, </w:t>
      </w:r>
      <w:r>
        <w:rPr>
          <w:rtl w:val="true"/>
        </w:rPr>
        <w:t xml:space="preserve">הנאשם חזר לרכב עם אקדח מסוג </w:t>
      </w:r>
      <w:r>
        <w:rPr>
          <w:rtl w:val="true"/>
        </w:rPr>
        <w:t>"</w:t>
      </w:r>
      <w:r>
        <w:rPr>
          <w:rtl w:val="true"/>
        </w:rPr>
        <w:t>יריחו</w:t>
      </w:r>
      <w:r>
        <w:rPr>
          <w:rtl w:val="true"/>
        </w:rPr>
        <w:t xml:space="preserve">" </w:t>
      </w:r>
      <w:r>
        <w:rPr>
          <w:rtl w:val="true"/>
        </w:rPr>
        <w:t>ומחסנית והם נסעו מהמקום</w:t>
      </w:r>
      <w:r>
        <w:rPr>
          <w:rtl w:val="true"/>
        </w:rPr>
        <w:t xml:space="preserve">. </w:t>
      </w:r>
      <w:r>
        <w:rPr>
          <w:rtl w:val="true"/>
        </w:rPr>
        <w:t>בדרך</w:t>
      </w:r>
      <w:r>
        <w:rPr>
          <w:rtl w:val="true"/>
        </w:rPr>
        <w:t xml:space="preserve">, </w:t>
      </w:r>
      <w:r>
        <w:rPr>
          <w:rtl w:val="true"/>
        </w:rPr>
        <w:t>המערער בדק את האקדח</w:t>
      </w:r>
      <w:r>
        <w:rPr>
          <w:rtl w:val="true"/>
        </w:rPr>
        <w:t xml:space="preserve">, </w:t>
      </w:r>
      <w:r>
        <w:rPr>
          <w:rtl w:val="true"/>
        </w:rPr>
        <w:t>ניקה אותו ומסר אותו ואת המחסנית לסוכן</w:t>
      </w:r>
      <w:r>
        <w:rPr>
          <w:rtl w:val="true"/>
        </w:rPr>
        <w:t xml:space="preserve">. </w:t>
      </w:r>
    </w:p>
    <w:p>
      <w:pPr>
        <w:pStyle w:val="Ruller41"/>
        <w:spacing w:lineRule="auto" w:line="480"/>
        <w:ind w:end="0"/>
        <w:jc w:val="both"/>
        <w:rPr>
          <w:rFonts w:ascii="Century" w:hAnsi="Century" w:cs="Miriam;Lucida Sans Unicode"/>
          <w:b/>
          <w:spacing w:val="0"/>
          <w:szCs w:val="24"/>
        </w:rPr>
      </w:pPr>
      <w:r>
        <w:rPr>
          <w:rFonts w:cs="Miriam;Lucida Sans Unicode" w:ascii="Century" w:hAnsi="Century"/>
          <w:b/>
          <w:spacing w:val="0"/>
          <w:szCs w:val="24"/>
          <w:rtl w:val="true"/>
        </w:rPr>
      </w:r>
    </w:p>
    <w:p>
      <w:pPr>
        <w:pStyle w:val="Ruller41"/>
        <w:ind w:end="0"/>
        <w:jc w:val="both"/>
        <w:rPr>
          <w:rFonts w:ascii="Century" w:hAnsi="Century"/>
          <w:b/>
          <w:spacing w:val="0"/>
          <w:szCs w:val="24"/>
        </w:rPr>
      </w:pPr>
      <w:r>
        <w:rPr>
          <w:rFonts w:ascii="Century" w:hAnsi="Century" w:cs="Miriam;Lucida Sans Unicode"/>
          <w:b/>
          <w:b/>
          <w:spacing w:val="0"/>
          <w:szCs w:val="24"/>
          <w:rtl w:val="true"/>
        </w:rPr>
        <w:t>גזר</w:t>
      </w:r>
      <w:r>
        <w:rPr>
          <w:rFonts w:ascii="Century" w:hAnsi="Century" w:eastAsia="Century" w:cs="Century"/>
          <w:b/>
          <w:b/>
          <w:spacing w:val="0"/>
          <w:szCs w:val="24"/>
          <w:rtl w:val="true"/>
        </w:rPr>
        <w:t xml:space="preserve"> </w:t>
      </w:r>
      <w:r>
        <w:rPr>
          <w:rFonts w:ascii="Century" w:hAnsi="Century" w:cs="Miriam;Lucida Sans Unicode"/>
          <w:b/>
          <w:b/>
          <w:spacing w:val="0"/>
          <w:szCs w:val="24"/>
          <w:rtl w:val="true"/>
        </w:rPr>
        <w:t>הדין</w:t>
      </w:r>
      <w:r>
        <w:rPr>
          <w:rFonts w:ascii="Century" w:hAnsi="Century" w:eastAsia="Century" w:cs="Century"/>
          <w:b/>
          <w:b/>
          <w:spacing w:val="0"/>
          <w:szCs w:val="24"/>
          <w:rtl w:val="true"/>
        </w:rPr>
        <w:t xml:space="preserve"> </w:t>
      </w:r>
      <w:r>
        <w:rPr>
          <w:rFonts w:ascii="Century" w:hAnsi="Century" w:cs="Miriam;Lucida Sans Unicode"/>
          <w:b/>
          <w:b/>
          <w:spacing w:val="0"/>
          <w:szCs w:val="24"/>
          <w:rtl w:val="true"/>
        </w:rPr>
        <w:t>בבית</w:t>
      </w:r>
      <w:r>
        <w:rPr>
          <w:rFonts w:ascii="Century" w:hAnsi="Century" w:eastAsia="Century" w:cs="Century"/>
          <w:b/>
          <w:b/>
          <w:spacing w:val="0"/>
          <w:szCs w:val="24"/>
          <w:rtl w:val="true"/>
        </w:rPr>
        <w:t xml:space="preserve"> </w:t>
      </w:r>
      <w:r>
        <w:rPr>
          <w:rFonts w:ascii="Century" w:hAnsi="Century" w:cs="Miriam;Lucida Sans Unicode"/>
          <w:b/>
          <w:b/>
          <w:spacing w:val="0"/>
          <w:szCs w:val="24"/>
          <w:rtl w:val="true"/>
        </w:rPr>
        <w:t>המשפט</w:t>
      </w:r>
      <w:r>
        <w:rPr>
          <w:rFonts w:ascii="Century" w:hAnsi="Century" w:eastAsia="Century" w:cs="Century"/>
          <w:b/>
          <w:b/>
          <w:spacing w:val="0"/>
          <w:szCs w:val="24"/>
          <w:rtl w:val="true"/>
        </w:rPr>
        <w:t xml:space="preserve"> </w:t>
      </w:r>
      <w:r>
        <w:rPr>
          <w:rFonts w:ascii="Century" w:hAnsi="Century" w:cs="Miriam;Lucida Sans Unicode"/>
          <w:b/>
          <w:b/>
          <w:spacing w:val="0"/>
          <w:szCs w:val="24"/>
          <w:rtl w:val="true"/>
        </w:rPr>
        <w:t>המחוזי</w:t>
      </w:r>
    </w:p>
    <w:p>
      <w:pPr>
        <w:pStyle w:val="Ruller41"/>
        <w:spacing w:lineRule="auto" w:line="240"/>
        <w:ind w:end="0"/>
        <w:jc w:val="both"/>
        <w:rPr>
          <w:rFonts w:ascii="Century" w:hAnsi="Century" w:cs="Miriam;Lucida Sans Unicode"/>
          <w:b/>
          <w:spacing w:val="0"/>
          <w:szCs w:val="24"/>
        </w:rPr>
      </w:pPr>
      <w:r>
        <w:rPr>
          <w:rFonts w:cs="Miriam;Lucida Sans Unicode" w:ascii="Century" w:hAnsi="Century"/>
          <w:b/>
          <w:spacing w:val="0"/>
          <w:szCs w:val="24"/>
          <w:rtl w:val="true"/>
        </w:rPr>
      </w:r>
    </w:p>
    <w:p>
      <w:pPr>
        <w:pStyle w:val="Ruller42"/>
        <w:numPr>
          <w:ilvl w:val="0"/>
          <w:numId w:val="2"/>
        </w:numPr>
        <w:ind w:end="0"/>
        <w:jc w:val="both"/>
        <w:rPr/>
      </w:pPr>
      <w:r>
        <w:rPr>
          <w:rtl w:val="true"/>
        </w:rPr>
        <w:t>לצורך גזירת הדין הורה בית המשפט המחוזי על עריכת תסקיר בעניינו של המערער</w:t>
      </w:r>
      <w:r>
        <w:rPr>
          <w:rtl w:val="true"/>
        </w:rPr>
        <w:t xml:space="preserve">. </w:t>
      </w:r>
      <w:r>
        <w:rPr>
          <w:rtl w:val="true"/>
        </w:rPr>
        <w:t xml:space="preserve">מהתסקיר עולה כי מדובר בבחור צעיר בן </w:t>
      </w:r>
      <w:r>
        <w:rPr/>
        <w:t>33</w:t>
      </w:r>
      <w:r>
        <w:rPr>
          <w:rtl w:val="true"/>
        </w:rPr>
        <w:t xml:space="preserve">, </w:t>
      </w:r>
      <w:r>
        <w:rPr>
          <w:rtl w:val="true"/>
        </w:rPr>
        <w:t>רווק המתגורר בבית אמו ברהט</w:t>
      </w:r>
      <w:r>
        <w:rPr>
          <w:rtl w:val="true"/>
        </w:rPr>
        <w:t xml:space="preserve">. </w:t>
      </w:r>
      <w:r>
        <w:rPr>
          <w:rtl w:val="true"/>
        </w:rPr>
        <w:t xml:space="preserve">המערער אמר בתסקיר שמגיל </w:t>
      </w:r>
      <w:r>
        <w:rPr/>
        <w:t>17</w:t>
      </w:r>
      <w:r>
        <w:rPr>
          <w:rtl w:val="true"/>
        </w:rPr>
        <w:t xml:space="preserve"> </w:t>
      </w:r>
      <w:r>
        <w:rPr>
          <w:rtl w:val="true"/>
        </w:rPr>
        <w:t>החל להשתמש ואף לסחור בסמים ורק לאחרונה החליט להפסיק</w:t>
      </w:r>
      <w:r>
        <w:rPr>
          <w:rtl w:val="true"/>
        </w:rPr>
        <w:t xml:space="preserve">. </w:t>
      </w:r>
      <w:r>
        <w:rPr>
          <w:rtl w:val="true"/>
        </w:rPr>
        <w:t>עוד עולה מהתסקיר כי הוא נמצא בטיפול</w:t>
      </w:r>
      <w:r>
        <w:rPr>
          <w:rtl w:val="true"/>
        </w:rPr>
        <w:t xml:space="preserve">, </w:t>
      </w:r>
      <w:r>
        <w:rPr>
          <w:rtl w:val="true"/>
        </w:rPr>
        <w:t>מגיע בקביעות לשיחות פרטניות</w:t>
      </w:r>
      <w:r>
        <w:rPr>
          <w:rtl w:val="true"/>
        </w:rPr>
        <w:t xml:space="preserve">, </w:t>
      </w:r>
      <w:r>
        <w:rPr>
          <w:rtl w:val="true"/>
        </w:rPr>
        <w:t>משתף פעולה וחש מחויבות לטיפול</w:t>
      </w:r>
      <w:r>
        <w:rPr>
          <w:rtl w:val="true"/>
        </w:rPr>
        <w:t xml:space="preserve">. </w:t>
      </w:r>
      <w:r>
        <w:rPr>
          <w:rtl w:val="true"/>
        </w:rPr>
        <w:t>לבסוף</w:t>
      </w:r>
      <w:r>
        <w:rPr>
          <w:rtl w:val="true"/>
        </w:rPr>
        <w:t xml:space="preserve">, </w:t>
      </w:r>
      <w:r>
        <w:rPr>
          <w:rtl w:val="true"/>
        </w:rPr>
        <w:t>שירות המבחן המליץ להטיל עליו עונש מאסר שירוצה בעבודות שירות לנוכח התהליך הטיפולי החיובי בו החל</w:t>
      </w:r>
      <w:r>
        <w:rPr>
          <w:rtl w:val="true"/>
        </w:rPr>
        <w:t>.</w:t>
      </w:r>
    </w:p>
    <w:p>
      <w:pPr>
        <w:pStyle w:val="Ruller41"/>
        <w:ind w:end="0"/>
        <w:jc w:val="both"/>
        <w:rPr/>
      </w:pPr>
      <w:r>
        <w:rPr>
          <w:rtl w:val="true"/>
        </w:rPr>
      </w:r>
    </w:p>
    <w:p>
      <w:pPr>
        <w:pStyle w:val="Ruller42"/>
        <w:numPr>
          <w:ilvl w:val="0"/>
          <w:numId w:val="2"/>
        </w:numPr>
        <w:ind w:end="0"/>
        <w:jc w:val="both"/>
        <w:rPr/>
      </w:pPr>
      <w:r>
        <w:rPr>
          <w:rtl w:val="true"/>
        </w:rPr>
        <w:t xml:space="preserve">ביום </w:t>
      </w:r>
      <w:r>
        <w:rPr/>
        <w:t>14.01.2014</w:t>
      </w:r>
      <w:r>
        <w:rPr>
          <w:rtl w:val="true"/>
        </w:rPr>
        <w:t xml:space="preserve"> </w:t>
      </w:r>
      <w:r>
        <w:rPr>
          <w:rtl w:val="true"/>
        </w:rPr>
        <w:t>נגזר דינו של המערער</w:t>
      </w:r>
      <w:r>
        <w:rPr>
          <w:rtl w:val="true"/>
        </w:rPr>
        <w:t xml:space="preserve">. </w:t>
      </w:r>
      <w:r>
        <w:rPr>
          <w:rtl w:val="true"/>
        </w:rPr>
        <w:t>בית המשפט המחוזי ציין כי העבירות בהן הורשע המערער הנן חמורות</w:t>
      </w:r>
      <w:r>
        <w:rPr>
          <w:rtl w:val="true"/>
        </w:rPr>
        <w:t xml:space="preserve">. </w:t>
      </w:r>
      <w:r>
        <w:rPr>
          <w:rtl w:val="true"/>
        </w:rPr>
        <w:t>כן ציין בית המשפט את נפוצות עבירות הנשק ומגמת ההחמרה המוצהרת בענישה בפסיקתו של בית משפט זה</w:t>
      </w:r>
      <w:r>
        <w:rPr>
          <w:rtl w:val="true"/>
        </w:rPr>
        <w:t xml:space="preserve">. </w:t>
      </w:r>
      <w:r>
        <w:rPr>
          <w:rtl w:val="true"/>
        </w:rPr>
        <w:t>בית המשפט המחוזי ציין את התכנון שקדם לעבירות</w:t>
      </w:r>
      <w:r>
        <w:rPr>
          <w:rtl w:val="true"/>
        </w:rPr>
        <w:t xml:space="preserve">; </w:t>
      </w:r>
      <w:r>
        <w:rPr>
          <w:rtl w:val="true"/>
        </w:rPr>
        <w:t>את פוטנציאל הנזק וכי חלקו של המערער בעבירות היה מרכזי</w:t>
      </w:r>
      <w:r>
        <w:rPr>
          <w:rtl w:val="true"/>
        </w:rPr>
        <w:t xml:space="preserve">. </w:t>
      </w:r>
      <w:r>
        <w:rPr>
          <w:rtl w:val="true"/>
        </w:rPr>
        <w:t>כן ציין בית המשפט את הרשעותיו הקודמות בפלילים</w:t>
      </w:r>
      <w:r>
        <w:rPr>
          <w:rtl w:val="true"/>
        </w:rPr>
        <w:t xml:space="preserve">. </w:t>
      </w:r>
      <w:r>
        <w:rPr>
          <w:rtl w:val="true"/>
        </w:rPr>
        <w:t>מנגד</w:t>
      </w:r>
      <w:r>
        <w:rPr>
          <w:rtl w:val="true"/>
        </w:rPr>
        <w:t xml:space="preserve">, </w:t>
      </w:r>
      <w:r>
        <w:rPr>
          <w:rtl w:val="true"/>
        </w:rPr>
        <w:t>ציין בית המשפט המחוזי את גילו של המערער</w:t>
      </w:r>
      <w:r>
        <w:rPr>
          <w:rtl w:val="true"/>
        </w:rPr>
        <w:t xml:space="preserve">; </w:t>
      </w:r>
      <w:r>
        <w:rPr>
          <w:rtl w:val="true"/>
        </w:rPr>
        <w:t>את נסיבותיו האישיות והמשפחתיות</w:t>
      </w:r>
      <w:r>
        <w:rPr>
          <w:rtl w:val="true"/>
        </w:rPr>
        <w:t xml:space="preserve">; </w:t>
      </w:r>
      <w:r>
        <w:rPr>
          <w:rtl w:val="true"/>
        </w:rPr>
        <w:t>את הפגיעה הצפויה לו מהמאסר</w:t>
      </w:r>
      <w:r>
        <w:rPr>
          <w:rtl w:val="true"/>
        </w:rPr>
        <w:t xml:space="preserve">; </w:t>
      </w:r>
      <w:r>
        <w:rPr>
          <w:rtl w:val="true"/>
        </w:rPr>
        <w:t>את הודאתו וחרטתו</w:t>
      </w:r>
      <w:r>
        <w:rPr>
          <w:rtl w:val="true"/>
        </w:rPr>
        <w:t xml:space="preserve">; </w:t>
      </w:r>
      <w:r>
        <w:rPr>
          <w:rtl w:val="true"/>
        </w:rPr>
        <w:t>את כברת הדרך הטיפולית שעבר ואת סיכויי שיקומו</w:t>
      </w:r>
      <w:r>
        <w:rPr>
          <w:rtl w:val="true"/>
        </w:rPr>
        <w:t xml:space="preserve">. </w:t>
      </w:r>
      <w:r>
        <w:rPr>
          <w:rtl w:val="true"/>
        </w:rPr>
        <w:t>על רקע זה בית המשפט המחוזי קבע כי התהליך הטיפולי שעבר המערער מצדיק התחשבות בעונשו</w:t>
      </w:r>
      <w:r>
        <w:rPr>
          <w:rtl w:val="true"/>
        </w:rPr>
        <w:t xml:space="preserve">, </w:t>
      </w:r>
      <w:r>
        <w:rPr>
          <w:rtl w:val="true"/>
        </w:rPr>
        <w:t>כך שייקבע עונשו בחלק הנמוך של מתחם העונש ההולם</w:t>
      </w:r>
      <w:r>
        <w:rPr>
          <w:rtl w:val="true"/>
        </w:rPr>
        <w:t xml:space="preserve">, </w:t>
      </w:r>
      <w:r>
        <w:rPr>
          <w:rtl w:val="true"/>
        </w:rPr>
        <w:t>אך אין בו להצדיק חריגה ממתחם זה</w:t>
      </w:r>
      <w:r>
        <w:rPr>
          <w:rtl w:val="true"/>
        </w:rPr>
        <w:t xml:space="preserve">. </w:t>
      </w:r>
      <w:r>
        <w:rPr>
          <w:rtl w:val="true"/>
        </w:rPr>
        <w:t>נוכח האמור</w:t>
      </w:r>
      <w:r>
        <w:rPr>
          <w:rtl w:val="true"/>
        </w:rPr>
        <w:t xml:space="preserve">, </w:t>
      </w:r>
      <w:r>
        <w:rPr>
          <w:rtl w:val="true"/>
        </w:rPr>
        <w:t>גזר בית המשפט המחוזי על המערער את דינו</w:t>
      </w:r>
      <w:r>
        <w:rPr>
          <w:rtl w:val="true"/>
        </w:rPr>
        <w:t xml:space="preserve">, </w:t>
      </w:r>
      <w:r>
        <w:rPr>
          <w:rtl w:val="true"/>
        </w:rPr>
        <w:t xml:space="preserve">כפי שפורט בפסקה </w:t>
      </w:r>
      <w:r>
        <w:rPr/>
        <w:t>1</w:t>
      </w:r>
      <w:r>
        <w:rPr>
          <w:rtl w:val="true"/>
        </w:rPr>
        <w:t xml:space="preserve"> </w:t>
      </w:r>
      <w:r>
        <w:rPr>
          <w:rtl w:val="true"/>
        </w:rPr>
        <w:t>לעיל</w:t>
      </w:r>
      <w:r>
        <w:rPr>
          <w:rtl w:val="true"/>
        </w:rPr>
        <w:t xml:space="preserve">. </w:t>
      </w:r>
    </w:p>
    <w:p>
      <w:pPr>
        <w:pStyle w:val="Ruller41"/>
        <w:spacing w:lineRule="auto" w:line="480"/>
        <w:ind w:end="0"/>
        <w:jc w:val="both"/>
        <w:rPr/>
      </w:pPr>
      <w:r>
        <w:rPr>
          <w:rtl w:val="true"/>
        </w:rPr>
      </w:r>
    </w:p>
    <w:p>
      <w:pPr>
        <w:pStyle w:val="Ruller41"/>
        <w:ind w:end="0"/>
        <w:jc w:val="both"/>
        <w:rPr>
          <w:rFonts w:ascii="Century" w:hAnsi="Century"/>
          <w:b/>
          <w:spacing w:val="0"/>
          <w:szCs w:val="24"/>
        </w:rPr>
      </w:pPr>
      <w:r>
        <w:rPr>
          <w:rFonts w:ascii="Century" w:hAnsi="Century" w:cs="Miriam;Lucida Sans Unicode"/>
          <w:b/>
          <w:b/>
          <w:spacing w:val="0"/>
          <w:szCs w:val="24"/>
          <w:rtl w:val="true"/>
        </w:rPr>
        <w:t>נימוקי</w:t>
      </w:r>
      <w:r>
        <w:rPr>
          <w:rFonts w:ascii="Century" w:hAnsi="Century" w:eastAsia="Century" w:cs="Century"/>
          <w:b/>
          <w:b/>
          <w:spacing w:val="0"/>
          <w:szCs w:val="24"/>
          <w:rtl w:val="true"/>
        </w:rPr>
        <w:t xml:space="preserve"> </w:t>
      </w:r>
      <w:r>
        <w:rPr>
          <w:rFonts w:ascii="Century" w:hAnsi="Century" w:cs="Miriam;Lucida Sans Unicode"/>
          <w:b/>
          <w:b/>
          <w:spacing w:val="0"/>
          <w:szCs w:val="24"/>
          <w:rtl w:val="true"/>
        </w:rPr>
        <w:t>הערעור</w:t>
      </w:r>
    </w:p>
    <w:p>
      <w:pPr>
        <w:pStyle w:val="Ruller41"/>
        <w:spacing w:lineRule="auto" w:line="240"/>
        <w:ind w:end="0"/>
        <w:jc w:val="both"/>
        <w:rPr>
          <w:rFonts w:ascii="Century" w:hAnsi="Century" w:cs="Miriam;Lucida Sans Unicode"/>
          <w:b/>
          <w:spacing w:val="0"/>
          <w:szCs w:val="24"/>
        </w:rPr>
      </w:pPr>
      <w:r>
        <w:rPr>
          <w:rFonts w:cs="Miriam;Lucida Sans Unicode" w:ascii="Century" w:hAnsi="Century"/>
          <w:b/>
          <w:spacing w:val="0"/>
          <w:szCs w:val="24"/>
          <w:rtl w:val="true"/>
        </w:rPr>
      </w:r>
    </w:p>
    <w:p>
      <w:pPr>
        <w:pStyle w:val="Ruller42"/>
        <w:numPr>
          <w:ilvl w:val="0"/>
          <w:numId w:val="2"/>
        </w:numPr>
        <w:ind w:end="0"/>
        <w:jc w:val="both"/>
        <w:rPr/>
      </w:pPr>
      <w:r>
        <w:rPr>
          <w:rtl w:val="true"/>
        </w:rPr>
        <w:t>המערער טוען כי בית המשפט המחוזי שגה בכך שלא נתן משקל מספיק לדרך השיקומית הארוכה אותה עבר ולהמלצת שירות המבחן לפיה יש להטיל עליו עונש אשר ירוצה בדרך של עבודת שירות לשם המשך הטיפול במסגרות הטיפוליות</w:t>
      </w:r>
      <w:r>
        <w:rPr>
          <w:rtl w:val="true"/>
        </w:rPr>
        <w:t xml:space="preserve">. </w:t>
      </w:r>
      <w:r>
        <w:rPr>
          <w:rtl w:val="true"/>
        </w:rPr>
        <w:t>המערער מפנה לתסקיר שירות המבחן בו צוין גילו הצעיר</w:t>
      </w:r>
      <w:r>
        <w:rPr>
          <w:rtl w:val="true"/>
        </w:rPr>
        <w:t xml:space="preserve">, </w:t>
      </w:r>
      <w:r>
        <w:rPr>
          <w:rtl w:val="true"/>
        </w:rPr>
        <w:t>נסיבות חייו ונסיבות ביצוע העבירה</w:t>
      </w:r>
      <w:r>
        <w:rPr>
          <w:rtl w:val="true"/>
        </w:rPr>
        <w:t xml:space="preserve">. </w:t>
      </w:r>
      <w:r>
        <w:rPr>
          <w:rtl w:val="true"/>
        </w:rPr>
        <w:t>עוד מציין המערער כי שירות המבחן מדגיש את לקיחת האחריות</w:t>
      </w:r>
      <w:r>
        <w:rPr>
          <w:rtl w:val="true"/>
        </w:rPr>
        <w:t xml:space="preserve">, </w:t>
      </w:r>
      <w:r>
        <w:rPr>
          <w:rtl w:val="true"/>
        </w:rPr>
        <w:t>המוטיבציה לשיקום</w:t>
      </w:r>
      <w:r>
        <w:rPr>
          <w:rtl w:val="true"/>
        </w:rPr>
        <w:t xml:space="preserve">, </w:t>
      </w:r>
      <w:r>
        <w:rPr>
          <w:rtl w:val="true"/>
        </w:rPr>
        <w:t>נטישת החברה העבריינית</w:t>
      </w:r>
      <w:r>
        <w:rPr>
          <w:rtl w:val="true"/>
        </w:rPr>
        <w:t xml:space="preserve">, </w:t>
      </w:r>
      <w:r>
        <w:rPr>
          <w:rtl w:val="true"/>
        </w:rPr>
        <w:t>את המחויבות המלאה שלו לטיפול ואת ניקיונו המוכח מסמים</w:t>
      </w:r>
      <w:r>
        <w:rPr>
          <w:rtl w:val="true"/>
        </w:rPr>
        <w:t xml:space="preserve">. </w:t>
      </w:r>
      <w:r>
        <w:rPr>
          <w:rtl w:val="true"/>
        </w:rPr>
        <w:t>המערער מביא את דבריהם של גורמים טיפוליים משירותי הרווחה ומ</w:t>
      </w:r>
      <w:r>
        <w:rPr>
          <w:rtl w:val="true"/>
        </w:rPr>
        <w:t>"</w:t>
      </w:r>
      <w:r>
        <w:rPr>
          <w:rtl w:val="true"/>
        </w:rPr>
        <w:t>מרכז חוסן</w:t>
      </w:r>
      <w:r>
        <w:rPr>
          <w:rtl w:val="true"/>
        </w:rPr>
        <w:t xml:space="preserve">" </w:t>
      </w:r>
      <w:r>
        <w:rPr>
          <w:rtl w:val="true"/>
        </w:rPr>
        <w:t>אשר מדגישים את שיתוף הפעולה ואת המוטיבציה שלו לשיקום</w:t>
      </w:r>
      <w:r>
        <w:rPr>
          <w:rtl w:val="true"/>
        </w:rPr>
        <w:t xml:space="preserve">. </w:t>
      </w:r>
    </w:p>
    <w:p>
      <w:pPr>
        <w:pStyle w:val="Ruller42"/>
        <w:numPr>
          <w:ilvl w:val="0"/>
          <w:numId w:val="0"/>
        </w:numPr>
        <w:spacing w:lineRule="auto" w:line="240"/>
        <w:ind w:hanging="0" w:start="0" w:end="0"/>
        <w:jc w:val="both"/>
        <w:rPr/>
      </w:pPr>
      <w:r>
        <w:rPr>
          <w:rtl w:val="true"/>
        </w:rPr>
      </w:r>
    </w:p>
    <w:p>
      <w:pPr>
        <w:pStyle w:val="Ruller42"/>
        <w:numPr>
          <w:ilvl w:val="0"/>
          <w:numId w:val="2"/>
        </w:numPr>
        <w:ind w:end="0"/>
        <w:jc w:val="both"/>
        <w:rPr/>
      </w:pPr>
      <w:r>
        <w:rPr>
          <w:rtl w:val="true"/>
        </w:rPr>
        <w:t>המערער גם טוען ששגה בית המשפט המחוזי בכך שלא ייחס משקל מספיק לכך שהליך השיקום נמצא בחלקו האחרון</w:t>
      </w:r>
      <w:r>
        <w:rPr>
          <w:rtl w:val="true"/>
        </w:rPr>
        <w:t xml:space="preserve">. </w:t>
      </w:r>
      <w:r>
        <w:rPr>
          <w:rtl w:val="true"/>
        </w:rPr>
        <w:t>כן טוען כי שגה בית המשפט המחוזי בכך שלא נתן את המשקל הראוי לאינטרס הציבורי שבהשלמה מוצלחת של ההליך השיקומי תוך שהוא מפנה ל</w:t>
      </w:r>
      <w:hyperlink r:id="rId9">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8092/04</w:t>
        </w:r>
      </w:hyperlink>
      <w:r>
        <w:rPr>
          <w:rtl w:val="true"/>
        </w:rPr>
        <w:t xml:space="preserve"> </w:t>
      </w:r>
      <w:r>
        <w:rPr>
          <w:rFonts w:ascii="Century" w:hAnsi="Century" w:cs="Miriam;Lucida Sans Unicode"/>
          <w:b/>
          <w:b/>
          <w:spacing w:val="0"/>
          <w:sz w:val="22"/>
          <w:sz w:val="22"/>
          <w:szCs w:val="24"/>
          <w:rtl w:val="true"/>
        </w:rPr>
        <w:t>חביבי</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נ</w:t>
      </w:r>
      <w:r>
        <w:rPr>
          <w:rFonts w:cs="Miriam;Lucida Sans Unicode" w:ascii="Century" w:hAnsi="Century"/>
          <w:b/>
          <w:spacing w:val="0"/>
          <w:sz w:val="22"/>
          <w:szCs w:val="24"/>
          <w:rtl w:val="true"/>
        </w:rPr>
        <w:t xml:space="preserve">' </w:t>
      </w:r>
      <w:r>
        <w:rPr>
          <w:rFonts w:ascii="Century" w:hAnsi="Century" w:cs="Miriam;Lucida Sans Unicode"/>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ישראל</w:t>
      </w:r>
      <w:r>
        <w:rPr>
          <w:rtl w:val="true"/>
        </w:rPr>
        <w:t xml:space="preserve"> </w:t>
      </w:r>
      <w:r>
        <w:rPr>
          <w:rFonts w:cs="David;Times New Roman" w:ascii="Times New Roman" w:hAnsi="Times New Roman"/>
          <w:spacing w:val="0"/>
          <w:sz w:val="22"/>
          <w:szCs w:val="24"/>
          <w:rtl w:val="true"/>
        </w:rPr>
        <w:t>[</w:t>
      </w:r>
      <w:r>
        <w:rPr>
          <w:rFonts w:ascii="Times New Roman" w:hAnsi="Times New Roman" w:cs="David;Times New Roman"/>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Times New Roman"/>
          <w:spacing w:val="0"/>
          <w:sz w:val="22"/>
          <w:sz w:val="22"/>
          <w:szCs w:val="24"/>
          <w:rtl w:val="true"/>
        </w:rPr>
        <w:t>בנבו</w:t>
      </w:r>
      <w:r>
        <w:rPr>
          <w:rFonts w:cs="David;Times New Roman" w:ascii="Times New Roman" w:hAnsi="Times New Roman"/>
          <w:spacing w:val="0"/>
          <w:sz w:val="22"/>
          <w:szCs w:val="24"/>
          <w:rtl w:val="true"/>
        </w:rPr>
        <w:t xml:space="preserve">] </w:t>
      </w:r>
      <w:r>
        <w:rPr>
          <w:rtl w:val="true"/>
        </w:rPr>
        <w:t>(</w:t>
      </w:r>
      <w:r>
        <w:rPr/>
        <w:t>19.10.2004</w:t>
      </w:r>
      <w:r>
        <w:rPr>
          <w:rtl w:val="true"/>
        </w:rPr>
        <w:t xml:space="preserve">) </w:t>
      </w:r>
      <w:r>
        <w:rPr>
          <w:rtl w:val="true"/>
        </w:rPr>
        <w:t xml:space="preserve">בו העדיף בית המשפט את האינטרס השיקומי והמיר עונש </w:t>
      </w:r>
      <w:r>
        <w:rPr/>
        <w:t>40</w:t>
      </w:r>
      <w:r>
        <w:rPr>
          <w:rtl w:val="true"/>
        </w:rPr>
        <w:t xml:space="preserve"> </w:t>
      </w:r>
      <w:r>
        <w:rPr>
          <w:rtl w:val="true"/>
        </w:rPr>
        <w:t>חודשים של מאסר בפועל לעונש של שירות לטובת הציבור כדי לאפשר את השלמת ההליך השיקומי</w:t>
      </w:r>
      <w:r>
        <w:rPr>
          <w:rtl w:val="true"/>
        </w:rPr>
        <w:t xml:space="preserve">. </w:t>
      </w:r>
    </w:p>
    <w:p>
      <w:pPr>
        <w:pStyle w:val="Ruller41"/>
        <w:ind w:end="0"/>
        <w:jc w:val="both"/>
        <w:rPr/>
      </w:pPr>
      <w:r>
        <w:rPr>
          <w:rtl w:val="true"/>
        </w:rPr>
      </w:r>
    </w:p>
    <w:p>
      <w:pPr>
        <w:pStyle w:val="Ruller42"/>
        <w:numPr>
          <w:ilvl w:val="0"/>
          <w:numId w:val="2"/>
        </w:numPr>
        <w:ind w:end="0"/>
        <w:jc w:val="both"/>
        <w:rPr/>
      </w:pPr>
      <w:r>
        <w:rPr>
          <w:rtl w:val="true"/>
        </w:rPr>
        <w:t>עוד טוען המערער</w:t>
      </w:r>
      <w:r>
        <w:rPr>
          <w:rtl w:val="true"/>
        </w:rPr>
        <w:t xml:space="preserve">, </w:t>
      </w:r>
      <w:r>
        <w:rPr>
          <w:rtl w:val="true"/>
        </w:rPr>
        <w:t xml:space="preserve">כי שגה בית המשפט המחוזי בכך שייחס למערער התמכרות </w:t>
      </w:r>
      <w:r>
        <w:rPr>
          <w:rtl w:val="true"/>
        </w:rPr>
        <w:t>"</w:t>
      </w:r>
      <w:r>
        <w:rPr>
          <w:rtl w:val="true"/>
        </w:rPr>
        <w:t>קלה</w:t>
      </w:r>
      <w:r>
        <w:rPr>
          <w:rtl w:val="true"/>
        </w:rPr>
        <w:t xml:space="preserve">". </w:t>
      </w:r>
      <w:r>
        <w:rPr>
          <w:rtl w:val="true"/>
        </w:rPr>
        <w:t>לדבריו הצדדים לא טענו בעניין זה וכי שירות המבחן סבר שמדובר בהתמכרות אשר חייבה גמילה ושיקום</w:t>
      </w:r>
      <w:r>
        <w:rPr>
          <w:rtl w:val="true"/>
        </w:rPr>
        <w:t xml:space="preserve">. </w:t>
      </w:r>
    </w:p>
    <w:p>
      <w:pPr>
        <w:pStyle w:val="Ruller42"/>
        <w:numPr>
          <w:ilvl w:val="0"/>
          <w:numId w:val="0"/>
        </w:numPr>
        <w:spacing w:lineRule="auto" w:line="240"/>
        <w:ind w:hanging="0" w:start="0" w:end="0"/>
        <w:jc w:val="both"/>
        <w:rPr/>
      </w:pPr>
      <w:r>
        <w:rPr>
          <w:rtl w:val="true"/>
        </w:rPr>
      </w:r>
    </w:p>
    <w:p>
      <w:pPr>
        <w:pStyle w:val="Ruller42"/>
        <w:numPr>
          <w:ilvl w:val="0"/>
          <w:numId w:val="2"/>
        </w:numPr>
        <w:ind w:end="0"/>
        <w:jc w:val="both"/>
        <w:rPr/>
      </w:pPr>
      <w:r>
        <w:rPr>
          <w:rFonts w:eastAsia="Garamond"/>
          <w:rtl w:val="true"/>
        </w:rPr>
        <w:t xml:space="preserve"> </w:t>
      </w:r>
      <w:r>
        <w:rPr>
          <w:rtl w:val="true"/>
        </w:rPr>
        <w:t>לבסוף טוען המערער כי שגה בית המשפט המחוזי בכך שלא ייחס משקל מספק לכך שלא הוא זה שיזם את האירוע</w:t>
      </w:r>
      <w:r>
        <w:rPr>
          <w:rtl w:val="true"/>
        </w:rPr>
        <w:t xml:space="preserve">; </w:t>
      </w:r>
      <w:r>
        <w:rPr>
          <w:rtl w:val="true"/>
        </w:rPr>
        <w:t>לכך שהחזיק את הנשק במקום מרוחק מאזור מגוריו</w:t>
      </w:r>
      <w:r>
        <w:rPr>
          <w:rtl w:val="true"/>
        </w:rPr>
        <w:t xml:space="preserve">; </w:t>
      </w:r>
      <w:r>
        <w:rPr>
          <w:rtl w:val="true"/>
        </w:rPr>
        <w:t>לפוטנציאל הנזק הנמוך במקרה הנוכחי</w:t>
      </w:r>
      <w:r>
        <w:rPr>
          <w:rtl w:val="true"/>
        </w:rPr>
        <w:t xml:space="preserve">; </w:t>
      </w:r>
      <w:r>
        <w:rPr>
          <w:rtl w:val="true"/>
        </w:rPr>
        <w:t>וכן להודייתו המהירה שהביאה לחסכון זמן שיפוטי</w:t>
      </w:r>
      <w:r>
        <w:rPr>
          <w:rtl w:val="true"/>
        </w:rPr>
        <w:t xml:space="preserve">. </w:t>
      </w:r>
    </w:p>
    <w:p>
      <w:pPr>
        <w:pStyle w:val="Ruller41"/>
        <w:spacing w:lineRule="auto" w:line="240"/>
        <w:ind w:end="0"/>
        <w:jc w:val="both"/>
        <w:rPr/>
      </w:pPr>
      <w:r>
        <w:rPr>
          <w:rtl w:val="true"/>
        </w:rPr>
      </w:r>
    </w:p>
    <w:p>
      <w:pPr>
        <w:pStyle w:val="Ruller42"/>
        <w:numPr>
          <w:ilvl w:val="0"/>
          <w:numId w:val="2"/>
        </w:numPr>
        <w:ind w:end="0"/>
        <w:jc w:val="both"/>
        <w:rPr/>
      </w:pPr>
      <w:r>
        <w:rPr>
          <w:rtl w:val="true"/>
        </w:rPr>
        <w:t xml:space="preserve">בדיון לפנינו מיום </w:t>
      </w:r>
      <w:r>
        <w:rPr/>
        <w:t>26.02.2014</w:t>
      </w:r>
      <w:r>
        <w:rPr>
          <w:rtl w:val="true"/>
        </w:rPr>
        <w:t xml:space="preserve">, </w:t>
      </w:r>
      <w:r>
        <w:rPr>
          <w:rtl w:val="true"/>
        </w:rPr>
        <w:t>צמצם בא כוח המערער את הדיון לשאלה האם יש מקום לחרוג ממתחם הענישה לנוכח ההליך השיקומי אותו עבר המערער אשר לדברי אנשי המקצוע התוצאות שלו הן יוצאות דופן וראויות להערכה</w:t>
      </w:r>
      <w:r>
        <w:rPr>
          <w:rtl w:val="true"/>
        </w:rPr>
        <w:t xml:space="preserve">. </w:t>
      </w:r>
    </w:p>
    <w:p>
      <w:pPr>
        <w:pStyle w:val="Ruller41"/>
        <w:spacing w:lineRule="auto" w:line="240"/>
        <w:ind w:end="0"/>
        <w:jc w:val="both"/>
        <w:rPr/>
      </w:pPr>
      <w:r>
        <w:rPr>
          <w:rtl w:val="true"/>
        </w:rPr>
      </w:r>
    </w:p>
    <w:p>
      <w:pPr>
        <w:pStyle w:val="Ruller41"/>
        <w:ind w:end="0"/>
        <w:jc w:val="both"/>
        <w:rPr>
          <w:rFonts w:ascii="Century" w:hAnsi="Century"/>
          <w:b/>
          <w:spacing w:val="0"/>
          <w:szCs w:val="24"/>
        </w:rPr>
      </w:pPr>
      <w:r>
        <w:rPr>
          <w:rFonts w:ascii="Century" w:hAnsi="Century" w:cs="Miriam;Lucida Sans Unicode"/>
          <w:b/>
          <w:b/>
          <w:spacing w:val="0"/>
          <w:szCs w:val="24"/>
          <w:rtl w:val="true"/>
        </w:rPr>
        <w:t>תשובת</w:t>
      </w:r>
      <w:r>
        <w:rPr>
          <w:rFonts w:ascii="Century" w:hAnsi="Century" w:eastAsia="Century" w:cs="Century"/>
          <w:b/>
          <w:b/>
          <w:spacing w:val="0"/>
          <w:szCs w:val="24"/>
          <w:rtl w:val="true"/>
        </w:rPr>
        <w:t xml:space="preserve"> </w:t>
      </w:r>
      <w:r>
        <w:rPr>
          <w:rFonts w:ascii="Century" w:hAnsi="Century" w:cs="Miriam;Lucida Sans Unicode"/>
          <w:b/>
          <w:b/>
          <w:spacing w:val="0"/>
          <w:szCs w:val="24"/>
          <w:rtl w:val="true"/>
        </w:rPr>
        <w:t>המשיבה</w:t>
      </w:r>
    </w:p>
    <w:p>
      <w:pPr>
        <w:pStyle w:val="Ruller41"/>
        <w:spacing w:lineRule="auto" w:line="240"/>
        <w:ind w:end="0"/>
        <w:jc w:val="both"/>
        <w:rPr>
          <w:rFonts w:ascii="Century" w:hAnsi="Century" w:cs="Miriam;Lucida Sans Unicode"/>
          <w:b/>
          <w:spacing w:val="0"/>
          <w:szCs w:val="24"/>
        </w:rPr>
      </w:pPr>
      <w:r>
        <w:rPr>
          <w:rFonts w:cs="Miriam;Lucida Sans Unicode" w:ascii="Century" w:hAnsi="Century"/>
          <w:b/>
          <w:spacing w:val="0"/>
          <w:szCs w:val="24"/>
          <w:rtl w:val="true"/>
        </w:rPr>
      </w:r>
    </w:p>
    <w:p>
      <w:pPr>
        <w:pStyle w:val="Ruller42"/>
        <w:numPr>
          <w:ilvl w:val="0"/>
          <w:numId w:val="2"/>
        </w:numPr>
        <w:ind w:end="0"/>
        <w:jc w:val="both"/>
        <w:rPr/>
      </w:pPr>
      <w:r>
        <w:rPr>
          <w:rtl w:val="true"/>
        </w:rPr>
        <w:t xml:space="preserve">המשיבה טוענת כי חריגה ממתחם הענישה יכולה להיות קלה כדי לעודד הליכי שיקום אך איננה יכולה לרדת ממתחם ענישה של </w:t>
      </w:r>
      <w:r>
        <w:rPr/>
        <w:t>18-48</w:t>
      </w:r>
      <w:r>
        <w:rPr>
          <w:rtl w:val="true"/>
        </w:rPr>
        <w:t xml:space="preserve"> </w:t>
      </w:r>
      <w:r>
        <w:rPr>
          <w:rtl w:val="true"/>
        </w:rPr>
        <w:t>חודשי מאסר בפועל לעבודות שירות</w:t>
      </w:r>
      <w:r>
        <w:rPr>
          <w:rtl w:val="true"/>
        </w:rPr>
        <w:t xml:space="preserve">. </w:t>
      </w:r>
    </w:p>
    <w:p>
      <w:pPr>
        <w:pStyle w:val="Ruller41"/>
        <w:ind w:end="0"/>
        <w:jc w:val="both"/>
        <w:rPr/>
      </w:pPr>
      <w:r>
        <w:rPr>
          <w:rtl w:val="true"/>
        </w:rPr>
      </w:r>
    </w:p>
    <w:p>
      <w:pPr>
        <w:pStyle w:val="Ruller41"/>
        <w:ind w:end="0"/>
        <w:jc w:val="both"/>
        <w:rPr>
          <w:rFonts w:ascii="Century" w:hAnsi="Century" w:cs="Century"/>
        </w:rPr>
      </w:pPr>
      <w:r>
        <w:rPr>
          <w:rFonts w:ascii="Century" w:hAnsi="Century" w:cs="Miriam;Lucida Sans Unicode"/>
          <w:b/>
          <w:b/>
          <w:spacing w:val="0"/>
          <w:szCs w:val="24"/>
          <w:rtl w:val="true"/>
        </w:rPr>
        <w:t>תסקיר</w:t>
      </w:r>
      <w:r>
        <w:rPr>
          <w:rFonts w:ascii="Century" w:hAnsi="Century" w:eastAsia="Century" w:cs="Century"/>
          <w:b/>
          <w:b/>
          <w:spacing w:val="0"/>
          <w:szCs w:val="24"/>
          <w:rtl w:val="true"/>
        </w:rPr>
        <w:t xml:space="preserve"> </w:t>
      </w:r>
      <w:r>
        <w:rPr>
          <w:rFonts w:ascii="Century" w:hAnsi="Century" w:cs="Miriam;Lucida Sans Unicode"/>
          <w:b/>
          <w:b/>
          <w:spacing w:val="0"/>
          <w:szCs w:val="24"/>
          <w:rtl w:val="true"/>
        </w:rPr>
        <w:t>שירות</w:t>
      </w:r>
      <w:r>
        <w:rPr>
          <w:rFonts w:ascii="Century" w:hAnsi="Century" w:eastAsia="Century" w:cs="Century"/>
          <w:b/>
          <w:b/>
          <w:spacing w:val="0"/>
          <w:szCs w:val="24"/>
          <w:rtl w:val="true"/>
        </w:rPr>
        <w:t xml:space="preserve"> </w:t>
      </w:r>
      <w:r>
        <w:rPr>
          <w:rFonts w:ascii="Century" w:hAnsi="Century" w:cs="Miriam;Lucida Sans Unicode"/>
          <w:b/>
          <w:b/>
          <w:spacing w:val="0"/>
          <w:szCs w:val="24"/>
          <w:rtl w:val="true"/>
        </w:rPr>
        <w:t>המבחן</w:t>
      </w:r>
    </w:p>
    <w:p>
      <w:pPr>
        <w:pStyle w:val="Ruller41"/>
        <w:spacing w:lineRule="auto" w:line="240"/>
        <w:ind w:end="0"/>
        <w:jc w:val="both"/>
        <w:rPr>
          <w:rFonts w:ascii="Century" w:hAnsi="Century" w:cs="Century"/>
        </w:rPr>
      </w:pPr>
      <w:r>
        <w:rPr>
          <w:rFonts w:cs="Century" w:ascii="Century" w:hAnsi="Century"/>
          <w:rtl w:val="true"/>
        </w:rPr>
      </w:r>
    </w:p>
    <w:p>
      <w:pPr>
        <w:pStyle w:val="Ruller42"/>
        <w:numPr>
          <w:ilvl w:val="0"/>
          <w:numId w:val="2"/>
        </w:numPr>
        <w:ind w:end="0"/>
        <w:jc w:val="both"/>
        <w:rPr/>
      </w:pPr>
      <w:r>
        <w:rPr>
          <w:rtl w:val="true"/>
        </w:rPr>
        <w:t xml:space="preserve">ביום </w:t>
      </w:r>
      <w:r>
        <w:rPr/>
        <w:t>24.02.2014</w:t>
      </w:r>
      <w:r>
        <w:rPr>
          <w:rtl w:val="true"/>
        </w:rPr>
        <w:t xml:space="preserve"> </w:t>
      </w:r>
      <w:r>
        <w:rPr>
          <w:rtl w:val="true"/>
        </w:rPr>
        <w:t>הוגש תסקיר שירות מבחן משלים בעניינו של המערער</w:t>
      </w:r>
      <w:r>
        <w:rPr>
          <w:rtl w:val="true"/>
        </w:rPr>
        <w:t xml:space="preserve">. </w:t>
      </w:r>
      <w:r>
        <w:rPr>
          <w:rtl w:val="true"/>
        </w:rPr>
        <w:t>מהתסקיר שהוגש עולה כי הוא נמצא בשתי מסגרות טיפוליות</w:t>
      </w:r>
      <w:r>
        <w:rPr>
          <w:rtl w:val="true"/>
        </w:rPr>
        <w:t xml:space="preserve">, </w:t>
      </w:r>
      <w:r>
        <w:rPr>
          <w:rtl w:val="true"/>
        </w:rPr>
        <w:t>ובמהלך תקופה זו אינו עושה שימוש בסמים</w:t>
      </w:r>
      <w:r>
        <w:rPr>
          <w:rtl w:val="true"/>
        </w:rPr>
        <w:t xml:space="preserve">. </w:t>
      </w:r>
      <w:r>
        <w:rPr>
          <w:rtl w:val="true"/>
        </w:rPr>
        <w:t>עוד עולה כי הוא משתף פעולה בקביעות ובעל מוטיבציה להמשך הטיפול</w:t>
      </w:r>
      <w:r>
        <w:rPr>
          <w:rtl w:val="true"/>
        </w:rPr>
        <w:t xml:space="preserve">. </w:t>
      </w:r>
      <w:r>
        <w:rPr>
          <w:rtl w:val="true"/>
        </w:rPr>
        <w:t>שירות המבחן גם התרשם מיכולותיו ומאופיו</w:t>
      </w:r>
      <w:r>
        <w:rPr>
          <w:rtl w:val="true"/>
        </w:rPr>
        <w:t xml:space="preserve">, </w:t>
      </w:r>
      <w:r>
        <w:rPr>
          <w:rtl w:val="true"/>
        </w:rPr>
        <w:t>מרצונו הכן לנהל אורח חיים נורמטיבי וממאמציו להימנע מפעילות עבריינית</w:t>
      </w:r>
      <w:r>
        <w:rPr>
          <w:rtl w:val="true"/>
        </w:rPr>
        <w:t xml:space="preserve">. </w:t>
      </w:r>
      <w:r>
        <w:rPr>
          <w:rtl w:val="true"/>
        </w:rPr>
        <w:t>מהתסקיר עולה גם כי הוא נמצא בשלב מתקדם בטיפול ולקראת סיומו</w:t>
      </w:r>
      <w:r>
        <w:rPr>
          <w:rtl w:val="true"/>
        </w:rPr>
        <w:t xml:space="preserve">. </w:t>
      </w:r>
      <w:r>
        <w:rPr>
          <w:rtl w:val="true"/>
        </w:rPr>
        <w:t>שירות המבחן המליץ לנוכח האמור</w:t>
      </w:r>
      <w:r>
        <w:rPr>
          <w:rtl w:val="true"/>
        </w:rPr>
        <w:t xml:space="preserve">, </w:t>
      </w:r>
      <w:r>
        <w:rPr>
          <w:rtl w:val="true"/>
        </w:rPr>
        <w:t>לשקול לחרוג לקולה מרף הענישה המקובל ולהמיר את המאסר בפועל במאסר שירוצה בעבודות שירות לצד צו מבחן למשך שנה</w:t>
      </w:r>
      <w:r>
        <w:rPr>
          <w:rtl w:val="true"/>
        </w:rPr>
        <w:t xml:space="preserve">.  </w:t>
      </w:r>
    </w:p>
    <w:p>
      <w:pPr>
        <w:pStyle w:val="Ruller41"/>
        <w:ind w:end="0"/>
        <w:jc w:val="both"/>
        <w:rPr/>
      </w:pPr>
      <w:r>
        <w:rPr>
          <w:rtl w:val="true"/>
        </w:rPr>
      </w:r>
    </w:p>
    <w:p>
      <w:pPr>
        <w:pStyle w:val="Ruller41"/>
        <w:ind w:end="0"/>
        <w:jc w:val="both"/>
        <w:rPr>
          <w:rFonts w:ascii="Century" w:hAnsi="Century"/>
          <w:b/>
          <w:spacing w:val="0"/>
          <w:szCs w:val="24"/>
        </w:rPr>
      </w:pPr>
      <w:r>
        <w:rPr>
          <w:rFonts w:ascii="Century" w:hAnsi="Century" w:cs="Miriam;Lucida Sans Unicode"/>
          <w:b/>
          <w:b/>
          <w:spacing w:val="0"/>
          <w:szCs w:val="24"/>
          <w:rtl w:val="true"/>
        </w:rPr>
        <w:t>דיון</w:t>
      </w:r>
      <w:r>
        <w:rPr>
          <w:rFonts w:ascii="Century" w:hAnsi="Century" w:eastAsia="Century" w:cs="Century"/>
          <w:b/>
          <w:b/>
          <w:spacing w:val="0"/>
          <w:szCs w:val="24"/>
          <w:rtl w:val="true"/>
        </w:rPr>
        <w:t xml:space="preserve"> </w:t>
      </w:r>
      <w:r>
        <w:rPr>
          <w:rFonts w:ascii="Century" w:hAnsi="Century" w:cs="Miriam;Lucida Sans Unicode"/>
          <w:b/>
          <w:b/>
          <w:spacing w:val="0"/>
          <w:szCs w:val="24"/>
          <w:rtl w:val="true"/>
        </w:rPr>
        <w:t>והכרעה</w:t>
      </w:r>
    </w:p>
    <w:p>
      <w:pPr>
        <w:pStyle w:val="Ruller41"/>
        <w:spacing w:lineRule="auto" w:line="240"/>
        <w:ind w:end="0"/>
        <w:jc w:val="both"/>
        <w:rPr>
          <w:rFonts w:ascii="Century" w:hAnsi="Century" w:cs="Miriam;Lucida Sans Unicode"/>
          <w:b/>
          <w:spacing w:val="0"/>
          <w:szCs w:val="24"/>
        </w:rPr>
      </w:pPr>
      <w:r>
        <w:rPr>
          <w:rFonts w:cs="Miriam;Lucida Sans Unicode" w:ascii="Century" w:hAnsi="Century"/>
          <w:b/>
          <w:spacing w:val="0"/>
          <w:szCs w:val="24"/>
          <w:rtl w:val="true"/>
        </w:rPr>
      </w:r>
    </w:p>
    <w:p>
      <w:pPr>
        <w:pStyle w:val="Ruller42"/>
        <w:numPr>
          <w:ilvl w:val="0"/>
          <w:numId w:val="2"/>
        </w:numPr>
        <w:ind w:end="0"/>
        <w:jc w:val="both"/>
        <w:rPr/>
      </w:pPr>
      <w:r>
        <w:rPr>
          <w:rtl w:val="true"/>
        </w:rPr>
        <w:t xml:space="preserve">לאחר תיקון </w:t>
      </w:r>
      <w:r>
        <w:rPr/>
        <w:t>113</w:t>
      </w:r>
      <w:r>
        <w:rPr>
          <w:rtl w:val="true"/>
        </w:rPr>
        <w:t xml:space="preserve"> </w:t>
      </w:r>
      <w:r>
        <w:rPr>
          <w:rtl w:val="true"/>
        </w:rPr>
        <w:t>ל</w:t>
      </w:r>
      <w:hyperlink r:id="rId10">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r>
        <w:rPr>
          <w:rtl w:val="true"/>
        </w:rPr>
        <w:t>(</w:t>
      </w:r>
      <w:r>
        <w:rPr>
          <w:rFonts w:ascii="Century" w:hAnsi="Century" w:cs="Century"/>
          <w:sz w:val="22"/>
          <w:sz w:val="22"/>
          <w:rtl w:val="true"/>
        </w:rPr>
        <w:t>להלן</w:t>
      </w:r>
      <w:r>
        <w:rPr>
          <w:rFonts w:cs="Century" w:ascii="Century" w:hAnsi="Century"/>
          <w:sz w:val="22"/>
          <w:rtl w:val="true"/>
        </w:rPr>
        <w:t xml:space="preserve">: </w:t>
      </w:r>
      <w:r>
        <w:rPr>
          <w:rFonts w:ascii="Century" w:hAnsi="Century" w:cs="Miriam;Lucida Sans Unicode"/>
          <w:b/>
          <w:b/>
          <w:spacing w:val="0"/>
          <w:sz w:val="22"/>
          <w:sz w:val="22"/>
          <w:szCs w:val="24"/>
          <w:rtl w:val="true"/>
        </w:rPr>
        <w:t>התיקון</w:t>
      </w:r>
      <w:r>
        <w:rPr>
          <w:rFonts w:cs="Century" w:ascii="Century" w:hAnsi="Century"/>
          <w:sz w:val="22"/>
          <w:rtl w:val="true"/>
        </w:rPr>
        <w:t xml:space="preserve">), </w:t>
      </w:r>
      <w:r>
        <w:rPr>
          <w:rFonts w:ascii="Century" w:hAnsi="Century" w:cs="Century"/>
          <w:sz w:val="22"/>
          <w:sz w:val="22"/>
          <w:rtl w:val="true"/>
        </w:rPr>
        <w:t>גזירת העונש נחלקת לשלושה שלבים</w:t>
      </w:r>
      <w:r>
        <w:rPr>
          <w:rFonts w:cs="Century" w:ascii="Century" w:hAnsi="Century"/>
          <w:sz w:val="22"/>
          <w:rtl w:val="true"/>
        </w:rPr>
        <w:t xml:space="preserve">: </w:t>
      </w:r>
      <w:r>
        <w:rPr>
          <w:rFonts w:ascii="Century" w:hAnsi="Century" w:cs="Century"/>
          <w:sz w:val="22"/>
          <w:sz w:val="22"/>
          <w:rtl w:val="true"/>
        </w:rPr>
        <w:t>בשלב הראשון</w:t>
      </w:r>
      <w:r>
        <w:rPr>
          <w:rFonts w:cs="Century" w:ascii="Century" w:hAnsi="Century"/>
          <w:sz w:val="22"/>
          <w:rtl w:val="true"/>
        </w:rPr>
        <w:t xml:space="preserve">, </w:t>
      </w:r>
      <w:r>
        <w:rPr>
          <w:rFonts w:ascii="Century" w:hAnsi="Century" w:cs="Century"/>
          <w:sz w:val="22"/>
          <w:sz w:val="22"/>
          <w:rtl w:val="true"/>
        </w:rPr>
        <w:t>קובע בית המשפט את מתחם העונש ההולם את העבירה על נסיבותיה</w:t>
      </w:r>
      <w:r>
        <w:rPr>
          <w:rFonts w:cs="Century" w:ascii="Century" w:hAnsi="Century"/>
          <w:sz w:val="22"/>
          <w:rtl w:val="true"/>
        </w:rPr>
        <w:t xml:space="preserve">; </w:t>
      </w:r>
      <w:r>
        <w:rPr>
          <w:rFonts w:ascii="Century" w:hAnsi="Century" w:cs="Century"/>
          <w:sz w:val="22"/>
          <w:sz w:val="22"/>
          <w:rtl w:val="true"/>
        </w:rPr>
        <w:t>בשלב השני</w:t>
      </w:r>
      <w:r>
        <w:rPr>
          <w:rFonts w:cs="Century" w:ascii="Century" w:hAnsi="Century"/>
          <w:sz w:val="22"/>
          <w:rtl w:val="true"/>
        </w:rPr>
        <w:t xml:space="preserve">, </w:t>
      </w:r>
      <w:r>
        <w:rPr>
          <w:rFonts w:ascii="Century" w:hAnsi="Century" w:cs="Century"/>
          <w:sz w:val="22"/>
          <w:sz w:val="22"/>
          <w:rtl w:val="true"/>
        </w:rPr>
        <w:t xml:space="preserve">בוחן בית המשפט אם יש מקום </w:t>
      </w:r>
      <w:r>
        <w:rPr>
          <w:rtl w:val="true"/>
        </w:rPr>
        <w:t>לחרוג ממתחם זה לנוכח קיומו של פוטנציאל שיקומי משמעותי או צורך מיוחד בהגנה על הציבור</w:t>
      </w:r>
      <w:r>
        <w:rPr>
          <w:rtl w:val="true"/>
        </w:rPr>
        <w:t xml:space="preserve">; </w:t>
      </w:r>
      <w:r>
        <w:rPr>
          <w:rtl w:val="true"/>
        </w:rPr>
        <w:t>ובשלב השלישי</w:t>
      </w:r>
      <w:r>
        <w:rPr>
          <w:rtl w:val="true"/>
        </w:rPr>
        <w:t xml:space="preserve">, </w:t>
      </w:r>
      <w:r>
        <w:rPr>
          <w:rtl w:val="true"/>
        </w:rPr>
        <w:t>ככל שלא מצא בית המשפט להעדיף שיקולי שיקום או הגנה על הציבור</w:t>
      </w:r>
      <w:r>
        <w:rPr>
          <w:rtl w:val="true"/>
        </w:rPr>
        <w:t xml:space="preserve">, </w:t>
      </w:r>
      <w:r>
        <w:rPr>
          <w:rtl w:val="true"/>
        </w:rPr>
        <w:t>קובע הוא את העונש בתוך המתחם שקבע</w:t>
      </w:r>
      <w:r>
        <w:rPr>
          <w:rtl w:val="true"/>
        </w:rPr>
        <w:t xml:space="preserve">. </w:t>
      </w:r>
      <w:r>
        <w:rPr>
          <w:rtl w:val="true"/>
        </w:rPr>
        <w:t>בצד האמור יצוין</w:t>
      </w:r>
      <w:r>
        <w:rPr>
          <w:rtl w:val="true"/>
        </w:rPr>
        <w:t xml:space="preserve">, </w:t>
      </w:r>
      <w:r>
        <w:rPr>
          <w:rtl w:val="true"/>
        </w:rPr>
        <w:t xml:space="preserve">כי גם לאחר תיקון </w:t>
      </w:r>
      <w:r>
        <w:rPr/>
        <w:t>113</w:t>
      </w:r>
      <w:r>
        <w:rPr>
          <w:rtl w:val="true"/>
        </w:rPr>
        <w:t xml:space="preserve"> </w:t>
      </w:r>
      <w:r>
        <w:rPr>
          <w:rtl w:val="true"/>
        </w:rPr>
        <w:t>עומדת על מכונה ההלכה לפיה אין ערכאת הערעור מתערבת בחומרת העונש שנקבע על ידי הערכאה הדיונית</w:t>
      </w:r>
      <w:r>
        <w:rPr>
          <w:rtl w:val="true"/>
        </w:rPr>
        <w:t xml:space="preserve">, </w:t>
      </w:r>
      <w:r>
        <w:rPr>
          <w:rtl w:val="true"/>
        </w:rPr>
        <w:t xml:space="preserve">אלא במקרים חריגים </w:t>
      </w:r>
      <w:r>
        <w:rPr>
          <w:rtl w:val="true"/>
        </w:rPr>
        <w:t>(</w:t>
      </w:r>
      <w:r>
        <w:rPr>
          <w:rtl w:val="true"/>
        </w:rPr>
        <w:t>ראו למשל</w:t>
      </w:r>
      <w:r>
        <w:rPr>
          <w:rtl w:val="true"/>
        </w:rPr>
        <w:t xml:space="preserve">, </w:t>
      </w:r>
      <w:hyperlink r:id="rId11">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1274/12</w:t>
        </w:r>
      </w:hyperlink>
      <w:r>
        <w:rPr>
          <w:rFonts w:cs="Century" w:ascii="Century" w:hAnsi="Century"/>
          <w:sz w:val="22"/>
          <w:rtl w:val="true"/>
        </w:rPr>
        <w:t xml:space="preserve"> </w:t>
      </w:r>
      <w:r>
        <w:rPr>
          <w:rFonts w:ascii="Century" w:hAnsi="Century" w:cs="Miriam;Lucida Sans Unicode"/>
          <w:b/>
          <w:b/>
          <w:spacing w:val="0"/>
          <w:sz w:val="22"/>
          <w:sz w:val="22"/>
          <w:szCs w:val="24"/>
          <w:rtl w:val="true"/>
        </w:rPr>
        <w:t>פלוני</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נ</w:t>
      </w:r>
      <w:r>
        <w:rPr>
          <w:rFonts w:cs="Miriam;Lucida Sans Unicode" w:ascii="Century" w:hAnsi="Century"/>
          <w:b/>
          <w:spacing w:val="0"/>
          <w:sz w:val="22"/>
          <w:szCs w:val="24"/>
          <w:rtl w:val="true"/>
        </w:rPr>
        <w:t xml:space="preserve">' </w:t>
      </w:r>
      <w:r>
        <w:rPr>
          <w:rFonts w:ascii="Century" w:hAnsi="Century" w:cs="Miriam;Lucida Sans Unicode"/>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ישראל</w:t>
      </w:r>
      <w:r>
        <w:rPr>
          <w:rFonts w:cs="Century" w:ascii="Century" w:hAnsi="Century"/>
          <w:sz w:val="22"/>
          <w:rtl w:val="true"/>
        </w:rPr>
        <w:t xml:space="preserve">, </w:t>
      </w:r>
      <w:r>
        <w:rPr>
          <w:rFonts w:cs="David;Times New Roman" w:ascii="Times New Roman" w:hAnsi="Times New Roman"/>
          <w:spacing w:val="0"/>
          <w:sz w:val="22"/>
          <w:szCs w:val="24"/>
          <w:rtl w:val="true"/>
        </w:rPr>
        <w:t>[</w:t>
      </w:r>
      <w:r>
        <w:rPr>
          <w:rFonts w:ascii="Times New Roman" w:hAnsi="Times New Roman" w:cs="David;Times New Roman"/>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Times New Roman"/>
          <w:spacing w:val="0"/>
          <w:sz w:val="22"/>
          <w:sz w:val="22"/>
          <w:szCs w:val="24"/>
          <w:rtl w:val="true"/>
        </w:rPr>
        <w:t>בנבו</w:t>
      </w:r>
      <w:r>
        <w:rPr>
          <w:rFonts w:cs="David;Times New Roman" w:ascii="Times New Roman" w:hAnsi="Times New Roman"/>
          <w:spacing w:val="0"/>
          <w:sz w:val="22"/>
          <w:szCs w:val="24"/>
          <w:rtl w:val="true"/>
        </w:rPr>
        <w:t xml:space="preserve">] </w:t>
      </w:r>
      <w:r>
        <w:rPr>
          <w:rFonts w:ascii="Century" w:hAnsi="Century" w:cs="Century"/>
          <w:sz w:val="22"/>
          <w:sz w:val="22"/>
          <w:rtl w:val="true"/>
        </w:rPr>
        <w:t xml:space="preserve">פסקה </w:t>
      </w:r>
      <w:r>
        <w:rPr>
          <w:rFonts w:cs="Century" w:ascii="Century" w:hAnsi="Century"/>
          <w:sz w:val="22"/>
        </w:rPr>
        <w:t>12</w:t>
      </w:r>
      <w:r>
        <w:rPr>
          <w:rFonts w:cs="Century" w:ascii="Century" w:hAnsi="Century"/>
          <w:sz w:val="22"/>
          <w:rtl w:val="true"/>
        </w:rPr>
        <w:t xml:space="preserve"> (</w:t>
      </w:r>
      <w:r>
        <w:rPr>
          <w:rFonts w:cs="Century" w:ascii="Century" w:hAnsi="Century"/>
          <w:sz w:val="22"/>
        </w:rPr>
        <w:t>4.7.2013</w:t>
      </w:r>
      <w:r>
        <w:rPr>
          <w:rFonts w:cs="Century" w:ascii="Century" w:hAnsi="Century"/>
          <w:sz w:val="22"/>
          <w:rtl w:val="true"/>
        </w:rPr>
        <w:t>)).</w:t>
      </w:r>
    </w:p>
    <w:p>
      <w:pPr>
        <w:pStyle w:val="Ruller41"/>
        <w:spacing w:lineRule="auto" w:line="240"/>
        <w:ind w:end="0"/>
        <w:jc w:val="both"/>
        <w:rPr/>
      </w:pPr>
      <w:r>
        <w:rPr>
          <w:rtl w:val="true"/>
        </w:rPr>
      </w:r>
    </w:p>
    <w:p>
      <w:pPr>
        <w:pStyle w:val="Ruller42"/>
        <w:numPr>
          <w:ilvl w:val="0"/>
          <w:numId w:val="2"/>
        </w:numPr>
        <w:ind w:end="0"/>
        <w:jc w:val="both"/>
        <w:rPr/>
      </w:pPr>
      <w:r>
        <w:rPr>
          <w:rFonts w:eastAsia="Garamond"/>
          <w:rtl w:val="true"/>
        </w:rPr>
        <w:t xml:space="preserve"> </w:t>
      </w:r>
      <w:r>
        <w:rPr>
          <w:rtl w:val="true"/>
        </w:rPr>
        <w:t xml:space="preserve">בהתאם </w:t>
      </w:r>
      <w:hyperlink r:id="rId12">
        <w:r>
          <w:rPr>
            <w:rStyle w:val="Hyperlink"/>
            <w:color w:val="0000FF"/>
            <w:u w:val="single"/>
            <w:rtl w:val="true"/>
          </w:rPr>
          <w:t>לסעיף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ד</w:t>
        </w:r>
      </w:hyperlink>
      <w:r>
        <w:rPr>
          <w:rtl w:val="true"/>
        </w:rPr>
        <w:t xml:space="preserve"> לחוק</w:t>
      </w:r>
      <w:r>
        <w:rPr>
          <w:rtl w:val="true"/>
        </w:rPr>
        <w:t xml:space="preserve">, </w:t>
      </w:r>
      <w:r>
        <w:rPr>
          <w:rtl w:val="true"/>
        </w:rPr>
        <w:t>בית המשפט רשאי לחרוג ממתחם העונש ההולם</w:t>
      </w:r>
      <w:r>
        <w:rPr>
          <w:rtl w:val="true"/>
        </w:rPr>
        <w:t xml:space="preserve">, </w:t>
      </w:r>
      <w:r>
        <w:rPr>
          <w:rtl w:val="true"/>
        </w:rPr>
        <w:t xml:space="preserve">אם מצא כי </w:t>
      </w:r>
      <w:r>
        <w:rPr>
          <w:rtl w:val="true"/>
        </w:rPr>
        <w:t>"</w:t>
      </w:r>
      <w:r>
        <w:rPr>
          <w:rFonts w:ascii="Century" w:hAnsi="Century" w:cs="Miriam;Lucida Sans Unicode"/>
          <w:b/>
          <w:b/>
          <w:spacing w:val="0"/>
          <w:sz w:val="22"/>
          <w:sz w:val="22"/>
          <w:szCs w:val="24"/>
          <w:rtl w:val="true"/>
        </w:rPr>
        <w:t>הנאשם</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השתקם</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או</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כי</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יש</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סיכוי</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של</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ממש</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שישתקם</w:t>
      </w:r>
      <w:r>
        <w:rPr>
          <w:rFonts w:cs="Century" w:ascii="Century" w:hAnsi="Century"/>
          <w:sz w:val="22"/>
          <w:rtl w:val="true"/>
        </w:rPr>
        <w:t xml:space="preserve">". </w:t>
      </w:r>
      <w:r>
        <w:rPr>
          <w:rFonts w:ascii="Century" w:hAnsi="Century" w:cs="Century"/>
          <w:sz w:val="22"/>
          <w:sz w:val="22"/>
          <w:rtl w:val="true"/>
        </w:rPr>
        <w:t>וכפי שנקבע</w:t>
      </w:r>
      <w:r>
        <w:rPr>
          <w:rFonts w:cs="Century" w:ascii="Century" w:hAnsi="Century"/>
          <w:sz w:val="22"/>
          <w:rtl w:val="true"/>
        </w:rPr>
        <w:t xml:space="preserve">, </w:t>
      </w:r>
      <w:r>
        <w:rPr>
          <w:rFonts w:ascii="Century" w:hAnsi="Century" w:cs="Century"/>
          <w:sz w:val="22"/>
          <w:sz w:val="22"/>
          <w:rtl w:val="true"/>
        </w:rPr>
        <w:t xml:space="preserve">יש להצביע על פוטנציאל שיקומי גובה </w:t>
      </w:r>
      <w:r>
        <w:rPr>
          <w:rFonts w:cs="Century" w:ascii="Century" w:hAnsi="Century"/>
          <w:sz w:val="22"/>
          <w:rtl w:val="true"/>
        </w:rPr>
        <w:t>(</w:t>
      </w:r>
      <w:hyperlink r:id="rId13">
        <w:r>
          <w:rPr>
            <w:rStyle w:val="Hyperlink"/>
            <w:rFonts w:ascii="Century" w:hAnsi="Century" w:cs="Century"/>
            <w:color w:val="0000FF"/>
            <w:sz w:val="22"/>
            <w:sz w:val="22"/>
            <w:u w:val="single"/>
            <w:rtl w:val="true"/>
          </w:rPr>
          <w:t>ע</w:t>
        </w:r>
        <w:r>
          <w:rPr>
            <w:rStyle w:val="Hyperlink"/>
            <w:rFonts w:cs="Century" w:ascii="Century" w:hAnsi="Century"/>
            <w:color w:val="0000FF"/>
            <w:sz w:val="22"/>
            <w:u w:val="single"/>
            <w:rtl w:val="true"/>
          </w:rPr>
          <w:t>"</w:t>
        </w:r>
        <w:r>
          <w:rPr>
            <w:rStyle w:val="Hyperlink"/>
            <w:rFonts w:ascii="Century" w:hAnsi="Century" w:cs="Century"/>
            <w:color w:val="0000FF"/>
            <w:sz w:val="22"/>
            <w:sz w:val="22"/>
            <w:u w:val="single"/>
            <w:rtl w:val="true"/>
          </w:rPr>
          <w:t>פ</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1903/13</w:t>
        </w:r>
      </w:hyperlink>
      <w:r>
        <w:rPr>
          <w:rFonts w:cs="Century" w:ascii="Century" w:hAnsi="Century"/>
          <w:sz w:val="22"/>
          <w:rtl w:val="true"/>
        </w:rPr>
        <w:t xml:space="preserve"> </w:t>
      </w:r>
      <w:r>
        <w:rPr>
          <w:rFonts w:ascii="Century" w:hAnsi="Century" w:cs="Miriam;Lucida Sans Unicode"/>
          <w:b/>
          <w:b/>
          <w:spacing w:val="0"/>
          <w:sz w:val="22"/>
          <w:sz w:val="22"/>
          <w:szCs w:val="24"/>
          <w:rtl w:val="true"/>
        </w:rPr>
        <w:t>עיאשה</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נ</w:t>
      </w:r>
      <w:r>
        <w:rPr>
          <w:rFonts w:cs="Miriam;Lucida Sans Unicode" w:ascii="Century" w:hAnsi="Century"/>
          <w:b/>
          <w:spacing w:val="0"/>
          <w:sz w:val="22"/>
          <w:szCs w:val="24"/>
          <w:rtl w:val="true"/>
        </w:rPr>
        <w:t xml:space="preserve">' </w:t>
      </w:r>
      <w:r>
        <w:rPr>
          <w:rFonts w:ascii="Century" w:hAnsi="Century" w:cs="Miriam;Lucida Sans Unicode"/>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Lucida Sans Unicode"/>
          <w:b/>
          <w:b/>
          <w:spacing w:val="0"/>
          <w:sz w:val="22"/>
          <w:sz w:val="22"/>
          <w:szCs w:val="24"/>
          <w:rtl w:val="true"/>
        </w:rPr>
        <w:t>ישראל</w:t>
      </w:r>
      <w:r>
        <w:rPr>
          <w:rFonts w:cs="Miriam;Lucida Sans Unicode" w:ascii="Century" w:hAnsi="Century"/>
          <w:b/>
          <w:spacing w:val="0"/>
          <w:sz w:val="22"/>
          <w:szCs w:val="24"/>
          <w:rtl w:val="true"/>
        </w:rPr>
        <w:t xml:space="preserve">, </w:t>
      </w:r>
      <w:r>
        <w:rPr>
          <w:rFonts w:cs="David;Times New Roman" w:ascii="Times New Roman" w:hAnsi="Times New Roman"/>
          <w:spacing w:val="0"/>
          <w:sz w:val="22"/>
          <w:szCs w:val="24"/>
          <w:rtl w:val="true"/>
        </w:rPr>
        <w:t>[</w:t>
      </w:r>
      <w:r>
        <w:rPr>
          <w:rFonts w:ascii="Times New Roman" w:hAnsi="Times New Roman" w:cs="David;Times New Roman"/>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Times New Roman"/>
          <w:spacing w:val="0"/>
          <w:sz w:val="22"/>
          <w:sz w:val="22"/>
          <w:szCs w:val="24"/>
          <w:rtl w:val="true"/>
        </w:rPr>
        <w:t>בנבו</w:t>
      </w:r>
      <w:r>
        <w:rPr>
          <w:rFonts w:cs="David;Times New Roman" w:ascii="Times New Roman" w:hAnsi="Times New Roman"/>
          <w:spacing w:val="0"/>
          <w:sz w:val="22"/>
          <w:szCs w:val="24"/>
          <w:rtl w:val="true"/>
        </w:rPr>
        <w:t xml:space="preserve">] </w:t>
      </w:r>
      <w:r>
        <w:rPr>
          <w:rFonts w:ascii="Century" w:hAnsi="Century" w:cs="Century"/>
          <w:sz w:val="22"/>
          <w:sz w:val="22"/>
          <w:rtl w:val="true"/>
        </w:rPr>
        <w:t xml:space="preserve">פסקה </w:t>
      </w:r>
      <w:r>
        <w:rPr>
          <w:rFonts w:cs="Century" w:ascii="Century" w:hAnsi="Century"/>
          <w:sz w:val="22"/>
        </w:rPr>
        <w:t>7</w:t>
      </w:r>
      <w:r>
        <w:rPr>
          <w:rFonts w:cs="Miriam;Lucida Sans Unicode" w:ascii="Century" w:hAnsi="Century"/>
          <w:b/>
          <w:spacing w:val="0"/>
          <w:sz w:val="22"/>
          <w:szCs w:val="24"/>
          <w:rtl w:val="true"/>
        </w:rPr>
        <w:t xml:space="preserve"> </w:t>
      </w:r>
      <w:r>
        <w:rPr>
          <w:rFonts w:cs="Century" w:ascii="Century" w:hAnsi="Century"/>
          <w:sz w:val="22"/>
          <w:rtl w:val="true"/>
        </w:rPr>
        <w:t>(</w:t>
      </w:r>
      <w:r>
        <w:rPr>
          <w:rFonts w:cs="Century" w:ascii="Century" w:hAnsi="Century"/>
          <w:sz w:val="22"/>
        </w:rPr>
        <w:t>14.7.2013</w:t>
      </w:r>
      <w:r>
        <w:rPr>
          <w:rFonts w:cs="Century" w:ascii="Century" w:hAnsi="Century"/>
          <w:sz w:val="22"/>
          <w:rtl w:val="true"/>
        </w:rPr>
        <w:t xml:space="preserve">). </w:t>
      </w:r>
    </w:p>
    <w:p>
      <w:pPr>
        <w:pStyle w:val="Ruller41"/>
        <w:spacing w:lineRule="auto" w:line="240"/>
        <w:ind w:end="0"/>
        <w:jc w:val="both"/>
        <w:rPr/>
      </w:pPr>
      <w:r>
        <w:rPr>
          <w:rtl w:val="true"/>
        </w:rPr>
      </w:r>
    </w:p>
    <w:p>
      <w:pPr>
        <w:pStyle w:val="Ruller42"/>
        <w:numPr>
          <w:ilvl w:val="0"/>
          <w:numId w:val="2"/>
        </w:numPr>
        <w:ind w:end="0"/>
        <w:jc w:val="both"/>
        <w:rPr/>
      </w:pPr>
      <w:r>
        <w:rPr>
          <w:rtl w:val="true"/>
        </w:rPr>
        <w:t>לאחר שעיינו בגזר דינו של בית המשפט המחוזי</w:t>
      </w:r>
      <w:r>
        <w:rPr>
          <w:rtl w:val="true"/>
        </w:rPr>
        <w:t xml:space="preserve">, </w:t>
      </w:r>
      <w:r>
        <w:rPr>
          <w:rtl w:val="true"/>
        </w:rPr>
        <w:t>בהודעת הערעור ובתסקיר המשלים של שירות המבחן</w:t>
      </w:r>
      <w:r>
        <w:rPr>
          <w:rtl w:val="true"/>
        </w:rPr>
        <w:t xml:space="preserve">, </w:t>
      </w:r>
      <w:r>
        <w:rPr>
          <w:rtl w:val="true"/>
        </w:rPr>
        <w:t>ולאחר ששמענו את טענות הצדדים</w:t>
      </w:r>
      <w:r>
        <w:rPr>
          <w:rtl w:val="true"/>
        </w:rPr>
        <w:t xml:space="preserve">, </w:t>
      </w:r>
      <w:r>
        <w:rPr>
          <w:rtl w:val="true"/>
        </w:rPr>
        <w:t>הגענו למסקנה כי יש מקום לקבל את הערעור בחלקו</w:t>
      </w:r>
      <w:r>
        <w:rPr>
          <w:rtl w:val="true"/>
        </w:rPr>
        <w:t xml:space="preserve">. </w:t>
      </w:r>
      <w:r>
        <w:rPr>
          <w:rtl w:val="true"/>
        </w:rPr>
        <w:t>העונש שהשית בית המשפט המחוזי על המערער אינו חורג מרף הענישה המקובל</w:t>
      </w:r>
      <w:r>
        <w:rPr>
          <w:rtl w:val="true"/>
        </w:rPr>
        <w:t xml:space="preserve">. </w:t>
      </w:r>
      <w:r>
        <w:rPr>
          <w:rtl w:val="true"/>
        </w:rPr>
        <w:t>בית המשפט המחוזי שקל לקולה את התהליך השיקומי אותו עבר וקבע את עונשו ברף הנמוך של המתחם</w:t>
      </w:r>
      <w:r>
        <w:rPr>
          <w:rtl w:val="true"/>
        </w:rPr>
        <w:t xml:space="preserve">. </w:t>
      </w:r>
      <w:r>
        <w:rPr>
          <w:rtl w:val="true"/>
        </w:rPr>
        <w:t>לצד זאת</w:t>
      </w:r>
      <w:r>
        <w:rPr>
          <w:rtl w:val="true"/>
        </w:rPr>
        <w:t xml:space="preserve">, </w:t>
      </w:r>
      <w:r>
        <w:rPr>
          <w:rtl w:val="true"/>
        </w:rPr>
        <w:t>תסקיר המבחן המשלים  שנערך לאחר מתן גזר דינו של בית המשפט המחוזי מחזק את התסקיר הקודם ומצביע על פוטנציאל שיקומי גבוה במיוחד אשר מצדיק סטייה מהמתחם שנקבע באופן שמצדיק התערבות ערכאת הערעור</w:t>
      </w:r>
      <w:r>
        <w:rPr>
          <w:rtl w:val="true"/>
        </w:rPr>
        <w:t>.</w:t>
      </w:r>
    </w:p>
    <w:p>
      <w:pPr>
        <w:pStyle w:val="Ruller41"/>
        <w:spacing w:lineRule="auto" w:line="240"/>
        <w:ind w:end="0"/>
        <w:jc w:val="both"/>
        <w:rPr/>
      </w:pPr>
      <w:r>
        <w:rPr>
          <w:rtl w:val="true"/>
        </w:rPr>
      </w:r>
    </w:p>
    <w:p>
      <w:pPr>
        <w:pStyle w:val="Ruller42"/>
        <w:numPr>
          <w:ilvl w:val="0"/>
          <w:numId w:val="2"/>
        </w:numPr>
        <w:ind w:end="0"/>
        <w:jc w:val="both"/>
        <w:rPr/>
      </w:pPr>
      <w:r>
        <w:rPr>
          <w:rtl w:val="true"/>
        </w:rPr>
        <w:t>תסקיר המבחן בעניינו של המערער מגלה פוטנציאל שיקומי ממשי</w:t>
      </w:r>
      <w:r>
        <w:rPr>
          <w:rtl w:val="true"/>
        </w:rPr>
        <w:t xml:space="preserve">. </w:t>
      </w:r>
      <w:r>
        <w:rPr>
          <w:rtl w:val="true"/>
        </w:rPr>
        <w:t>המערער נמצא בשלב מתקדם בטיפול ולקראת סיומו והבדיקות מראות כי איננו עושה שימוש בסמים</w:t>
      </w:r>
      <w:r>
        <w:rPr>
          <w:rtl w:val="true"/>
        </w:rPr>
        <w:t xml:space="preserve">. </w:t>
      </w:r>
      <w:r>
        <w:rPr>
          <w:rtl w:val="true"/>
        </w:rPr>
        <w:t>שירות המבחן המליץ להשית על המערער עונש מאסר שיבוצע בעבודות שירות</w:t>
      </w:r>
      <w:r>
        <w:rPr>
          <w:rtl w:val="true"/>
        </w:rPr>
        <w:t xml:space="preserve">. </w:t>
      </w:r>
      <w:r>
        <w:rPr>
          <w:rtl w:val="true"/>
        </w:rPr>
        <w:t>כמו כן</w:t>
      </w:r>
      <w:r>
        <w:rPr>
          <w:rtl w:val="true"/>
        </w:rPr>
        <w:t xml:space="preserve">, </w:t>
      </w:r>
      <w:r>
        <w:rPr>
          <w:rtl w:val="true"/>
        </w:rPr>
        <w:t>מאופן התנהלותו של המערער ניתן ללמוד על שיתוף פעולה עם שירות המבחן</w:t>
      </w:r>
      <w:r>
        <w:rPr>
          <w:rtl w:val="true"/>
        </w:rPr>
        <w:t xml:space="preserve">, </w:t>
      </w:r>
      <w:r>
        <w:rPr>
          <w:rtl w:val="true"/>
        </w:rPr>
        <w:t>מה שמעיד על רצונו להשתקם</w:t>
      </w:r>
      <w:r>
        <w:rPr>
          <w:rtl w:val="true"/>
        </w:rPr>
        <w:t xml:space="preserve">. </w:t>
      </w:r>
      <w:r>
        <w:rPr>
          <w:rtl w:val="true"/>
        </w:rPr>
        <w:t>מהתסקיר נראה גם כי היום</w:t>
      </w:r>
      <w:r>
        <w:rPr>
          <w:rtl w:val="true"/>
        </w:rPr>
        <w:t xml:space="preserve">, </w:t>
      </w:r>
      <w:r>
        <w:rPr>
          <w:rtl w:val="true"/>
        </w:rPr>
        <w:t>בניגוד לעבר</w:t>
      </w:r>
      <w:r>
        <w:rPr>
          <w:rtl w:val="true"/>
        </w:rPr>
        <w:t xml:space="preserve">, </w:t>
      </w:r>
      <w:r>
        <w:rPr>
          <w:rtl w:val="true"/>
        </w:rPr>
        <w:t>רואה המערער את היתרונות בניהול אורח חיים נורמטיבי והוא מצליח למלא את החסכים הרגשיים באמצעות הקשר הטיפולי במסגרות שונות ולא באמצעות שימוש בסמים</w:t>
      </w:r>
      <w:r>
        <w:rPr>
          <w:rtl w:val="true"/>
        </w:rPr>
        <w:t xml:space="preserve">. </w:t>
      </w:r>
      <w:r>
        <w:rPr>
          <w:rtl w:val="true"/>
        </w:rPr>
        <w:t>כל אלו</w:t>
      </w:r>
      <w:r>
        <w:rPr>
          <w:rtl w:val="true"/>
        </w:rPr>
        <w:t xml:space="preserve">, </w:t>
      </w:r>
      <w:r>
        <w:rPr>
          <w:rtl w:val="true"/>
        </w:rPr>
        <w:t>לצד החרטה שהביע על מעשיו</w:t>
      </w:r>
      <w:r>
        <w:rPr>
          <w:rtl w:val="true"/>
        </w:rPr>
        <w:t xml:space="preserve">, </w:t>
      </w:r>
      <w:r>
        <w:rPr>
          <w:rtl w:val="true"/>
        </w:rPr>
        <w:t>מביאים למסקנה כי למערער סיכוי של ממש להשתקם</w:t>
      </w:r>
      <w:r>
        <w:rPr>
          <w:rtl w:val="true"/>
        </w:rPr>
        <w:t xml:space="preserve">, </w:t>
      </w:r>
      <w:r>
        <w:rPr>
          <w:rtl w:val="true"/>
        </w:rPr>
        <w:t>באופן המצדיק לחרוג מהמתחם שנקבע</w:t>
      </w:r>
      <w:r>
        <w:rPr>
          <w:rtl w:val="true"/>
        </w:rPr>
        <w:t xml:space="preserve">. </w:t>
      </w:r>
    </w:p>
    <w:p>
      <w:pPr>
        <w:pStyle w:val="Ruller41"/>
        <w:spacing w:lineRule="auto" w:line="480"/>
        <w:ind w:end="0"/>
        <w:jc w:val="both"/>
        <w:rPr/>
      </w:pPr>
      <w:r>
        <w:rPr>
          <w:rtl w:val="true"/>
        </w:rPr>
      </w:r>
    </w:p>
    <w:p>
      <w:pPr>
        <w:pStyle w:val="Ruller42"/>
        <w:numPr>
          <w:ilvl w:val="0"/>
          <w:numId w:val="2"/>
        </w:numPr>
        <w:ind w:end="0"/>
        <w:jc w:val="both"/>
        <w:rPr/>
      </w:pPr>
      <w:r>
        <w:rPr>
          <w:rtl w:val="true"/>
        </w:rPr>
        <w:t>על כן</w:t>
      </w:r>
      <w:r>
        <w:rPr>
          <w:rtl w:val="true"/>
        </w:rPr>
        <w:t xml:space="preserve">, </w:t>
      </w:r>
      <w:r>
        <w:rPr>
          <w:rtl w:val="true"/>
        </w:rPr>
        <w:t xml:space="preserve">אנו מקבלים את הערעור במובן זה שעונשו של המערער יעמוד על </w:t>
      </w:r>
      <w:r>
        <w:rPr/>
        <w:t>16</w:t>
      </w:r>
      <w:r>
        <w:rPr>
          <w:rtl w:val="true"/>
        </w:rPr>
        <w:t xml:space="preserve"> </w:t>
      </w:r>
      <w:r>
        <w:rPr>
          <w:rtl w:val="true"/>
        </w:rPr>
        <w:t xml:space="preserve">חודשים במקום </w:t>
      </w:r>
      <w:r>
        <w:rPr/>
        <w:t>22</w:t>
      </w:r>
      <w:r>
        <w:rPr>
          <w:rtl w:val="true"/>
        </w:rPr>
        <w:t xml:space="preserve"> </w:t>
      </w:r>
      <w:r>
        <w:rPr>
          <w:rtl w:val="true"/>
        </w:rPr>
        <w:t>חודשי מאסר בפועל שהוטלו עליו בבית המשפט המחוזי</w:t>
      </w:r>
      <w:r>
        <w:rPr>
          <w:rtl w:val="true"/>
        </w:rPr>
        <w:t xml:space="preserve">. </w:t>
      </w:r>
      <w:r>
        <w:rPr>
          <w:rtl w:val="true"/>
        </w:rPr>
        <w:t>עונש המאסר על תנאי שקבע בית המשפט המחוזי יישאר בעינו</w:t>
      </w:r>
      <w:r>
        <w:rPr>
          <w:rtl w:val="true"/>
        </w:rPr>
        <w:t>.</w:t>
      </w:r>
    </w:p>
    <w:p>
      <w:pPr>
        <w:pStyle w:val="Ruller42"/>
        <w:numPr>
          <w:ilvl w:val="0"/>
          <w:numId w:val="0"/>
        </w:numPr>
        <w:spacing w:lineRule="auto" w:line="480"/>
        <w:ind w:hanging="0" w:start="0" w:end="0"/>
        <w:jc w:val="both"/>
        <w:rPr/>
      </w:pPr>
      <w:r>
        <w:rPr>
          <w:rtl w:val="true"/>
        </w:rPr>
      </w:r>
    </w:p>
    <w:p>
      <w:pPr>
        <w:pStyle w:val="Ruller41"/>
        <w:ind w:end="0"/>
        <w:jc w:val="both"/>
        <w:rPr/>
      </w:pPr>
      <w:r>
        <w:rPr/>
        <w:t>18</w:t>
      </w:r>
      <w:r>
        <w:rPr>
          <w:rtl w:val="true"/>
        </w:rPr>
        <w:t>.</w:t>
        <w:tab/>
      </w:r>
      <w:r>
        <w:rPr>
          <w:rtl w:val="true"/>
        </w:rPr>
        <w:t>על</w:t>
      </w:r>
      <w:r>
        <w:rPr>
          <w:rFonts w:eastAsia="Arial TUR;Arial" w:cs="Arial TUR;Arial"/>
          <w:rtl w:val="true"/>
        </w:rPr>
        <w:t xml:space="preserve"> </w:t>
      </w:r>
      <w:r>
        <w:rPr>
          <w:rtl w:val="true"/>
        </w:rPr>
        <w:t>המערער</w:t>
      </w:r>
      <w:r>
        <w:rPr>
          <w:rFonts w:eastAsia="Arial TUR;Arial" w:cs="Arial TUR;Arial"/>
          <w:rtl w:val="true"/>
        </w:rPr>
        <w:t xml:space="preserve"> </w:t>
      </w:r>
      <w:r>
        <w:rPr>
          <w:rtl w:val="true"/>
        </w:rPr>
        <w:t>להתייצב</w:t>
      </w:r>
      <w:r>
        <w:rPr>
          <w:rFonts w:eastAsia="Arial TUR;Arial" w:cs="Arial TUR;Arial"/>
          <w:rtl w:val="true"/>
        </w:rPr>
        <w:t xml:space="preserve"> </w:t>
      </w:r>
      <w:r>
        <w:rPr>
          <w:rtl w:val="true"/>
        </w:rPr>
        <w:t>לשם</w:t>
      </w:r>
      <w:r>
        <w:rPr>
          <w:rFonts w:eastAsia="Arial TUR;Arial" w:cs="Arial TUR;Arial"/>
          <w:rtl w:val="true"/>
        </w:rPr>
        <w:t xml:space="preserve"> </w:t>
      </w:r>
      <w:r>
        <w:rPr>
          <w:rtl w:val="true"/>
        </w:rPr>
        <w:t>תחילת</w:t>
      </w:r>
      <w:r>
        <w:rPr>
          <w:rFonts w:eastAsia="Arial TUR;Arial" w:cs="Arial TUR;Arial"/>
          <w:rtl w:val="true"/>
        </w:rPr>
        <w:t xml:space="preserve"> </w:t>
      </w:r>
      <w:r>
        <w:rPr>
          <w:rtl w:val="true"/>
        </w:rPr>
        <w:t>ריצוי</w:t>
      </w:r>
      <w:r>
        <w:rPr>
          <w:rFonts w:eastAsia="Arial TUR;Arial" w:cs="Arial TUR;Arial"/>
          <w:rtl w:val="true"/>
        </w:rPr>
        <w:t xml:space="preserve"> </w:t>
      </w:r>
      <w:r>
        <w:rPr>
          <w:rtl w:val="true"/>
        </w:rPr>
        <w:t>עונשו</w:t>
      </w:r>
      <w:r>
        <w:rPr>
          <w:rFonts w:eastAsia="Arial TUR;Arial" w:cs="Arial TUR;Arial"/>
          <w:rtl w:val="true"/>
        </w:rPr>
        <w:t xml:space="preserve"> </w:t>
      </w:r>
      <w:r>
        <w:rPr>
          <w:rtl w:val="true"/>
        </w:rPr>
        <w:t>ביום</w:t>
      </w:r>
      <w:r>
        <w:rPr>
          <w:rFonts w:eastAsia="Arial TUR;Arial" w:cs="Arial TUR;Arial"/>
          <w:rtl w:val="true"/>
        </w:rPr>
        <w:t xml:space="preserve"> </w:t>
      </w:r>
      <w:r>
        <w:rPr/>
        <w:t>13.3.14</w:t>
      </w:r>
      <w:r>
        <w:rPr>
          <w:rtl w:val="true"/>
        </w:rPr>
        <w:t xml:space="preserve"> </w:t>
      </w:r>
      <w:r>
        <w:rPr>
          <w:rtl w:val="true"/>
        </w:rPr>
        <w:t>לא</w:t>
      </w:r>
      <w:r>
        <w:rPr>
          <w:rFonts w:eastAsia="Arial TUR;Arial" w:cs="Arial TUR;Arial"/>
          <w:rtl w:val="true"/>
        </w:rPr>
        <w:t xml:space="preserve"> </w:t>
      </w:r>
      <w:r>
        <w:rPr>
          <w:rtl w:val="true"/>
        </w:rPr>
        <w:t>יאוחר</w:t>
      </w:r>
      <w:r>
        <w:rPr>
          <w:rFonts w:eastAsia="Arial TUR;Arial" w:cs="Arial TUR;Arial"/>
          <w:rtl w:val="true"/>
        </w:rPr>
        <w:t xml:space="preserve"> </w:t>
      </w:r>
      <w:r>
        <w:rPr>
          <w:rtl w:val="true"/>
        </w:rPr>
        <w:t>מהשעה</w:t>
      </w:r>
      <w:r>
        <w:rPr>
          <w:rFonts w:eastAsia="Arial TUR;Arial" w:cs="Arial TUR;Arial"/>
          <w:rtl w:val="true"/>
        </w:rPr>
        <w:t xml:space="preserve"> </w:t>
      </w:r>
      <w:r>
        <w:rPr/>
        <w:t>10:00</w:t>
      </w:r>
      <w:r>
        <w:rPr>
          <w:rtl w:val="true"/>
        </w:rPr>
        <w:t xml:space="preserve"> </w:t>
      </w:r>
      <w:r>
        <w:rPr>
          <w:rtl w:val="true"/>
        </w:rPr>
        <w:t>בימ</w:t>
      </w:r>
      <w:r>
        <w:rPr>
          <w:rtl w:val="true"/>
        </w:rPr>
        <w:t>"</w:t>
      </w:r>
      <w:r>
        <w:rPr>
          <w:rtl w:val="true"/>
        </w:rPr>
        <w:t>ר</w:t>
      </w:r>
      <w:r>
        <w:rPr>
          <w:rFonts w:eastAsia="Arial TUR;Arial" w:cs="Arial TUR;Arial"/>
          <w:rtl w:val="true"/>
        </w:rPr>
        <w:t xml:space="preserve"> </w:t>
      </w:r>
      <w:r>
        <w:rPr>
          <w:rtl w:val="true"/>
        </w:rPr>
        <w:t>"</w:t>
      </w:r>
      <w:r>
        <w:rPr>
          <w:rtl w:val="true"/>
        </w:rPr>
        <w:t>דקל</w:t>
      </w:r>
      <w:r>
        <w:rPr>
          <w:rtl w:val="true"/>
        </w:rPr>
        <w:t xml:space="preserve">", </w:t>
      </w:r>
      <w:r>
        <w:rPr>
          <w:rtl w:val="true"/>
        </w:rPr>
        <w:t>או</w:t>
      </w:r>
      <w:r>
        <w:rPr>
          <w:rFonts w:eastAsia="Arial TUR;Arial" w:cs="Arial TUR;Arial"/>
          <w:rtl w:val="true"/>
        </w:rPr>
        <w:t xml:space="preserve"> </w:t>
      </w:r>
      <w:r>
        <w:rPr>
          <w:rtl w:val="true"/>
        </w:rPr>
        <w:t>על</w:t>
      </w:r>
      <w:r>
        <w:rPr>
          <w:rFonts w:eastAsia="Arial TUR;Arial" w:cs="Arial TUR;Arial"/>
          <w:rtl w:val="true"/>
        </w:rPr>
        <w:t xml:space="preserve"> </w:t>
      </w:r>
      <w:r>
        <w:rPr>
          <w:rtl w:val="true"/>
        </w:rPr>
        <w:t>פי</w:t>
      </w:r>
      <w:r>
        <w:rPr>
          <w:rFonts w:eastAsia="Arial TUR;Arial" w:cs="Arial TUR;Arial"/>
          <w:rtl w:val="true"/>
        </w:rPr>
        <w:t xml:space="preserve"> </w:t>
      </w:r>
      <w:r>
        <w:rPr>
          <w:rtl w:val="true"/>
        </w:rPr>
        <w:t>החלטת</w:t>
      </w:r>
      <w:r>
        <w:rPr>
          <w:rFonts w:eastAsia="Arial TUR;Arial" w:cs="Arial TUR;Arial"/>
          <w:rtl w:val="true"/>
        </w:rPr>
        <w:t xml:space="preserve"> </w:t>
      </w:r>
      <w:r>
        <w:rPr>
          <w:rtl w:val="true"/>
        </w:rPr>
        <w:t>שירות</w:t>
      </w:r>
      <w:r>
        <w:rPr>
          <w:rFonts w:eastAsia="Arial TUR;Arial" w:cs="Arial TUR;Arial"/>
          <w:rtl w:val="true"/>
        </w:rPr>
        <w:t xml:space="preserve"> </w:t>
      </w:r>
      <w:r>
        <w:rPr>
          <w:rtl w:val="true"/>
        </w:rPr>
        <w:t>בתי</w:t>
      </w:r>
      <w:r>
        <w:rPr>
          <w:rFonts w:eastAsia="Arial TUR;Arial" w:cs="Arial TUR;Arial"/>
          <w:rtl w:val="true"/>
        </w:rPr>
        <w:t xml:space="preserve"> </w:t>
      </w:r>
      <w:r>
        <w:rPr>
          <w:rtl w:val="true"/>
        </w:rPr>
        <w:t>הסוהר</w:t>
      </w:r>
      <w:r>
        <w:rPr>
          <w:rtl w:val="true"/>
        </w:rPr>
        <w:t xml:space="preserve">, </w:t>
      </w:r>
      <w:r>
        <w:rPr>
          <w:rtl w:val="true"/>
        </w:rPr>
        <w:t>כשברשותו</w:t>
      </w:r>
      <w:r>
        <w:rPr>
          <w:rFonts w:eastAsia="Arial TUR;Arial" w:cs="Arial TUR;Arial"/>
          <w:rtl w:val="true"/>
        </w:rPr>
        <w:t xml:space="preserve"> </w:t>
      </w:r>
      <w:r>
        <w:rPr>
          <w:rtl w:val="true"/>
        </w:rPr>
        <w:t>תעודת</w:t>
      </w:r>
      <w:r>
        <w:rPr>
          <w:rFonts w:eastAsia="Arial TUR;Arial" w:cs="Arial TUR;Arial"/>
          <w:rtl w:val="true"/>
        </w:rPr>
        <w:t xml:space="preserve"> </w:t>
      </w:r>
      <w:r>
        <w:rPr>
          <w:rtl w:val="true"/>
        </w:rPr>
        <w:t>זהות</w:t>
      </w:r>
      <w:r>
        <w:rPr>
          <w:rFonts w:eastAsia="Arial TUR;Arial" w:cs="Arial TUR;Arial"/>
          <w:rtl w:val="true"/>
        </w:rPr>
        <w:t xml:space="preserve"> </w:t>
      </w:r>
      <w:r>
        <w:rPr>
          <w:rtl w:val="true"/>
        </w:rPr>
        <w:t>או</w:t>
      </w:r>
      <w:r>
        <w:rPr>
          <w:rFonts w:eastAsia="Arial TUR;Arial" w:cs="Arial TUR;Arial"/>
          <w:rtl w:val="true"/>
        </w:rPr>
        <w:t xml:space="preserve"> </w:t>
      </w:r>
      <w:r>
        <w:rPr>
          <w:rtl w:val="true"/>
        </w:rPr>
        <w:t>דרכון</w:t>
      </w:r>
      <w:r>
        <w:rPr>
          <w:rtl w:val="true"/>
        </w:rPr>
        <w:t xml:space="preserve">. </w:t>
      </w:r>
      <w:r>
        <w:rPr>
          <w:rtl w:val="true"/>
        </w:rPr>
        <w:t>עליו</w:t>
      </w:r>
      <w:r>
        <w:rPr>
          <w:rFonts w:eastAsia="Arial TUR;Arial" w:cs="Arial TUR;Arial"/>
          <w:rtl w:val="true"/>
        </w:rPr>
        <w:t xml:space="preserve"> </w:t>
      </w:r>
      <w:r>
        <w:rPr>
          <w:rtl w:val="true"/>
        </w:rPr>
        <w:t>לתאם</w:t>
      </w:r>
      <w:r>
        <w:rPr>
          <w:rFonts w:eastAsia="Arial TUR;Arial" w:cs="Arial TUR;Arial"/>
          <w:rtl w:val="true"/>
        </w:rPr>
        <w:t xml:space="preserve"> </w:t>
      </w:r>
      <w:r>
        <w:rPr>
          <w:rtl w:val="true"/>
        </w:rPr>
        <w:t>את</w:t>
      </w:r>
      <w:r>
        <w:rPr>
          <w:rFonts w:eastAsia="Arial TUR;Arial" w:cs="Arial TUR;Arial"/>
          <w:rtl w:val="true"/>
        </w:rPr>
        <w:t xml:space="preserve"> </w:t>
      </w:r>
      <w:r>
        <w:rPr>
          <w:rtl w:val="true"/>
        </w:rPr>
        <w:t>הכניסה</w:t>
      </w:r>
      <w:r>
        <w:rPr>
          <w:rFonts w:eastAsia="Arial TUR;Arial" w:cs="Arial TUR;Arial"/>
          <w:rtl w:val="true"/>
        </w:rPr>
        <w:t xml:space="preserve"> </w:t>
      </w:r>
      <w:r>
        <w:rPr>
          <w:rtl w:val="true"/>
        </w:rPr>
        <w:t>למאסר</w:t>
      </w:r>
      <w:r>
        <w:rPr>
          <w:rtl w:val="true"/>
        </w:rPr>
        <w:t xml:space="preserve">, </w:t>
      </w:r>
      <w:r>
        <w:rPr>
          <w:rtl w:val="true"/>
        </w:rPr>
        <w:t>כולל</w:t>
      </w:r>
      <w:r>
        <w:rPr>
          <w:rFonts w:eastAsia="Arial TUR;Arial" w:cs="Arial TUR;Arial"/>
          <w:rtl w:val="true"/>
        </w:rPr>
        <w:t xml:space="preserve"> </w:t>
      </w:r>
      <w:r>
        <w:rPr>
          <w:rtl w:val="true"/>
        </w:rPr>
        <w:t>האפשרות</w:t>
      </w:r>
      <w:r>
        <w:rPr>
          <w:rFonts w:eastAsia="Arial TUR;Arial" w:cs="Arial TUR;Arial"/>
          <w:rtl w:val="true"/>
        </w:rPr>
        <w:t xml:space="preserve"> </w:t>
      </w:r>
      <w:r>
        <w:rPr>
          <w:rtl w:val="true"/>
        </w:rPr>
        <w:t>למיון</w:t>
      </w:r>
      <w:r>
        <w:rPr>
          <w:rFonts w:eastAsia="Arial TUR;Arial" w:cs="Arial TUR;Arial"/>
          <w:rtl w:val="true"/>
        </w:rPr>
        <w:t xml:space="preserve"> </w:t>
      </w:r>
      <w:r>
        <w:rPr>
          <w:rtl w:val="true"/>
        </w:rPr>
        <w:t>מוקדם</w:t>
      </w:r>
      <w:r>
        <w:rPr>
          <w:rtl w:val="true"/>
        </w:rPr>
        <w:t xml:space="preserve">, </w:t>
      </w:r>
      <w:r>
        <w:rPr>
          <w:rtl w:val="true"/>
        </w:rPr>
        <w:t>עם</w:t>
      </w:r>
      <w:r>
        <w:rPr>
          <w:rFonts w:eastAsia="Arial TUR;Arial" w:cs="Arial TUR;Arial"/>
          <w:rtl w:val="true"/>
        </w:rPr>
        <w:t xml:space="preserve"> </w:t>
      </w:r>
      <w:r>
        <w:rPr>
          <w:rtl w:val="true"/>
        </w:rPr>
        <w:t>ענף</w:t>
      </w:r>
      <w:r>
        <w:rPr>
          <w:rFonts w:eastAsia="Arial TUR;Arial" w:cs="Arial TUR;Arial"/>
          <w:rtl w:val="true"/>
        </w:rPr>
        <w:t xml:space="preserve"> </w:t>
      </w:r>
      <w:r>
        <w:rPr>
          <w:rtl w:val="true"/>
        </w:rPr>
        <w:t>אבחון</w:t>
      </w:r>
      <w:r>
        <w:rPr>
          <w:rFonts w:eastAsia="Arial TUR;Arial" w:cs="Arial TUR;Arial"/>
          <w:rtl w:val="true"/>
        </w:rPr>
        <w:t xml:space="preserve"> </w:t>
      </w:r>
      <w:r>
        <w:rPr>
          <w:rtl w:val="true"/>
        </w:rPr>
        <w:t>ומיון</w:t>
      </w:r>
      <w:r>
        <w:rPr>
          <w:rFonts w:eastAsia="Arial TUR;Arial" w:cs="Arial TUR;Arial"/>
          <w:rtl w:val="true"/>
        </w:rPr>
        <w:t xml:space="preserve"> </w:t>
      </w:r>
      <w:r>
        <w:rPr>
          <w:rtl w:val="true"/>
        </w:rPr>
        <w:t>של</w:t>
      </w:r>
      <w:r>
        <w:rPr>
          <w:rFonts w:eastAsia="Arial TUR;Arial" w:cs="Arial TUR;Arial"/>
          <w:rtl w:val="true"/>
        </w:rPr>
        <w:t xml:space="preserve"> </w:t>
      </w:r>
      <w:r>
        <w:rPr>
          <w:rtl w:val="true"/>
        </w:rPr>
        <w:t>שירות</w:t>
      </w:r>
      <w:r>
        <w:rPr>
          <w:rFonts w:eastAsia="Arial TUR;Arial" w:cs="Arial TUR;Arial"/>
          <w:rtl w:val="true"/>
        </w:rPr>
        <w:t xml:space="preserve"> </w:t>
      </w:r>
      <w:r>
        <w:rPr>
          <w:rtl w:val="true"/>
        </w:rPr>
        <w:t>בתי</w:t>
      </w:r>
      <w:r>
        <w:rPr>
          <w:rFonts w:eastAsia="Arial TUR;Arial" w:cs="Arial TUR;Arial"/>
          <w:rtl w:val="true"/>
        </w:rPr>
        <w:t xml:space="preserve"> </w:t>
      </w:r>
      <w:r>
        <w:rPr>
          <w:rtl w:val="true"/>
        </w:rPr>
        <w:t>הסוהר</w:t>
      </w:r>
      <w:r>
        <w:rPr>
          <w:rtl w:val="true"/>
        </w:rPr>
        <w:t xml:space="preserve">, </w:t>
      </w:r>
      <w:r>
        <w:rPr>
          <w:rtl w:val="true"/>
        </w:rPr>
        <w:t>בטלפונים</w:t>
      </w:r>
      <w:r>
        <w:rPr>
          <w:rtl w:val="true"/>
        </w:rPr>
        <w:t xml:space="preserve">: </w:t>
      </w:r>
      <w:r>
        <w:rPr/>
        <w:t>08-9787377</w:t>
      </w:r>
      <w:r>
        <w:rPr>
          <w:rtl w:val="true"/>
        </w:rPr>
        <w:t xml:space="preserve"> </w:t>
      </w:r>
      <w:r>
        <w:rPr>
          <w:rtl w:val="true"/>
        </w:rPr>
        <w:t>או</w:t>
      </w:r>
      <w:r>
        <w:rPr>
          <w:rFonts w:eastAsia="Arial TUR;Arial" w:cs="Arial TUR;Arial"/>
          <w:rtl w:val="true"/>
        </w:rPr>
        <w:t xml:space="preserve"> </w:t>
      </w:r>
      <w:r>
        <w:rPr/>
        <w:t>08-9787336</w:t>
      </w:r>
      <w:r>
        <w:rPr>
          <w:rtl w:val="true"/>
        </w:rPr>
        <w:t>.</w:t>
      </w:r>
    </w:p>
    <w:p>
      <w:pPr>
        <w:pStyle w:val="Ruller41"/>
        <w:spacing w:lineRule="auto" w:line="480"/>
        <w:ind w:end="0"/>
        <w:jc w:val="both"/>
        <w:rPr/>
      </w:pPr>
      <w:r>
        <w:rPr>
          <w:rtl w:val="true"/>
        </w:rPr>
      </w:r>
    </w:p>
    <w:p>
      <w:pPr>
        <w:pStyle w:val="Ruller41"/>
        <w:ind w:end="0"/>
        <w:jc w:val="both"/>
        <w:rPr/>
      </w:pPr>
      <w:r>
        <w:rPr>
          <w:rFonts w:eastAsia="Arial TUR;Arial" w:cs="Arial TUR;Arial"/>
          <w:rtl w:val="true"/>
        </w:rPr>
        <w:t xml:space="preserve">  </w:t>
      </w:r>
      <w:r>
        <w:rPr>
          <w:rtl w:val="true"/>
        </w:rPr>
        <w:t>ניתן</w:t>
      </w:r>
      <w:r>
        <w:rPr>
          <w:rFonts w:eastAsia="Arial TUR;Arial" w:cs="Arial TUR;Arial"/>
          <w:rtl w:val="true"/>
        </w:rPr>
        <w:t xml:space="preserve"> </w:t>
      </w:r>
      <w:r>
        <w:rPr>
          <w:rtl w:val="true"/>
        </w:rPr>
        <w:t>היום</w:t>
      </w:r>
      <w:r>
        <w:rPr>
          <w:rtl w:val="true"/>
        </w:rPr>
        <w:t>, ‏</w:t>
      </w:r>
      <w:r>
        <w:rPr>
          <w:rtl w:val="true"/>
        </w:rPr>
        <w:t>י</w:t>
      </w:r>
      <w:r>
        <w:rPr>
          <w:rtl w:val="true"/>
        </w:rPr>
        <w:t xml:space="preserve">' </w:t>
      </w:r>
      <w:r>
        <w:rPr>
          <w:rtl w:val="true"/>
        </w:rPr>
        <w:t>באדר</w:t>
      </w:r>
      <w:r>
        <w:rPr>
          <w:rFonts w:eastAsia="Arial TUR;Arial" w:cs="Arial TUR;Arial"/>
          <w:rtl w:val="true"/>
        </w:rPr>
        <w:t xml:space="preserve"> </w:t>
      </w:r>
      <w:r>
        <w:rPr>
          <w:rtl w:val="true"/>
        </w:rPr>
        <w:t>ב</w:t>
      </w:r>
      <w:r>
        <w:rPr>
          <w:rtl w:val="true"/>
        </w:rPr>
        <w:t xml:space="preserve">' </w:t>
      </w:r>
      <w:r>
        <w:rPr>
          <w:rtl w:val="true"/>
        </w:rPr>
        <w:t>התשע</w:t>
      </w:r>
      <w:r>
        <w:rPr>
          <w:rtl w:val="true"/>
        </w:rPr>
        <w:t>"</w:t>
      </w:r>
      <w:r>
        <w:rPr>
          <w:rtl w:val="true"/>
        </w:rPr>
        <w:t>ד</w:t>
      </w:r>
      <w:r>
        <w:rPr>
          <w:rFonts w:eastAsia="Arial TUR;Arial" w:cs="Arial TUR;Arial"/>
          <w:rtl w:val="true"/>
        </w:rPr>
        <w:t xml:space="preserve"> </w:t>
      </w:r>
      <w:r>
        <w:rPr>
          <w:rtl w:val="true"/>
        </w:rPr>
        <w:t>(‏</w:t>
      </w:r>
      <w:r>
        <w:rPr/>
        <w:t>12.3.2014</w:t>
      </w:r>
      <w:r>
        <w:rPr>
          <w:rtl w:val="true"/>
        </w:rPr>
        <w:t xml:space="preserve">). </w:t>
      </w:r>
    </w:p>
    <w:p>
      <w:pPr>
        <w:pStyle w:val="Ruller41"/>
        <w:ind w:end="0"/>
        <w:jc w:val="both"/>
        <w:rPr/>
      </w:pPr>
      <w:r>
        <w:rPr>
          <w:rtl w:val="true"/>
        </w:rPr>
      </w:r>
    </w:p>
    <w:tbl>
      <w:tblPr>
        <w:bidiVisual w:val="true"/>
        <w:tblW w:w="8522" w:type="dxa"/>
        <w:jc w:val="end"/>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Ruller41"/>
              <w:ind w:end="0"/>
              <w:jc w:val="both"/>
              <w:rPr/>
            </w:pPr>
            <w:r>
              <w:rPr>
                <w:rtl w:val="true"/>
              </w:rPr>
              <w:t>ש</w:t>
            </w:r>
            <w:r>
              <w:rPr>
                <w:rFonts w:eastAsia="Arial TUR;Arial" w:cs="Arial TUR;Arial"/>
                <w:rtl w:val="true"/>
              </w:rPr>
              <w:t xml:space="preserve"> </w:t>
            </w:r>
            <w:r>
              <w:rPr>
                <w:rtl w:val="true"/>
              </w:rPr>
              <w:t>ו</w:t>
            </w:r>
            <w:r>
              <w:rPr>
                <w:rFonts w:eastAsia="Arial TUR;Arial" w:cs="Arial TUR;Arial"/>
                <w:rtl w:val="true"/>
              </w:rPr>
              <w:t xml:space="preserve"> </w:t>
            </w:r>
            <w:r>
              <w:rPr>
                <w:rtl w:val="true"/>
              </w:rPr>
              <w:t>פ</w:t>
            </w:r>
            <w:r>
              <w:rPr>
                <w:rFonts w:eastAsia="Arial TUR;Arial" w:cs="Arial TUR;Arial"/>
                <w:rtl w:val="true"/>
              </w:rPr>
              <w:t xml:space="preserve"> </w:t>
            </w:r>
            <w:r>
              <w:rPr>
                <w:rtl w:val="true"/>
              </w:rPr>
              <w:t>ט</w:t>
            </w:r>
          </w:p>
        </w:tc>
        <w:tc>
          <w:tcPr>
            <w:tcW w:w="2841" w:type="dxa"/>
            <w:tcBorders/>
          </w:tcPr>
          <w:p>
            <w:pPr>
              <w:pStyle w:val="Ruller41"/>
              <w:ind w:end="0"/>
              <w:jc w:val="both"/>
              <w:rPr/>
            </w:pPr>
            <w:r>
              <w:rPr>
                <w:rFonts w:eastAsia="Arial TUR;Arial" w:cs="Arial TUR;Arial"/>
                <w:rtl w:val="true"/>
              </w:rPr>
              <w:t xml:space="preserve">   </w:t>
            </w:r>
            <w:r>
              <w:rPr>
                <w:rtl w:val="true"/>
              </w:rPr>
              <w:t>ש</w:t>
            </w:r>
            <w:r>
              <w:rPr>
                <w:rFonts w:eastAsia="Arial TUR;Arial" w:cs="Arial TUR;Arial"/>
                <w:rtl w:val="true"/>
              </w:rPr>
              <w:t xml:space="preserve"> </w:t>
            </w:r>
            <w:r>
              <w:rPr>
                <w:rtl w:val="true"/>
              </w:rPr>
              <w:t>ו</w:t>
            </w:r>
            <w:r>
              <w:rPr>
                <w:rFonts w:eastAsia="Arial TUR;Arial" w:cs="Arial TUR;Arial"/>
                <w:rtl w:val="true"/>
              </w:rPr>
              <w:t xml:space="preserve"> </w:t>
            </w:r>
            <w:r>
              <w:rPr>
                <w:rtl w:val="true"/>
              </w:rPr>
              <w:t>פ</w:t>
            </w:r>
            <w:r>
              <w:rPr>
                <w:rFonts w:eastAsia="Arial TUR;Arial" w:cs="Arial TUR;Arial"/>
                <w:rtl w:val="true"/>
              </w:rPr>
              <w:t xml:space="preserve"> </w:t>
            </w:r>
            <w:r>
              <w:rPr>
                <w:rtl w:val="true"/>
              </w:rPr>
              <w:t>ט</w:t>
            </w:r>
          </w:p>
        </w:tc>
        <w:tc>
          <w:tcPr>
            <w:tcW w:w="2841" w:type="dxa"/>
            <w:tcBorders/>
          </w:tcPr>
          <w:p>
            <w:pPr>
              <w:pStyle w:val="Ruller41"/>
              <w:ind w:end="0"/>
              <w:jc w:val="both"/>
              <w:rPr/>
            </w:pPr>
            <w:r>
              <w:rPr>
                <w:rFonts w:eastAsia="Arial TUR;Arial" w:cs="Arial TUR;Arial"/>
                <w:rtl w:val="true"/>
              </w:rPr>
              <w:t xml:space="preserve">                 </w:t>
            </w:r>
            <w:r>
              <w:rPr>
                <w:rtl w:val="true"/>
              </w:rPr>
              <w:t>ש</w:t>
            </w:r>
            <w:r>
              <w:rPr>
                <w:rFonts w:eastAsia="Arial TUR;Arial" w:cs="Arial TUR;Arial"/>
                <w:rtl w:val="true"/>
              </w:rPr>
              <w:t xml:space="preserve"> </w:t>
            </w:r>
            <w:r>
              <w:rPr>
                <w:rtl w:val="true"/>
              </w:rPr>
              <w:t>ו</w:t>
            </w:r>
            <w:r>
              <w:rPr>
                <w:rFonts w:eastAsia="Arial TUR;Arial" w:cs="Arial TUR;Arial"/>
                <w:rtl w:val="true"/>
              </w:rPr>
              <w:t xml:space="preserve"> </w:t>
            </w:r>
            <w:r>
              <w:rPr>
                <w:rtl w:val="true"/>
              </w:rPr>
              <w:t>פ</w:t>
            </w:r>
            <w:r>
              <w:rPr>
                <w:rFonts w:eastAsia="Arial TUR;Arial" w:cs="Arial TUR;Arial"/>
                <w:rtl w:val="true"/>
              </w:rPr>
              <w:t xml:space="preserve"> </w:t>
            </w:r>
            <w:r>
              <w:rPr>
                <w:rtl w:val="true"/>
              </w:rPr>
              <w:t>ט</w:t>
            </w:r>
          </w:p>
        </w:tc>
      </w:tr>
    </w:tbl>
    <w:p>
      <w:pPr>
        <w:pStyle w:val="Normal"/>
        <w:ind w:end="0"/>
        <w:jc w:val="start"/>
        <w:rPr>
          <w:color w:val="FFFFFF"/>
          <w:sz w:val="2"/>
          <w:szCs w:val="2"/>
        </w:rPr>
      </w:pPr>
      <w:r>
        <w:rPr>
          <w:color w:val="FFFFFF"/>
          <w:sz w:val="2"/>
          <w:szCs w:val="2"/>
        </w:rPr>
        <w:t>5129371</w:t>
      </w:r>
    </w:p>
    <w:p>
      <w:pPr>
        <w:pStyle w:val="Normal"/>
        <w:ind w:end="0"/>
        <w:jc w:val="start"/>
        <w:rPr>
          <w:color w:val="FFFFFF"/>
          <w:sz w:val="2"/>
          <w:szCs w:val="2"/>
        </w:rPr>
      </w:pPr>
      <w:r>
        <w:rPr>
          <w:color w:val="FFFFFF"/>
          <w:sz w:val="2"/>
          <w:szCs w:val="2"/>
        </w:rPr>
        <w:t>54678313</w:t>
      </w:r>
    </w:p>
    <w:p>
      <w:pPr>
        <w:pStyle w:val="Normal"/>
        <w:ind w:end="0"/>
        <w:jc w:val="start"/>
        <w:rPr>
          <w:szCs w:val="16"/>
        </w:rPr>
      </w:pPr>
      <w:r>
        <w:rPr>
          <w:szCs w:val="16"/>
          <w:rtl w:val="true"/>
        </w:rPr>
        <w:t>_________________________</w:t>
      </w:r>
    </w:p>
    <w:p>
      <w:pPr>
        <w:pStyle w:val="Ruller381"/>
        <w:ind w:end="0"/>
        <w:jc w:val="start"/>
        <w:rPr/>
      </w:pPr>
      <w:r>
        <w:rPr>
          <w:rtl w:val="true"/>
        </w:rPr>
        <w:t>העותק</w:t>
      </w:r>
      <w:r>
        <w:rPr>
          <w:rFonts w:cs="Times New Roman"/>
          <w:rtl w:val="true"/>
        </w:rPr>
        <w:t xml:space="preserve"> </w:t>
      </w:r>
      <w:r>
        <w:rPr>
          <w:rtl w:val="true"/>
        </w:rPr>
        <w:t>כפוף</w:t>
      </w:r>
      <w:r>
        <w:rPr>
          <w:rFonts w:cs="Times New Roman"/>
          <w:rtl w:val="true"/>
        </w:rPr>
        <w:t xml:space="preserve"> </w:t>
      </w:r>
      <w:r>
        <w:rPr>
          <w:rtl w:val="true"/>
        </w:rPr>
        <w:t>לשינויי</w:t>
      </w:r>
      <w:r>
        <w:rPr>
          <w:rFonts w:cs="Times New Roman"/>
          <w:rtl w:val="true"/>
        </w:rPr>
        <w:t xml:space="preserve"> </w:t>
      </w:r>
      <w:r>
        <w:rPr>
          <w:rtl w:val="true"/>
        </w:rPr>
        <w:t>עריכה</w:t>
      </w:r>
      <w:r>
        <w:rPr>
          <w:rFonts w:cs="Times New Roman"/>
          <w:rtl w:val="true"/>
        </w:rPr>
        <w:t xml:space="preserve"> </w:t>
      </w:r>
      <w:r>
        <w:rPr>
          <w:rtl w:val="true"/>
        </w:rPr>
        <w:t>וניסוח</w:t>
      </w:r>
      <w:r>
        <w:rPr>
          <w:rtl w:val="true"/>
        </w:rPr>
        <w:t>.</w:t>
      </w:r>
      <w:r>
        <w:rPr>
          <w:sz w:val="16"/>
          <w:rtl w:val="true"/>
        </w:rPr>
        <w:t xml:space="preserve"> </w:t>
      </w:r>
      <w:r>
        <w:rPr>
          <w:sz w:val="16"/>
          <w:rtl w:val="true"/>
        </w:rPr>
        <w:t xml:space="preserve">  </w:t>
      </w:r>
      <w:bookmarkStart w:id="19" w:name="FileName"/>
      <w:r>
        <w:rPr>
          <w:sz w:val="16"/>
        </w:rPr>
        <w:t>14005260</w:t>
      </w:r>
      <w:r>
        <w:rPr>
          <w:sz w:val="16"/>
          <w:rtl w:val="true"/>
        </w:rPr>
        <w:t>_</w:t>
      </w:r>
      <w:r>
        <w:rPr>
          <w:sz w:val="16"/>
        </w:rPr>
        <w:t>H03.doc</w:t>
      </w:r>
      <w:r>
        <w:rPr>
          <w:sz w:val="16"/>
          <w:rtl w:val="true"/>
        </w:rPr>
        <w:t xml:space="preserve">   </w:t>
      </w:r>
      <w:bookmarkEnd w:id="19"/>
      <w:r>
        <w:rPr>
          <w:sz w:val="16"/>
          <w:sz w:val="16"/>
          <w:rtl w:val="true"/>
        </w:rPr>
        <w:t>שצ</w:t>
      </w:r>
    </w:p>
    <w:p>
      <w:pPr>
        <w:pStyle w:val="Ruller381"/>
        <w:ind w:end="0"/>
        <w:jc w:val="start"/>
        <w:rPr/>
      </w:pPr>
      <w:r>
        <w:rPr>
          <w:rtl w:val="true"/>
        </w:rPr>
        <w:t>מרכז</w:t>
      </w:r>
      <w:r>
        <w:rPr>
          <w:rFonts w:cs="Times New Roman"/>
          <w:rtl w:val="true"/>
        </w:rPr>
        <w:t xml:space="preserve"> </w:t>
      </w:r>
      <w:r>
        <w:rPr>
          <w:rtl w:val="true"/>
        </w:rPr>
        <w:t>מידע</w:t>
      </w:r>
      <w:r>
        <w:rPr>
          <w:rtl w:val="true"/>
        </w:rPr>
        <w:t xml:space="preserve">, </w:t>
      </w:r>
      <w:r>
        <w:rPr>
          <w:rtl w:val="true"/>
        </w:rPr>
        <w:t>טל</w:t>
      </w:r>
      <w:r>
        <w:rPr>
          <w:rtl w:val="true"/>
        </w:rPr>
        <w:t xml:space="preserve">' </w:t>
      </w:r>
      <w:r>
        <w:rPr/>
        <w:t>077-2703333</w:t>
      </w:r>
      <w:r>
        <w:rPr>
          <w:rtl w:val="true"/>
        </w:rPr>
        <w:t xml:space="preserve">  ; </w:t>
      </w:r>
      <w:r>
        <w:rPr>
          <w:rtl w:val="true"/>
        </w:rPr>
        <w:t>אתר</w:t>
      </w:r>
      <w:r>
        <w:rPr>
          <w:rFonts w:cs="Times New Roman"/>
          <w:rtl w:val="true"/>
        </w:rPr>
        <w:t xml:space="preserve"> </w:t>
      </w:r>
      <w:r>
        <w:rPr>
          <w:rtl w:val="true"/>
        </w:rPr>
        <w:t>אינטרנט</w:t>
      </w:r>
      <w:r>
        <w:rPr>
          <w:rtl w:val="true"/>
        </w:rPr>
        <w:t xml:space="preserve">,  </w:t>
      </w:r>
      <w:hyperlink r:id="rId14">
        <w:r>
          <w:rPr>
            <w:rStyle w:val="Hyperlink"/>
            <w:sz w:val="16"/>
          </w:rPr>
          <w:t>www.court.gov.il</w:t>
        </w:r>
      </w:hyperlink>
    </w:p>
    <w:p>
      <w:pPr>
        <w:pStyle w:val="Ruller381"/>
        <w:keepNext w:val="true"/>
        <w:ind w:end="0"/>
        <w:jc w:val="start"/>
        <w:rPr>
          <w:rFonts w:ascii="David;Times New Roman" w:hAnsi="David;Times New Roman" w:cs="David;Times New Roman"/>
          <w:color w:val="000000"/>
          <w:szCs w:val="22"/>
        </w:rPr>
      </w:pPr>
      <w:r>
        <w:rPr>
          <w:rFonts w:cs="David;Times New Roman" w:ascii="David;Times New Roman" w:hAnsi="David;Times New Roman"/>
          <w:color w:val="000000"/>
          <w:szCs w:val="22"/>
          <w:rtl w:val="true"/>
        </w:rPr>
      </w:r>
    </w:p>
    <w:p>
      <w:pPr>
        <w:pStyle w:val="Ruller381"/>
        <w:keepNext w:val="true"/>
        <w:ind w:end="0"/>
        <w:jc w:val="start"/>
        <w:rPr>
          <w:rFonts w:ascii="David;Times New Roman" w:hAnsi="David;Times New Roman" w:cs="David;Times New Roman"/>
          <w:color w:val="000000"/>
          <w:szCs w:val="22"/>
        </w:rPr>
      </w:pPr>
      <w:r>
        <w:rPr>
          <w:rFonts w:ascii="David;Times New Roman" w:hAnsi="David;Times New Roman"/>
          <w:color w:val="000000"/>
          <w:szCs w:val="22"/>
          <w:rtl w:val="true"/>
        </w:rPr>
        <w:t>ס</w:t>
      </w:r>
      <w:r>
        <w:rPr>
          <w:rFonts w:cs="David;Times New Roman" w:ascii="David;Times New Roman" w:hAnsi="David;Times New Roman"/>
          <w:color w:val="000000"/>
          <w:szCs w:val="22"/>
          <w:rtl w:val="true"/>
        </w:rPr>
        <w:t xml:space="preserve">' </w:t>
      </w:r>
      <w:r>
        <w:rPr>
          <w:rFonts w:ascii="David;Times New Roman" w:hAnsi="David;Times New Roman"/>
          <w:color w:val="000000"/>
          <w:szCs w:val="22"/>
          <w:rtl w:val="true"/>
        </w:rPr>
        <w:t>ג</w:t>
      </w:r>
      <w:r>
        <w:rPr>
          <w:rFonts w:cs="David;Times New Roman" w:ascii="David;Times New Roman" w:hAnsi="David;Times New Roman"/>
          <w:color w:val="000000"/>
          <w:szCs w:val="22"/>
          <w:rtl w:val="true"/>
        </w:rPr>
        <w:t>'</w:t>
      </w:r>
      <w:r>
        <w:rPr>
          <w:rFonts w:ascii="David;Times New Roman" w:hAnsi="David;Times New Roman"/>
          <w:color w:val="000000"/>
          <w:szCs w:val="22"/>
          <w:rtl w:val="true"/>
        </w:rPr>
        <w:t xml:space="preserve">ובראן </w:t>
      </w:r>
      <w:r>
        <w:rPr>
          <w:rFonts w:cs="David;Times New Roman" w:ascii="David;Times New Roman" w:hAnsi="David;Times New Roman"/>
          <w:color w:val="000000"/>
          <w:szCs w:val="22"/>
        </w:rPr>
        <w:t>54678313-526/14</w:t>
      </w:r>
    </w:p>
    <w:p>
      <w:pPr>
        <w:pStyle w:val="Ruller381"/>
        <w:ind w:end="0"/>
        <w:jc w:val="start"/>
        <w:rPr/>
      </w:pPr>
      <w:r>
        <w:rPr>
          <w:color w:val="000000"/>
          <w:rtl w:val="true"/>
        </w:rPr>
        <w:t>נוסח</w:t>
      </w:r>
      <w:r>
        <w:rPr>
          <w:rFonts w:cs="Times New Roman"/>
          <w:color w:val="000000"/>
          <w:rtl w:val="true"/>
        </w:rPr>
        <w:t xml:space="preserve"> </w:t>
      </w:r>
      <w:r>
        <w:rPr>
          <w:color w:val="000000"/>
          <w:rtl w:val="true"/>
        </w:rPr>
        <w:t>מסמך</w:t>
      </w:r>
      <w:r>
        <w:rPr>
          <w:rFonts w:cs="Times New Roman"/>
          <w:color w:val="000000"/>
          <w:rtl w:val="true"/>
        </w:rPr>
        <w:t xml:space="preserve"> </w:t>
      </w:r>
      <w:r>
        <w:rPr>
          <w:color w:val="000000"/>
          <w:rtl w:val="true"/>
        </w:rPr>
        <w:t>זה</w:t>
      </w:r>
      <w:r>
        <w:rPr>
          <w:rFonts w:cs="Times New Roman"/>
          <w:color w:val="000000"/>
          <w:rtl w:val="true"/>
        </w:rPr>
        <w:t xml:space="preserve"> </w:t>
      </w:r>
      <w:r>
        <w:rPr>
          <w:color w:val="000000"/>
          <w:rtl w:val="true"/>
        </w:rPr>
        <w:t>כפוף</w:t>
      </w:r>
      <w:r>
        <w:rPr>
          <w:rFonts w:cs="Times New Roman"/>
          <w:color w:val="000000"/>
          <w:rtl w:val="true"/>
        </w:rPr>
        <w:t xml:space="preserve"> </w:t>
      </w:r>
      <w:r>
        <w:rPr>
          <w:color w:val="000000"/>
          <w:rtl w:val="true"/>
        </w:rPr>
        <w:t>לשינויי</w:t>
      </w:r>
      <w:r>
        <w:rPr>
          <w:rFonts w:cs="Times New Roman"/>
          <w:color w:val="000000"/>
          <w:rtl w:val="true"/>
        </w:rPr>
        <w:t xml:space="preserve"> </w:t>
      </w:r>
      <w:r>
        <w:rPr>
          <w:color w:val="000000"/>
          <w:rtl w:val="true"/>
        </w:rPr>
        <w:t>ניסוח</w:t>
      </w:r>
      <w:r>
        <w:rPr>
          <w:rFonts w:cs="Times New Roman"/>
          <w:color w:val="000000"/>
          <w:rtl w:val="true"/>
        </w:rPr>
        <w:t xml:space="preserve"> </w:t>
      </w:r>
      <w:r>
        <w:rPr>
          <w:color w:val="000000"/>
          <w:rtl w:val="true"/>
        </w:rPr>
        <w:t>ועריכה</w:t>
      </w:r>
    </w:p>
    <w:p>
      <w:pPr>
        <w:pStyle w:val="Ruller381"/>
        <w:ind w:end="0"/>
        <w:jc w:val="start"/>
        <w:rPr/>
      </w:pPr>
      <w:r>
        <w:rPr>
          <w:rtl w:val="true"/>
        </w:rPr>
      </w:r>
    </w:p>
    <w:p>
      <w:pPr>
        <w:pStyle w:val="Ruller381"/>
        <w:ind w:end="0"/>
        <w:jc w:val="center"/>
        <w:rPr>
          <w:color w:val="0000FF"/>
          <w:szCs w:val="24"/>
          <w:u w:val="single"/>
        </w:rPr>
      </w:pPr>
      <w:hyperlink r:id="rId15">
        <w:r>
          <w:rPr>
            <w:rStyle w:val="Hyperlink"/>
            <w:color w:val="0000FF"/>
            <w:szCs w:val="24"/>
            <w:u w:val="single"/>
            <w:rtl w:val="true"/>
          </w:rPr>
          <w:t>בעניין</w:t>
        </w:r>
        <w:r>
          <w:rPr>
            <w:rStyle w:val="Hyperlink"/>
            <w:rFonts w:cs="Times New Roman"/>
            <w:color w:val="0000FF"/>
            <w:szCs w:val="24"/>
            <w:u w:val="single"/>
            <w:rtl w:val="true"/>
          </w:rPr>
          <w:t xml:space="preserve"> </w:t>
        </w:r>
        <w:r>
          <w:rPr>
            <w:rStyle w:val="Hyperlink"/>
            <w:color w:val="0000FF"/>
            <w:szCs w:val="24"/>
            <w:u w:val="single"/>
            <w:rtl w:val="true"/>
          </w:rPr>
          <w:t>עריכה</w:t>
        </w:r>
        <w:r>
          <w:rPr>
            <w:rStyle w:val="Hyperlink"/>
            <w:rFonts w:cs="Times New Roman"/>
            <w:color w:val="0000FF"/>
            <w:szCs w:val="24"/>
            <w:u w:val="single"/>
            <w:rtl w:val="true"/>
          </w:rPr>
          <w:t xml:space="preserve"> </w:t>
        </w:r>
        <w:r>
          <w:rPr>
            <w:rStyle w:val="Hyperlink"/>
            <w:color w:val="0000FF"/>
            <w:szCs w:val="24"/>
            <w:u w:val="single"/>
            <w:rtl w:val="true"/>
          </w:rPr>
          <w:t>ושינויים</w:t>
        </w:r>
        <w:r>
          <w:rPr>
            <w:rStyle w:val="Hyperlink"/>
            <w:rFonts w:cs="Times New Roman"/>
            <w:color w:val="0000FF"/>
            <w:szCs w:val="24"/>
            <w:u w:val="single"/>
            <w:rtl w:val="true"/>
          </w:rPr>
          <w:t xml:space="preserve"> </w:t>
        </w:r>
        <w:r>
          <w:rPr>
            <w:rStyle w:val="Hyperlink"/>
            <w:color w:val="0000FF"/>
            <w:szCs w:val="24"/>
            <w:u w:val="single"/>
            <w:rtl w:val="true"/>
          </w:rPr>
          <w:t>במסמכי</w:t>
        </w:r>
        <w:r>
          <w:rPr>
            <w:rStyle w:val="Hyperlink"/>
            <w:rFonts w:cs="Times New Roman"/>
            <w:color w:val="0000FF"/>
            <w:szCs w:val="24"/>
            <w:u w:val="single"/>
            <w:rtl w:val="true"/>
          </w:rPr>
          <w:t xml:space="preserve"> </w:t>
        </w:r>
        <w:r>
          <w:rPr>
            <w:rStyle w:val="Hyperlink"/>
            <w:color w:val="0000FF"/>
            <w:szCs w:val="24"/>
            <w:u w:val="single"/>
            <w:rtl w:val="true"/>
          </w:rPr>
          <w:t>פסיקה</w:t>
        </w:r>
        <w:r>
          <w:rPr>
            <w:rStyle w:val="Hyperlink"/>
            <w:color w:val="0000FF"/>
            <w:szCs w:val="24"/>
            <w:u w:val="single"/>
            <w:rtl w:val="true"/>
          </w:rPr>
          <w:t xml:space="preserve">, </w:t>
        </w:r>
        <w:r>
          <w:rPr>
            <w:rStyle w:val="Hyperlink"/>
            <w:color w:val="0000FF"/>
            <w:szCs w:val="24"/>
            <w:u w:val="single"/>
            <w:rtl w:val="true"/>
          </w:rPr>
          <w:t>חקיקה</w:t>
        </w:r>
        <w:r>
          <w:rPr>
            <w:rStyle w:val="Hyperlink"/>
            <w:rFonts w:cs="Times New Roman"/>
            <w:color w:val="0000FF"/>
            <w:szCs w:val="24"/>
            <w:u w:val="single"/>
            <w:rtl w:val="true"/>
          </w:rPr>
          <w:t xml:space="preserve"> </w:t>
        </w:r>
        <w:r>
          <w:rPr>
            <w:rStyle w:val="Hyperlink"/>
            <w:color w:val="0000FF"/>
            <w:szCs w:val="24"/>
            <w:u w:val="single"/>
            <w:rtl w:val="true"/>
          </w:rPr>
          <w:t>ועוד</w:t>
        </w:r>
        <w:r>
          <w:rPr>
            <w:rStyle w:val="Hyperlink"/>
            <w:rFonts w:cs="Times New Roman"/>
            <w:color w:val="0000FF"/>
            <w:szCs w:val="24"/>
            <w:u w:val="single"/>
            <w:rtl w:val="true"/>
          </w:rPr>
          <w:t xml:space="preserve"> </w:t>
        </w:r>
        <w:r>
          <w:rPr>
            <w:rStyle w:val="Hyperlink"/>
            <w:color w:val="0000FF"/>
            <w:szCs w:val="24"/>
            <w:u w:val="single"/>
            <w:rtl w:val="true"/>
          </w:rPr>
          <w:t>באתר</w:t>
        </w:r>
        <w:r>
          <w:rPr>
            <w:rStyle w:val="Hyperlink"/>
            <w:rFonts w:cs="Times New Roman"/>
            <w:color w:val="0000FF"/>
            <w:szCs w:val="24"/>
            <w:u w:val="single"/>
            <w:rtl w:val="true"/>
          </w:rPr>
          <w:t xml:space="preserve"> </w:t>
        </w:r>
        <w:r>
          <w:rPr>
            <w:rStyle w:val="Hyperlink"/>
            <w:color w:val="0000FF"/>
            <w:szCs w:val="24"/>
            <w:u w:val="single"/>
            <w:rtl w:val="true"/>
          </w:rPr>
          <w:t>נבו</w:t>
        </w:r>
        <w:r>
          <w:rPr>
            <w:rStyle w:val="Hyperlink"/>
            <w:rFonts w:cs="Times New Roman"/>
            <w:color w:val="0000FF"/>
            <w:szCs w:val="24"/>
            <w:u w:val="single"/>
            <w:rtl w:val="true"/>
          </w:rPr>
          <w:t xml:space="preserve"> </w:t>
        </w:r>
        <w:r>
          <w:rPr>
            <w:rStyle w:val="Hyperlink"/>
            <w:color w:val="0000FF"/>
            <w:szCs w:val="24"/>
            <w:u w:val="single"/>
            <w:rtl w:val="true"/>
          </w:rPr>
          <w:t>–</w:t>
        </w:r>
        <w:r>
          <w:rPr>
            <w:rStyle w:val="Hyperlink"/>
            <w:rFonts w:cs="Times New Roman"/>
            <w:color w:val="0000FF"/>
            <w:szCs w:val="24"/>
            <w:u w:val="single"/>
            <w:rtl w:val="true"/>
          </w:rPr>
          <w:t xml:space="preserve"> </w:t>
        </w:r>
        <w:r>
          <w:rPr>
            <w:rStyle w:val="Hyperlink"/>
            <w:color w:val="0000FF"/>
            <w:szCs w:val="24"/>
            <w:u w:val="single"/>
            <w:rtl w:val="true"/>
          </w:rPr>
          <w:t>הקש</w:t>
        </w:r>
        <w:r>
          <w:rPr>
            <w:rStyle w:val="Hyperlink"/>
            <w:rFonts w:cs="Times New Roman"/>
            <w:color w:val="0000FF"/>
            <w:szCs w:val="24"/>
            <w:u w:val="single"/>
            <w:rtl w:val="true"/>
          </w:rPr>
          <w:t xml:space="preserve"> </w:t>
        </w:r>
        <w:r>
          <w:rPr>
            <w:rStyle w:val="Hyperlink"/>
            <w:color w:val="0000FF"/>
            <w:szCs w:val="24"/>
            <w:u w:val="single"/>
            <w:rtl w:val="true"/>
          </w:rPr>
          <w:t>כאן</w:t>
        </w:r>
      </w:hyperlink>
    </w:p>
    <w:p>
      <w:pPr>
        <w:pStyle w:val="Ruller381"/>
        <w:ind w:end="0"/>
        <w:jc w:val="center"/>
        <w:rPr>
          <w:color w:val="0000FF"/>
          <w:szCs w:val="24"/>
          <w:u w:val="single"/>
        </w:rPr>
      </w:pPr>
      <w:r>
        <w:rPr>
          <w:color w:val="0000FF"/>
          <w:szCs w:val="24"/>
          <w:u w:val="single"/>
          <w:rtl w:val="true"/>
        </w:rPr>
      </w:r>
    </w:p>
    <w:sectPr>
      <w:headerReference w:type="default" r:id="rId16"/>
      <w:footerReference w:type="default" r:id="rId17"/>
      <w:type w:val="nextPage"/>
      <w:pgSz w:w="11906" w:h="16838"/>
      <w:pgMar w:left="1800" w:right="1800" w:gutter="0" w:header="708" w:top="1701" w:footer="708" w:bottom="1440"/>
      <w:pgNumType w:start="1" w:fmt="decimal"/>
      <w:formProt w:val="false"/>
      <w:textDirection w:val="lrTb"/>
      <w:bidi/>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TUR">
    <w:altName w:val="Arial"/>
    <w:charset w:val="00" w:characterSet="windows-1252"/>
    <w:family w:val="swiss"/>
    <w:pitch w:val="variable"/>
  </w:font>
  <w:font w:name="Liberation Sans">
    <w:altName w:val="Arial"/>
    <w:charset w:val="01" w:characterSet="utf-8"/>
    <w:family w:val="swiss"/>
    <w:pitch w:val="variable"/>
  </w:font>
  <w:font w:name="Garamond">
    <w:charset w:val="00" w:characterSet="windows-1252"/>
    <w:family w:val="roman"/>
    <w:pitch w:val="variable"/>
  </w:font>
  <w:font w:name="FrankRuehl">
    <w:charset w:val="b1" w:characterSet="windows-1255"/>
    <w:family w:val="swiss"/>
    <w:pitch w:val="variable"/>
  </w:font>
  <w:font w:name="Century">
    <w:charset w:val="00" w:characterSet="windows-1252"/>
    <w:family w:val="roman"/>
    <w:pitch w:val="variable"/>
  </w:font>
  <w:font w:name="David">
    <w:altName w:val="Times New Roman"/>
    <w:charset w:val="b1" w:characterSet="windows-1255"/>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center"/>
      <w:rPr>
        <w:rFonts w:ascii="FrankRuehl" w:hAnsi="FrankRuehl" w:cs="FrankRuehl"/>
        <w:sz w:val="24"/>
      </w:rPr>
    </w:pPr>
    <w:r>
      <w:rPr>
        <w:rFonts w:cs="FrankRuehl" w:ascii="FrankRuehl" w:hAnsi="FrankRuehl"/>
        <w:sz w:val="24"/>
        <w:rtl w:val="true"/>
      </w:rPr>
      <w:fldChar w:fldCharType="begin"/>
    </w:r>
    <w:r>
      <w:rPr>
        <w:rtl w:val="true"/>
        <w:sz w:val="24"/>
        <w:rFonts w:cs="FrankRuehl" w:ascii="FrankRuehl" w:hAnsi="FrankRuehl"/>
      </w:rPr>
      <w:instrText xml:space="preserve"> PAGE </w:instrText>
    </w:r>
    <w:r>
      <w:rPr>
        <w:rtl w:val="true"/>
        <w:sz w:val="24"/>
        <w:rFonts w:cs="FrankRuehl" w:ascii="FrankRuehl" w:hAnsi="FrankRuehl"/>
      </w:rPr>
      <w:fldChar w:fldCharType="separate"/>
    </w:r>
    <w:r>
      <w:rPr>
        <w:rtl w:val="true"/>
        <w:sz w:val="24"/>
        <w:rFonts w:cs="FrankRuehl" w:ascii="FrankRuehl" w:hAnsi="FrankRuehl"/>
      </w:rPr>
      <w:t>7</w:t>
    </w:r>
    <w:r>
      <w:rPr>
        <w:rtl w:val="true"/>
        <w:sz w:val="24"/>
        <w:rFonts w:cs="FrankRuehl" w:ascii="FrankRuehl" w:hAnsi="FrankRuehl"/>
      </w:rPr>
      <w:fldChar w:fldCharType="end"/>
    </w:r>
  </w:p>
  <w:p>
    <w:pPr>
      <w:pStyle w:val="Footer"/>
      <w:pBdr>
        <w:top w:val="single" w:sz="4" w:space="1" w:color="000000"/>
      </w:pBdr>
      <w:spacing w:before="0" w:after="60"/>
      <w:ind w:end="0"/>
      <w:jc w:val="center"/>
      <w:rPr>
        <w:rFonts w:ascii="FrankRuehl" w:hAnsi="FrankRuehl" w:cs="FrankRuehl"/>
        <w:color w:val="000000"/>
        <w:sz w:val="24"/>
      </w:rPr>
    </w:pPr>
    <w:r>
      <w:rPr>
        <w:rFonts w:cs="FrankRuehl" w:ascii="FrankRuehl" w:hAnsi="FrankRuehl"/>
        <w:color w:val="000000"/>
        <w:sz w:val="24"/>
        <w:rtl w:val="true"/>
      </w:rPr>
      <w:drawing>
        <wp:inline distT="0" distB="0" distL="0" distR="0">
          <wp:extent cx="554990" cy="2254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65" t="-159" r="-65" b="-159"/>
                  <a:stretch>
                    <a:fillRect/>
                  </a:stretch>
                </pic:blipFill>
                <pic:spPr bwMode="auto">
                  <a:xfrm>
                    <a:off x="0" y="0"/>
                    <a:ext cx="554990" cy="225425"/>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4153"/>
        <w:tab w:val="clear" w:pos="8306"/>
        <w:tab w:val="right" w:pos="8311" w:leader="none"/>
      </w:tabs>
      <w:spacing w:lineRule="exact" w:line="220"/>
      <w:ind w:end="0"/>
      <w:jc w:val="start"/>
      <w:rPr>
        <w:rFonts w:ascii="David;Times New Roman" w:hAnsi="David;Times New Roman" w:cs="David;Times New Roman"/>
        <w:color w:val="000000"/>
        <w:sz w:val="22"/>
        <w:szCs w:val="22"/>
      </w:rPr>
    </w:pPr>
    <w:r>
      <w:rPr>
        <w:rFonts w:ascii="David;Times New Roman" w:hAnsi="David;Times New Roman"/>
        <w:color w:val="000000"/>
        <w:sz w:val="22"/>
        <w:sz w:val="22"/>
        <w:szCs w:val="22"/>
        <w:rtl w:val="true"/>
      </w:rPr>
      <w:t xml:space="preserve">עפ </w:t>
    </w:r>
    <w:r>
      <w:rPr>
        <w:rFonts w:cs="David;Times New Roman" w:ascii="David;Times New Roman" w:hAnsi="David;Times New Roman"/>
        <w:color w:val="000000"/>
        <w:sz w:val="22"/>
        <w:szCs w:val="22"/>
      </w:rPr>
      <w:t>526/14</w:t>
    </w:r>
    <w:r>
      <w:rPr>
        <w:rFonts w:cs="David;Times New Roman" w:ascii="David;Times New Roman" w:hAnsi="David;Times New Roman"/>
        <w:color w:val="000000"/>
        <w:sz w:val="22"/>
        <w:szCs w:val="22"/>
        <w:rtl w:val="true"/>
      </w:rPr>
      <w:t xml:space="preserve"> </w:t>
      <w:tab/>
      <w:t xml:space="preserve"> </w:t>
    </w:r>
    <w:r>
      <w:rPr>
        <w:rFonts w:ascii="David;Times New Roman" w:hAnsi="David;Times New Roman"/>
        <w:color w:val="000000"/>
        <w:sz w:val="22"/>
        <w:sz w:val="22"/>
        <w:szCs w:val="22"/>
        <w:rtl w:val="true"/>
      </w:rPr>
      <w:t>פלוני נ</w:t>
    </w:r>
    <w:r>
      <w:rPr>
        <w:rFonts w:cs="David;Times New Roman" w:ascii="David;Times New Roman" w:hAnsi="David;Times New Roman"/>
        <w:color w:val="000000"/>
        <w:sz w:val="22"/>
        <w:szCs w:val="22"/>
        <w:rtl w:val="true"/>
      </w:rPr>
      <w:t xml:space="preserve">' </w:t>
    </w:r>
    <w:r>
      <w:rPr>
        <w:rFonts w:ascii="David;Times New Roman" w:hAnsi="David;Times New Roman"/>
        <w:color w:val="000000"/>
        <w:sz w:val="22"/>
        <w:sz w:val="22"/>
        <w:szCs w:val="22"/>
        <w:rtl w:val="true"/>
      </w:rPr>
      <w:t>מדינת ישראל</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643"/>
        </w:tabs>
        <w:ind w:start="643" w:hanging="360"/>
      </w:pPr>
    </w:lvl>
  </w:abstractNum>
  <w:abstractNum w:abstractNumId="2">
    <w:lvl w:ilvl="0">
      <w:start w:val="1"/>
      <w:numFmt w:val="decimal"/>
      <w:lvlText w:val="%1."/>
      <w:lvlJc w:val="start"/>
      <w:pPr>
        <w:tabs>
          <w:tab w:val="num" w:pos="907"/>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20"/>
  <w:autoHyphenation w:val="true"/>
  <w:hyphenationZone w:val="0"/>
  <w:compat>
    <w:doNotExpandShiftReturn/>
    <w:doNotBreakWrappedTables/>
    <w:compatSetting w:name="compatibilityMode" w:uri="http://schemas.microsoft.com/office/word" w:val="11"/>
  </w:compat>
  <w:docVars>
    <w:docVar w:name="MyInfo" w:val="This document was extracted from Nevo's sit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L" w:eastAsia="zh-CN" w:bidi="hi-IN"/>
      </w:rPr>
    </w:rPrDefault>
    <w:pPrDefault>
      <w:pPr>
        <w:suppressAutoHyphens w:val="true"/>
      </w:pPr>
    </w:pPrDefault>
  </w:docDefaults>
  <w:style w:type="paragraph" w:styleId="Normal">
    <w:name w:val="Normal"/>
    <w:qFormat/>
    <w:pPr>
      <w:widowControl/>
      <w:overflowPunct w:val="false"/>
      <w:autoSpaceDE w:val="false"/>
      <w:bidi w:val="1"/>
      <w:ind w:hanging="0" w:start="0" w:end="0"/>
      <w:jc w:val="start"/>
    </w:pPr>
    <w:rPr>
      <w:rFonts w:ascii="Times New Roman" w:hAnsi="Times New Roman" w:eastAsia="Times New Roman" w:cs="David;Times New Roman"/>
      <w:color w:val="auto"/>
      <w:sz w:val="20"/>
      <w:szCs w:val="24"/>
      <w:lang w:val="en-US" w:bidi="he-IL" w:eastAsia="zh-CN"/>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Ruller4">
    <w:name w:val="Ruller4 תו"/>
    <w:basedOn w:val="DefaultParagraphFont"/>
    <w:qFormat/>
    <w:rPr>
      <w:rFonts w:ascii="Arial TUR;Arial" w:hAnsi="Arial TUR;Arial" w:cs="FrankRuehl"/>
      <w:spacing w:val="10"/>
      <w:sz w:val="22"/>
      <w:szCs w:val="28"/>
      <w:lang w:val="en-US" w:bidi="he-IL"/>
    </w:rPr>
  </w:style>
  <w:style w:type="character" w:styleId="Delete">
    <w:name w:val="Delete"/>
    <w:basedOn w:val="DefaultParagraphFont"/>
    <w:qFormat/>
    <w:rPr>
      <w:strike/>
    </w:rPr>
  </w:style>
  <w:style w:type="character" w:styleId="Hand">
    <w:name w:val="Hand"/>
    <w:basedOn w:val="DefaultParagraphFont"/>
    <w:qFormat/>
    <w:rPr>
      <w:rFonts w:cs="Guttman Yad"/>
    </w:rPr>
  </w:style>
  <w:style w:type="character" w:styleId="Ruller3">
    <w:name w:val="Ruller 3 תו"/>
    <w:basedOn w:val="DefaultParagraphFont"/>
    <w:qFormat/>
    <w:rPr>
      <w:rFonts w:cs="FrankRuehl"/>
      <w:sz w:val="22"/>
      <w:szCs w:val="28"/>
      <w:lang w:val="en-US" w:bidi="he-IL"/>
    </w:rPr>
  </w:style>
  <w:style w:type="character" w:styleId="BodyRuller">
    <w:name w:val="Body Ruller תו"/>
    <w:basedOn w:val="Ruller3"/>
    <w:qFormat/>
    <w:rPr>
      <w:rFonts w:cs="David;Times New Roman"/>
    </w:rPr>
  </w:style>
  <w:style w:type="character" w:styleId="Ruller38">
    <w:name w:val="סגנון Ruller 3 + (מורכב) ‏8 נק תו"/>
    <w:basedOn w:val="BodyRuller"/>
    <w:qFormat/>
    <w:rPr>
      <w:szCs w:val="16"/>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ind w:hanging="0" w:start="0" w:end="0"/>
      <w:jc w:val="start"/>
    </w:pPr>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Ruller31">
    <w:name w:val="Ruller 3"/>
    <w:basedOn w:val="Normal"/>
    <w:qFormat/>
    <w:pPr>
      <w:tabs>
        <w:tab w:val="clear" w:pos="720"/>
        <w:tab w:val="left" w:pos="3210" w:leader="none"/>
        <w:tab w:val="left" w:pos="6753" w:leader="none"/>
      </w:tabs>
      <w:spacing w:lineRule="auto" w:line="360"/>
      <w:ind w:hanging="0" w:start="0" w:end="0"/>
      <w:jc w:val="start"/>
    </w:pPr>
    <w:rPr>
      <w:rFonts w:cs="FrankRuehl"/>
      <w:spacing w:val="10"/>
      <w:sz w:val="22"/>
      <w:szCs w:val="28"/>
    </w:rPr>
  </w:style>
  <w:style w:type="paragraph" w:styleId="Pskdinhead">
    <w:name w:val="Pskdin head"/>
    <w:basedOn w:val="Normal"/>
    <w:qFormat/>
    <w:pPr>
      <w:spacing w:lineRule="auto" w:line="360"/>
      <w:ind w:hanging="0" w:start="0" w:end="0"/>
      <w:jc w:val="start"/>
    </w:pPr>
    <w:rPr>
      <w:b/>
      <w:bCs/>
      <w:u w:val="single"/>
    </w:rPr>
  </w:style>
  <w:style w:type="paragraph" w:styleId="FileNumber">
    <w:name w:val="File Number"/>
    <w:basedOn w:val="Normal"/>
    <w:qFormat/>
    <w:pPr>
      <w:spacing w:lineRule="auto" w:line="360"/>
      <w:ind w:hanging="0" w:start="0" w:end="0"/>
      <w:jc w:val="end"/>
    </w:pPr>
    <w:rPr>
      <w:bCs/>
    </w:rPr>
  </w:style>
  <w:style w:type="paragraph" w:styleId="FirstpagestylePsakdin">
    <w:name w:val="First page style Psak din"/>
    <w:basedOn w:val="Ruller31"/>
    <w:qFormat/>
    <w:pPr>
      <w:tabs>
        <w:tab w:val="clear" w:pos="3210"/>
        <w:tab w:val="left" w:pos="3209" w:leader="none"/>
        <w:tab w:val="left" w:pos="6753" w:leader="none"/>
      </w:tabs>
      <w:ind w:hanging="0" w:start="0" w:end="0"/>
      <w:jc w:val="start"/>
    </w:pPr>
    <w:rPr>
      <w:bCs/>
    </w:rPr>
  </w:style>
  <w:style w:type="paragraph" w:styleId="TyutaDate">
    <w:name w:val="Tyuta Date"/>
    <w:basedOn w:val="Normal"/>
    <w:qFormat/>
    <w:pPr>
      <w:ind w:hanging="0" w:start="0" w:end="0"/>
      <w:jc w:val="center"/>
    </w:pPr>
    <w:rPr>
      <w:b/>
      <w:bCs/>
      <w:i/>
      <w:iCs/>
      <w:sz w:val="28"/>
      <w:szCs w:val="28"/>
    </w:rPr>
  </w:style>
  <w:style w:type="paragraph" w:styleId="DocumentHead">
    <w:name w:val="Document Head"/>
    <w:basedOn w:val="Normal"/>
    <w:qFormat/>
    <w:pPr>
      <w:spacing w:lineRule="auto" w:line="360"/>
      <w:ind w:hanging="0" w:start="0" w:end="0"/>
      <w:jc w:val="center"/>
    </w:pPr>
    <w:rPr>
      <w:bCs/>
      <w:spacing w:val="30"/>
      <w:szCs w:val="28"/>
      <w:u w:val="single"/>
    </w:rPr>
  </w:style>
  <w:style w:type="paragraph" w:styleId="TfutzaList">
    <w:name w:val="Tfutza List"/>
    <w:basedOn w:val="Normal"/>
    <w:qFormat/>
    <w:pPr>
      <w:ind w:hanging="0" w:start="0" w:end="0"/>
      <w:jc w:val="start"/>
    </w:pPr>
    <w:rPr>
      <w:i/>
      <w:iCs/>
    </w:rPr>
  </w:style>
  <w:style w:type="paragraph" w:styleId="Ruller41">
    <w:name w:val="Ruller4"/>
    <w:basedOn w:val="Normal"/>
    <w:qFormat/>
    <w:pPr>
      <w:tabs>
        <w:tab w:val="clear" w:pos="720"/>
        <w:tab w:val="left" w:pos="800" w:leader="none"/>
      </w:tabs>
      <w:spacing w:lineRule="auto" w:line="360"/>
      <w:ind w:hanging="0" w:start="0" w:end="0"/>
      <w:jc w:val="both"/>
    </w:pPr>
    <w:rPr>
      <w:rFonts w:ascii="Arial TUR;Arial" w:hAnsi="Arial TUR;Arial" w:cs="FrankRuehl"/>
      <w:spacing w:val="10"/>
      <w:sz w:val="22"/>
      <w:szCs w:val="28"/>
    </w:rPr>
  </w:style>
  <w:style w:type="paragraph" w:styleId="Ruller5">
    <w:name w:val="Ruller5"/>
    <w:basedOn w:val="Normal"/>
    <w:qFormat/>
    <w:pPr>
      <w:ind w:hanging="0" w:start="1642" w:end="1282"/>
      <w:jc w:val="both"/>
    </w:pPr>
    <w:rPr>
      <w:rFonts w:ascii="Arial TUR;Arial" w:hAnsi="Arial TUR;Arial" w:cs="FrankRuehl"/>
      <w:spacing w:val="10"/>
      <w:sz w:val="22"/>
      <w:szCs w:val="28"/>
    </w:rPr>
  </w:style>
  <w:style w:type="paragraph" w:styleId="Ruller6">
    <w:name w:val="Ruller6"/>
    <w:basedOn w:val="Normal"/>
    <w:qFormat/>
    <w:pPr>
      <w:tabs>
        <w:tab w:val="clear" w:pos="720"/>
        <w:tab w:val="left" w:pos="794" w:leader="none"/>
        <w:tab w:val="left" w:pos="2268" w:leader="none"/>
        <w:tab w:val="left" w:pos="5783" w:leader="none"/>
        <w:tab w:val="left" w:pos="7371" w:leader="none"/>
      </w:tabs>
      <w:ind w:hanging="0" w:start="0" w:end="0"/>
      <w:jc w:val="start"/>
    </w:pPr>
    <w:rPr>
      <w:rFonts w:ascii="Arial TUR;Arial" w:hAnsi="Arial TUR;Arial" w:cs="DavidFix;Times New Roman"/>
      <w:spacing w:val="10"/>
      <w:sz w:val="22"/>
      <w:szCs w:val="20"/>
    </w:rPr>
  </w:style>
  <w:style w:type="paragraph" w:styleId="WriterName">
    <w:name w:val="Writer Name"/>
    <w:basedOn w:val="Ruller41"/>
    <w:next w:val="Ruller41"/>
    <w:qFormat/>
    <w:pPr>
      <w:ind w:hanging="0" w:start="0" w:end="0"/>
      <w:jc w:val="both"/>
    </w:pPr>
    <w:rPr>
      <w:rFonts w:cs="David;Times New Roman"/>
      <w:b/>
      <w:bCs/>
      <w:u w:val="single"/>
    </w:rPr>
  </w:style>
  <w:style w:type="paragraph" w:styleId="2">
    <w:name w:val="ñâðåï2"/>
    <w:basedOn w:val="Normal"/>
    <w:qFormat/>
    <w:pPr>
      <w:overflowPunct w:val="true"/>
      <w:ind w:hanging="0" w:start="0" w:end="0"/>
      <w:jc w:val="start"/>
    </w:pPr>
    <w:rPr>
      <w:rFonts w:cs="Times New Roman"/>
    </w:rPr>
  </w:style>
  <w:style w:type="paragraph" w:styleId="Casenameintextbody">
    <w:name w:val="Case name in text body"/>
    <w:basedOn w:val="Normal"/>
    <w:qFormat/>
    <w:pPr>
      <w:overflowPunct w:val="true"/>
      <w:ind w:hanging="0" w:start="0" w:end="0"/>
      <w:jc w:val="end"/>
    </w:pPr>
    <w:rPr>
      <w:rFonts w:cs="Times New Roman"/>
      <w:b/>
      <w:bCs/>
      <w:u w:val="single"/>
    </w:rPr>
  </w:style>
  <w:style w:type="paragraph" w:styleId="precasestyle">
    <w:name w:val="pre_case style"/>
    <w:basedOn w:val="Normal"/>
    <w:qFormat/>
    <w:pPr>
      <w:tabs>
        <w:tab w:val="clear" w:pos="720"/>
        <w:tab w:val="left" w:pos="2552" w:leader="none"/>
      </w:tabs>
      <w:overflowPunct w:val="true"/>
      <w:ind w:hanging="0" w:start="0" w:end="2549"/>
      <w:jc w:val="start"/>
    </w:pPr>
    <w:rPr>
      <w:rFonts w:cs="Times New Roman"/>
    </w:rPr>
  </w:style>
  <w:style w:type="paragraph" w:styleId="BodyRuller1">
    <w:name w:val="Body Ruller"/>
    <w:basedOn w:val="Normal"/>
    <w:qFormat/>
    <w:pPr>
      <w:ind w:hanging="0" w:start="0" w:end="0"/>
      <w:jc w:val="start"/>
    </w:pPr>
    <w:rPr>
      <w:sz w:val="22"/>
      <w:szCs w:val="28"/>
    </w:rPr>
  </w:style>
  <w:style w:type="paragraph" w:styleId="Ruller381">
    <w:name w:val="סגנון Ruller 3 + (מורכב) ‏8 נק"/>
    <w:basedOn w:val="BodyRuller1"/>
    <w:qFormat/>
    <w:pPr>
      <w:ind w:hanging="0" w:start="0" w:end="0"/>
      <w:jc w:val="start"/>
    </w:pPr>
    <w:rPr>
      <w:szCs w:val="16"/>
    </w:rPr>
  </w:style>
  <w:style w:type="paragraph" w:styleId="FileNumber1">
    <w:name w:val="סגנון File Number + ימין"/>
    <w:basedOn w:val="FileNumber"/>
    <w:qFormat/>
    <w:pPr>
      <w:ind w:hanging="0" w:start="0" w:end="0"/>
      <w:jc w:val="start"/>
    </w:pPr>
    <w:rPr>
      <w:szCs w:val="28"/>
    </w:rPr>
  </w:style>
  <w:style w:type="paragraph" w:styleId="BODYVERDICT">
    <w:name w:val="BODY VERDICT"/>
    <w:basedOn w:val="Normal"/>
    <w:qFormat/>
    <w:pPr>
      <w:ind w:hanging="0" w:start="0" w:end="0"/>
      <w:jc w:val="start"/>
    </w:pPr>
    <w:rPr>
      <w:rFonts w:cs="FrankRuehl"/>
      <w:spacing w:val="10"/>
      <w:sz w:val="22"/>
      <w:szCs w:val="28"/>
    </w:rPr>
  </w:style>
  <w:style w:type="paragraph" w:styleId="ruller40">
    <w:name w:val="ruller40"/>
    <w:basedOn w:val="Normal"/>
    <w:qFormat/>
    <w:pPr>
      <w:numPr>
        <w:ilvl w:val="0"/>
        <w:numId w:val="1"/>
      </w:numPr>
      <w:spacing w:lineRule="auto" w:line="360"/>
      <w:ind w:hanging="0" w:start="643" w:end="0"/>
      <w:jc w:val="both"/>
    </w:pPr>
    <w:rPr>
      <w:rFonts w:ascii="Garamond" w:hAnsi="Garamond" w:cs="Times New Roman"/>
      <w:spacing w:val="10"/>
      <w:sz w:val="24"/>
    </w:rPr>
  </w:style>
  <w:style w:type="paragraph" w:styleId="Ruller42">
    <w:name w:val="Ruller 4 ממוספר"/>
    <w:basedOn w:val="Ruller41"/>
    <w:next w:val="Ruller41"/>
    <w:qFormat/>
    <w:pPr>
      <w:numPr>
        <w:ilvl w:val="0"/>
        <w:numId w:val="2"/>
      </w:numPr>
      <w:ind w:hanging="0" w:start="0" w:end="0"/>
      <w:jc w:val="both"/>
    </w:pPr>
    <w:rPr>
      <w:rFonts w:ascii="Garamond" w:hAnsi="Garamond" w:cs="Garamond"/>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evo.co.il/law/70301" TargetMode="External"/><Relationship Id="rId3" Type="http://schemas.openxmlformats.org/officeDocument/2006/relationships/hyperlink" Target="http://www.nevo.co.il/law/70301/40d" TargetMode="External"/><Relationship Id="rId4" Type="http://schemas.openxmlformats.org/officeDocument/2006/relationships/hyperlink" Target="http://www.nevo.co.il/law/70301/144.a" TargetMode="External"/><Relationship Id="rId5" Type="http://schemas.openxmlformats.org/officeDocument/2006/relationships/hyperlink" Target="http://www.nevo.co.il/law/70301/144.b2" TargetMode="External"/><Relationship Id="rId6" Type="http://schemas.openxmlformats.org/officeDocument/2006/relationships/hyperlink" Target="http://www.nevo.co.il/law/70301/144.a" TargetMode="External"/><Relationship Id="rId7" Type="http://schemas.openxmlformats.org/officeDocument/2006/relationships/hyperlink" Target="http://www.nevo.co.il/law/70301" TargetMode="External"/><Relationship Id="rId8" Type="http://schemas.openxmlformats.org/officeDocument/2006/relationships/hyperlink" Target="http://www.nevo.co.il/law/70301/144.b2" TargetMode="External"/><Relationship Id="rId9" Type="http://schemas.openxmlformats.org/officeDocument/2006/relationships/hyperlink" Target="http://www.nevo.co.il/links/psika/?link=&#1506;&#1508;%208092/04" TargetMode="External"/><Relationship Id="rId10" Type="http://schemas.openxmlformats.org/officeDocument/2006/relationships/hyperlink" Target="http://www.nevo.co.il/law/70301" TargetMode="External"/><Relationship Id="rId11" Type="http://schemas.openxmlformats.org/officeDocument/2006/relationships/hyperlink" Target="http://www.nevo.co.il/links/psika/?link=&#1506;&#1508;%201274/12" TargetMode="External"/><Relationship Id="rId12" Type="http://schemas.openxmlformats.org/officeDocument/2006/relationships/hyperlink" Target="http://www.nevo.co.il/law/70301/40d" TargetMode="External"/><Relationship Id="rId13" Type="http://schemas.openxmlformats.org/officeDocument/2006/relationships/hyperlink" Target="http://www.nevo.co.il/links/psika/?link=&#1506;&#1508;%201903/13" TargetMode="External"/><Relationship Id="rId14" Type="http://schemas.openxmlformats.org/officeDocument/2006/relationships/hyperlink" Target="http://www.court.gov.il/" TargetMode="External"/><Relationship Id="rId15" Type="http://schemas.openxmlformats.org/officeDocument/2006/relationships/hyperlink" Target="http://www.nevo.co.il/advertisements/nevo-100.doc"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14005260.H03.doc</Template>
  <TotalTime>3</TotalTime>
  <Application>LibreOffice/24.8.4.2$MacOSX_AARCH64 LibreOffice_project/bb3cfa12c7b1bf994ecc5649a80400d06cd71002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2014-03-18T08:55:00Z</dcterms:created>
  <dc:creator> </dc:creator>
  <dc:description/>
  <cp:keywords/>
  <dc:language>en-IL</dc:language>
  <cp:lastModifiedBy>orly</cp:lastModifiedBy>
  <cp:lastPrinted>2014-03-12T08:37:00Z</cp:lastPrinted>
  <dcterms:modified xsi:type="dcterms:W3CDTF">2014-03-18T10:22:00Z</dcterms:modified>
  <cp:revision>3</cp:revision>
  <dc:subject> </dc:subject>
  <dc:title>nevo.co.il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LLANT">
    <vt:lpwstr>פלוני</vt:lpwstr>
  </property>
  <property fmtid="{D5CDD505-2E9C-101B-9397-08002B2CF9AE}" pid="3" name="APPELLANT1">
    <vt:lpwstr/>
  </property>
  <property fmtid="{D5CDD505-2E9C-101B-9397-08002B2CF9AE}" pid="4" name="APPELLANT2">
    <vt:lpwstr/>
  </property>
  <property fmtid="{D5CDD505-2E9C-101B-9397-08002B2CF9AE}" pid="5" name="APPELLEE">
    <vt:lpwstr>מדינת ישראל</vt:lpwstr>
  </property>
  <property fmtid="{D5CDD505-2E9C-101B-9397-08002B2CF9AE}" pid="6" name="APPELLEE1">
    <vt:lpwstr/>
  </property>
  <property fmtid="{D5CDD505-2E9C-101B-9397-08002B2CF9AE}" pid="7" name="APPELLEE2">
    <vt:lpwstr/>
  </property>
  <property fmtid="{D5CDD505-2E9C-101B-9397-08002B2CF9AE}" pid="8" name="CITY">
    <vt:lpwstr/>
  </property>
  <property fmtid="{D5CDD505-2E9C-101B-9397-08002B2CF9AE}" pid="9" name="DATE">
    <vt:lpwstr>20140312</vt:lpwstr>
  </property>
  <property fmtid="{D5CDD505-2E9C-101B-9397-08002B2CF9AE}" pid="10" name="DELEMATA">
    <vt:lpwstr/>
  </property>
  <property fmtid="{D5CDD505-2E9C-101B-9397-08002B2CF9AE}" pid="11" name="ISABSTRACT">
    <vt:lpwstr>Y</vt:lpwstr>
  </property>
  <property fmtid="{D5CDD505-2E9C-101B-9397-08002B2CF9AE}" pid="12" name="JUDGE">
    <vt:lpwstr>ס' ג'ובראן;י' עמית;נ' סולברג</vt:lpwstr>
  </property>
  <property fmtid="{D5CDD505-2E9C-101B-9397-08002B2CF9AE}" pid="13" name="LAWLISTTMP1">
    <vt:lpwstr>70301/144.a, 144.b2, 040d</vt:lpwstr>
  </property>
  <property fmtid="{D5CDD505-2E9C-101B-9397-08002B2CF9AE}" pid="14" name="LAWYER">
    <vt:lpwstr>חיים שווייצר;איל הדר;שלום פיניאה</vt:lpwstr>
  </property>
  <property fmtid="{D5CDD505-2E9C-101B-9397-08002B2CF9AE}" pid="15" name="LINKK1">
    <vt:lpwstr/>
  </property>
  <property fmtid="{D5CDD505-2E9C-101B-9397-08002B2CF9AE}" pid="16" name="LINKK2">
    <vt:lpwstr/>
  </property>
  <property fmtid="{D5CDD505-2E9C-101B-9397-08002B2CF9AE}" pid="17" name="LINKK3">
    <vt:lpwstr/>
  </property>
  <property fmtid="{D5CDD505-2E9C-101B-9397-08002B2CF9AE}" pid="18" name="LINKK4">
    <vt:lpwstr/>
  </property>
  <property fmtid="{D5CDD505-2E9C-101B-9397-08002B2CF9AE}" pid="19" name="LINKK5">
    <vt:lpwstr/>
  </property>
  <property fmtid="{D5CDD505-2E9C-101B-9397-08002B2CF9AE}" pid="20" name="METAKZER">
    <vt:lpwstr>פאני</vt:lpwstr>
  </property>
  <property fmtid="{D5CDD505-2E9C-101B-9397-08002B2CF9AE}" pid="21" name="NEWPARTA">
    <vt:lpwstr/>
  </property>
  <property fmtid="{D5CDD505-2E9C-101B-9397-08002B2CF9AE}" pid="22" name="NEWPARTB">
    <vt:lpwstr/>
  </property>
  <property fmtid="{D5CDD505-2E9C-101B-9397-08002B2CF9AE}" pid="23" name="NEWPARTC">
    <vt:lpwstr/>
  </property>
  <property fmtid="{D5CDD505-2E9C-101B-9397-08002B2CF9AE}" pid="24" name="NEWPROC">
    <vt:lpwstr/>
  </property>
  <property fmtid="{D5CDD505-2E9C-101B-9397-08002B2CF9AE}" pid="25" name="NOSE11">
    <vt:lpwstr>עונשין</vt:lpwstr>
  </property>
  <property fmtid="{D5CDD505-2E9C-101B-9397-08002B2CF9AE}" pid="26" name="NOSE110">
    <vt:lpwstr/>
  </property>
  <property fmtid="{D5CDD505-2E9C-101B-9397-08002B2CF9AE}" pid="27" name="NOSE12">
    <vt:lpwstr>עונשין</vt:lpwstr>
  </property>
  <property fmtid="{D5CDD505-2E9C-101B-9397-08002B2CF9AE}" pid="28" name="NOSE13">
    <vt:lpwstr>עונשין</vt:lpwstr>
  </property>
  <property fmtid="{D5CDD505-2E9C-101B-9397-08002B2CF9AE}" pid="29" name="NOSE14">
    <vt:lpwstr>עונשין</vt:lpwstr>
  </property>
  <property fmtid="{D5CDD505-2E9C-101B-9397-08002B2CF9AE}" pid="30" name="NOSE15">
    <vt:lpwstr/>
  </property>
  <property fmtid="{D5CDD505-2E9C-101B-9397-08002B2CF9AE}" pid="31" name="NOSE16">
    <vt:lpwstr/>
  </property>
  <property fmtid="{D5CDD505-2E9C-101B-9397-08002B2CF9AE}" pid="32" name="NOSE17">
    <vt:lpwstr/>
  </property>
  <property fmtid="{D5CDD505-2E9C-101B-9397-08002B2CF9AE}" pid="33" name="NOSE18">
    <vt:lpwstr/>
  </property>
  <property fmtid="{D5CDD505-2E9C-101B-9397-08002B2CF9AE}" pid="34" name="NOSE19">
    <vt:lpwstr/>
  </property>
  <property fmtid="{D5CDD505-2E9C-101B-9397-08002B2CF9AE}" pid="35" name="NOSE1ID">
    <vt:lpwstr>77;77;77;77</vt:lpwstr>
  </property>
  <property fmtid="{D5CDD505-2E9C-101B-9397-08002B2CF9AE}" pid="36" name="NOSE21">
    <vt:lpwstr>ענישה</vt:lpwstr>
  </property>
  <property fmtid="{D5CDD505-2E9C-101B-9397-08002B2CF9AE}" pid="37" name="NOSE210">
    <vt:lpwstr/>
  </property>
  <property fmtid="{D5CDD505-2E9C-101B-9397-08002B2CF9AE}" pid="38" name="NOSE22">
    <vt:lpwstr>ענישה</vt:lpwstr>
  </property>
  <property fmtid="{D5CDD505-2E9C-101B-9397-08002B2CF9AE}" pid="39" name="NOSE23">
    <vt:lpwstr>ענישה</vt:lpwstr>
  </property>
  <property fmtid="{D5CDD505-2E9C-101B-9397-08002B2CF9AE}" pid="40" name="NOSE24">
    <vt:lpwstr>ענישה</vt:lpwstr>
  </property>
  <property fmtid="{D5CDD505-2E9C-101B-9397-08002B2CF9AE}" pid="41" name="NOSE25">
    <vt:lpwstr/>
  </property>
  <property fmtid="{D5CDD505-2E9C-101B-9397-08002B2CF9AE}" pid="42" name="NOSE26">
    <vt:lpwstr/>
  </property>
  <property fmtid="{D5CDD505-2E9C-101B-9397-08002B2CF9AE}" pid="43" name="NOSE27">
    <vt:lpwstr/>
  </property>
  <property fmtid="{D5CDD505-2E9C-101B-9397-08002B2CF9AE}" pid="44" name="NOSE28">
    <vt:lpwstr/>
  </property>
  <property fmtid="{D5CDD505-2E9C-101B-9397-08002B2CF9AE}" pid="45" name="NOSE29">
    <vt:lpwstr/>
  </property>
  <property fmtid="{D5CDD505-2E9C-101B-9397-08002B2CF9AE}" pid="46" name="NOSE2ID">
    <vt:lpwstr>1446;1446;1446;1446</vt:lpwstr>
  </property>
  <property fmtid="{D5CDD505-2E9C-101B-9397-08002B2CF9AE}" pid="47" name="NOSE31">
    <vt:lpwstr>מדיניות ענישה: שיקום</vt:lpwstr>
  </property>
  <property fmtid="{D5CDD505-2E9C-101B-9397-08002B2CF9AE}" pid="48" name="NOSE310">
    <vt:lpwstr/>
  </property>
  <property fmtid="{D5CDD505-2E9C-101B-9397-08002B2CF9AE}" pid="49" name="NOSE32">
    <vt:lpwstr>מתחם הענישה</vt:lpwstr>
  </property>
  <property fmtid="{D5CDD505-2E9C-101B-9397-08002B2CF9AE}" pid="50" name="NOSE33">
    <vt:lpwstr>מדיניות ענישה: שיקולים לקולה</vt:lpwstr>
  </property>
  <property fmtid="{D5CDD505-2E9C-101B-9397-08002B2CF9AE}" pid="51" name="NOSE34">
    <vt:lpwstr>התערבות ערכאת הערעור</vt:lpwstr>
  </property>
  <property fmtid="{D5CDD505-2E9C-101B-9397-08002B2CF9AE}" pid="52" name="NOSE35">
    <vt:lpwstr/>
  </property>
  <property fmtid="{D5CDD505-2E9C-101B-9397-08002B2CF9AE}" pid="53" name="NOSE36">
    <vt:lpwstr/>
  </property>
  <property fmtid="{D5CDD505-2E9C-101B-9397-08002B2CF9AE}" pid="54" name="NOSE37">
    <vt:lpwstr/>
  </property>
  <property fmtid="{D5CDD505-2E9C-101B-9397-08002B2CF9AE}" pid="55" name="NOSE38">
    <vt:lpwstr/>
  </property>
  <property fmtid="{D5CDD505-2E9C-101B-9397-08002B2CF9AE}" pid="56" name="NOSE39">
    <vt:lpwstr/>
  </property>
  <property fmtid="{D5CDD505-2E9C-101B-9397-08002B2CF9AE}" pid="57" name="NOSE3ID">
    <vt:lpwstr>14346;14985;8996;8978</vt:lpwstr>
  </property>
  <property fmtid="{D5CDD505-2E9C-101B-9397-08002B2CF9AE}" pid="58" name="PADIDATE">
    <vt:lpwstr>20140318</vt:lpwstr>
  </property>
  <property fmtid="{D5CDD505-2E9C-101B-9397-08002B2CF9AE}" pid="59" name="PADIMAIL">
    <vt:lpwstr>YES</vt:lpwstr>
  </property>
  <property fmtid="{D5CDD505-2E9C-101B-9397-08002B2CF9AE}" pid="60" name="PAGE">
    <vt:lpwstr/>
  </property>
  <property fmtid="{D5CDD505-2E9C-101B-9397-08002B2CF9AE}" pid="61" name="PART">
    <vt:lpwstr/>
  </property>
  <property fmtid="{D5CDD505-2E9C-101B-9397-08002B2CF9AE}" pid="62" name="PROCESS">
    <vt:lpwstr>עפ</vt:lpwstr>
  </property>
  <property fmtid="{D5CDD505-2E9C-101B-9397-08002B2CF9AE}" pid="63" name="PROCNUM">
    <vt:lpwstr>526</vt:lpwstr>
  </property>
  <property fmtid="{D5CDD505-2E9C-101B-9397-08002B2CF9AE}" pid="64" name="PROCYEAR">
    <vt:lpwstr>14</vt:lpwstr>
  </property>
  <property fmtid="{D5CDD505-2E9C-101B-9397-08002B2CF9AE}" pid="65" name="PSAKDIN">
    <vt:lpwstr>פסק-דין</vt:lpwstr>
  </property>
  <property fmtid="{D5CDD505-2E9C-101B-9397-08002B2CF9AE}" pid="66" name="TYPE">
    <vt:lpwstr>1</vt:lpwstr>
  </property>
  <property fmtid="{D5CDD505-2E9C-101B-9397-08002B2CF9AE}" pid="67" name="TYPE_ABS_DATE">
    <vt:lpwstr>410120140312</vt:lpwstr>
  </property>
  <property fmtid="{D5CDD505-2E9C-101B-9397-08002B2CF9AE}" pid="68" name="TYPE_N_DATE">
    <vt:lpwstr>41020140312</vt:lpwstr>
  </property>
  <property fmtid="{D5CDD505-2E9C-101B-9397-08002B2CF9AE}" pid="69" name="VOLUME">
    <vt:lpwstr/>
  </property>
  <property fmtid="{D5CDD505-2E9C-101B-9397-08002B2CF9AE}" pid="70" name="WORDNUMPAGES">
    <vt:lpwstr>7</vt:lpwstr>
  </property>
</Properties>
</file>