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בבית-המשפט העליון בשבתו כבית-משפט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5827/02</w:t>
      </w:r>
    </w:p>
    <w:p>
      <w:pPr>
        <w:bidi/>
      </w:pPr>
      <w:r>
        <w:rPr>
          <w:rFonts w:ascii="Times New Roman" w:hAnsi="Times New Roman" w:cs="Times New Roman"/>
          <w:sz w:val="28"/>
          <w:sz-cs w:val="28"/>
        </w:rPr>
        <w:t xml:space="preserve">ע"פ  7497/02</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כבוד השופטת ד' דורנר</w:t>
      </w:r>
    </w:p>
    <w:p>
      <w:pPr>
        <w:jc w:val="right"/>
        <w:bidi/>
      </w:pPr>
      <w:r>
        <w:rPr>
          <w:rFonts w:ascii="Times New Roman" w:hAnsi="Times New Roman" w:cs="Times New Roman"/>
          <w:sz w:val="22"/>
          <w:sz-cs w:val="22"/>
        </w:rPr>
        <w:t xml:space="preserve">בפני: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י' טירקל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א' לוי</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נאסר מחמד בדראן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יוסף אלזיר </w:t>
      </w:r>
    </w:p>
    <w:p>
      <w:pPr>
        <w:jc w:val="right"/>
        <w:bidi/>
      </w:pPr>
      <w:r>
        <w:rPr>
          <w:rFonts w:ascii="Times New Roman" w:hAnsi="Times New Roman" w:cs="Times New Roman"/>
          <w:sz w:val="22"/>
          <w:sz-cs w:val="22"/>
        </w:rPr>
        <w:t xml:space="preserve">המערער בע"פ 5827/02:</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המערער בע"פ 7497/02:</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b/>
        </w:rPr>
        <w:t xml:space="preserve">ערעור על פסק-דין בית-המשפט המחוזי בחיפה מיום 20.5.02 בת"פ 351/01, שניתן על-ידי כבוד הנשיא מ' לינדנשטראוס והשופטים ס' ג'ובראן וי' דר; וערעור על גזר-דין בית-המשפט המחוזי בחיפה מיום 14.7.02 בת"פ 368/01, שניתן על-ידי כבוד סגן-הנשיא ח' פיזם והשופטים א' רזי וש' שטמר </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(10.3.03) </w:t>
      </w: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 באדר ב תשס"ג</w:t>
      </w:r>
      <w:r>
        <w:rPr>
          <w:rFonts w:ascii="Times New Roman" w:hAnsi="Times New Roman" w:cs="Times New Roman"/>
          <w:sz w:val="22"/>
          <w:sz-cs w:val="22"/>
        </w:rPr>
        <w:t xml:space="preserve">       </w:t>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עו"ד אביגדור פלדמן </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מחמד סעיד מחאג'נה</w:t>
      </w:r>
    </w:p>
    <w:p>
      <w:pPr>
        <w:jc w:val="right"/>
        <w:bidi/>
      </w:pPr>
      <w:r>
        <w:rPr>
          <w:rFonts w:ascii="Times New Roman" w:hAnsi="Times New Roman" w:cs="Times New Roman"/>
          <w:sz w:val="22"/>
          <w:sz-cs w:val="22"/>
        </w:rPr>
        <w:t xml:space="preserve">בשם המערער בע"פ 5827/02:</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המערער בע"פ 7497/02:</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עו"ד משה שילה </w:t>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right"/>
        <w:bidi/>
        <w:spacing w:before="60" w:after="60"/>
      </w:pPr>
      <w:r>
        <w:rPr>
          <w:rFonts w:ascii="Times New Roman" w:hAnsi="Times New Roman" w:cs="Times New Roman"/>
          <w:sz w:val="26"/>
          <w:sz-cs w:val="26"/>
        </w:rPr>
        <w:t xml:space="preserve">לעתירה בעליון (נדחתה, 3.3.05): </w:t>
      </w:r>
      <w:r>
        <w:rPr>
          <w:rFonts w:ascii="Times New Roman" w:hAnsi="Times New Roman" w:cs="Times New Roman"/>
          <w:sz w:val="26"/>
          <w:sz-cs w:val="26"/>
          <w:color w:val="000000"/>
        </w:rPr>
        <w:t xml:space="preserve"> HYPERLINK "http://www.nevo.co.il/Psika_word/elyon/0108086.doc" </w:t>
      </w:r>
      <w:r>
        <w:rPr>
          <w:rFonts w:ascii="Times New Roman" w:hAnsi="Times New Roman" w:cs="Times New Roman"/>
          <w:sz w:val="26"/>
          <w:sz-cs w:val="26"/>
          <w:u w:val="single"/>
          <w:color w:val="0000FF"/>
        </w:rPr>
        <w:t xml:space="preserve">דנפ 8086/01</w:t>
        <w:tab/>
        <w:t xml:space="preserve"> דניס אייזן נ' מדינת ישראל</w:t>
      </w:r>
      <w:r>
        <w:rPr>
          <w:rFonts w:ascii="Times New Roman" w:hAnsi="Times New Roman" w:cs="Times New Roman"/>
          <w:sz w:val="26"/>
          <w:sz-cs w:val="26"/>
          <w:color w:val="000000"/>
        </w:rPr>
        <w:t xml:space="preserve">, </w:t>
      </w:r>
      <w:r>
        <w:rPr>
          <w:rFonts w:ascii="Times New Roman" w:hAnsi="Times New Roman" w:cs="Times New Roman"/>
          <w:sz w:val="26"/>
          <w:sz-cs w:val="26"/>
        </w:rPr>
        <w:t xml:space="preserve">א' ברק, א' מצא, מ' חשין, י' טירקל, מ' נאור</w:t>
      </w:r>
      <w:r>
        <w:rPr>
          <w:rFonts w:ascii="Times New Roman" w:hAnsi="Times New Roman" w:cs="Times New Roman"/>
          <w:sz w:val="26"/>
          <w:sz-cs w:val="26"/>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
        <w:tab/>
        <w:t xml:space="preserve">נאסר בדראן (להלן: בדראן) ויוסף אלזיר (להלן: יוסף) הנם אחים ולהם בן-דוד בשם מחמד יאסין (להלן: יאסין). על-פי הסדרי טיעון שנעשו עמם, מצא בית-המשפט המחוזי בחיפה, כי במפגשים שנערכו בין בדראן ליאסין, שמע בדראן כי יאסין הוא חבר בארגון "הג'האד האסלאמי" ויאסין אף ביקש מבדראן לאתר מקומות הומי-אדם, המתאימים לביצוע פעולות התאבדות וכן לסייע ליאסין בהעברת מחבל-מתאבד לתחנת הרכבת בבנימינה. עוד ביקש יאסין מבדראן להשיג עבורו כלי-נשק או לקשרו עם סוחר אמצעי-לחימה באם אלפאחם. </w:t>
      </w:r>
    </w:p>
    <w:p>
      <w:pPr>
        <w:jc w:val="both"/>
        <w:bidi/>
      </w:pPr>
      <w:r>
        <w:rPr>
          <w:rFonts w:ascii="Arial" w:hAnsi="Arial" w:cs="Arial"/>
          <w:sz w:val="22"/>
          <w:sz-cs w:val="22"/>
          <w:spacing w:val="10"/>
        </w:rPr>
        <w:t xml:space="preserve"/>
      </w:r>
    </w:p>
    <w:p>
      <w:pPr>
        <w:jc w:val="both"/>
        <w:bidi/>
      </w:pPr>
      <w:r>
        <w:rPr>
          <w:rFonts w:ascii="Arial" w:hAnsi="Arial" w:cs="Arial"/>
          <w:sz w:val="4"/>
          <w:sz-cs w:val="4"/>
          <w:spacing w:val="10"/>
          <w:color w:val="FFFFFF"/>
        </w:rPr>
        <w:t xml:space="preserve"/>
      </w:r>
    </w:p>
    <w:p>
      <w:pPr>
        <w:jc w:val="both"/>
        <w:bidi/>
      </w:pPr>
      <w:r>
        <w:rPr>
          <w:rFonts w:ascii="Arial" w:hAnsi="Arial" w:cs="Arial"/>
          <w:sz w:val="4"/>
          <w:sz-cs w:val="4"/>
          <w:spacing w:val="10"/>
          <w:color w:val="FFFFFF"/>
        </w:rPr>
        <w:t xml:space="preserve">5129371</w:t>
      </w:r>
    </w:p>
    <w:p>
      <w:pPr>
        <w:jc w:val="both"/>
        <w:bidi/>
      </w:pPr>
      <w:r>
        <w:rPr>
          <w:rFonts w:ascii="Arial" w:hAnsi="Arial" w:cs="Arial"/>
          <w:sz w:val="4"/>
          <w:sz-cs w:val="4"/>
          <w:spacing w:val="10"/>
          <w:color w:val="FFFFFF"/>
        </w:rPr>
        <w:t xml:space="preserve">5129371</w:t>
      </w:r>
      <w:r>
        <w:rPr>
          <w:rFonts w:ascii="Arial" w:hAnsi="Arial" w:cs="Arial"/>
          <w:sz w:val="22"/>
          <w:sz-cs w:val="22"/>
          <w:spacing w:val="10"/>
        </w:rPr>
        <w:t xml:space="preserve"/>
        <w:tab/>
        <w:t xml:space="preserve">בדראן, בתירוצים שונים, סרב לבקשות לאיתור מקומות הומי-אדם ולהסעת מחבל-מתאבד, אך נענה לבקשה בעניין סוחר הנשק וביקש מאחיו – יוסף – לסייע לו להשיג נשק. על-פי הנקבע בהסדר הטיעון, יוסף לא ידע, כי הנשק מיועד לחבר ארגון "הג'האד האסלאמי". יחד עם בדראן, השיג יוסף עבור יאסין רובה-סער מסוג "16-M", תמורת תשלום של 25,000 ש"ח. בעסקה נוספת, מכר יאסין ליוסף מקלע מסוג "נגב", שנגנב מצה"ל, תמורת 25,000 ש"ח.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בגין מעשים אלה, הואשמו השניים בשני כתבי-אישום נפרדים. יוסף הואשם בעבירות של החזקה וסחר בנשק ונגזרו עליו 10 שנות מאסר, מתוכן שבע וחצי שנים לריצוי בפועל והיתרה על-תנאי, ואילו בדראן הואשם במגע עם סוכן-חוץ והחזקה וסחר בנשק. בדראן הודה בעבירות הנוגעות לנשק וכפר בעבירה של מגע עם סוכן-חוץ. בית-המשפט המחוזי בחיפה, שבפניו התברר המשפט, הרשיעו בשתי העבירות, שהעונש המרבי בגין כל אחת מהן הוא 15 שנות מאסר וגזר עליו בגין כל אחת מהעבירות 10 שנות מאסר באורח מצטבר, כך שעליו לרצות ביחד 20 שנות מאסר.</w:t>
      </w:r>
      <w:r>
        <w:rPr>
          <w:rFonts w:ascii="Arial" w:hAnsi="Arial" w:cs="Arial"/>
          <w:sz w:val="4"/>
          <w:sz-cs w:val="4"/>
          <w:spacing w:val="10"/>
          <w:color w:val="FFFFFF"/>
        </w:rPr>
        <w:t xml:space="preserve">נ</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בדראן ערער כנגד הרשעתו בעבירה של מגע עם סוכן-זר ולחילופין, כנגד חומרת עונשו, ואילו ערעורו של יוסף מופנה כנגד חומרת העונש.</w:t>
      </w:r>
      <w:r>
        <w:rPr>
          <w:rFonts w:ascii="Arial" w:hAnsi="Arial" w:cs="Arial"/>
          <w:sz w:val="4"/>
          <w:sz-cs w:val="4"/>
          <w:spacing w:val="10"/>
          <w:color w:val="FFFFFF"/>
        </w:rPr>
        <w:t xml:space="preserve">ב</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הטענה היחידה הצריכה לפנינו בערעור בדראן, העשויה להשליך על גובה העונש, נוגעת לשאלה אם ניתן היה לגזור עונשים נפרדים, ולא-כל-שכן, מצטברים בגין שתי העבירות בהן הורשע. בעניין זה, נקבע בסעיף 186 לחוק סדר הדין הפלילי [נוסח משולב], תשמ"ב-1982:</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בית-המשפט רשאי להרשיע נאשם בשל כל אחת מהעבירות שאשמתו בהן התגלתה מהעובדות שהוכחו לפניו, אך לא יענישנו יותר מפעם אחת בשל אותו מעשה.</w:t>
      </w:r>
      <w:r>
        <w:rPr>
          <w:rFonts w:ascii="Arial" w:hAnsi="Arial" w:cs="Arial"/>
          <w:sz w:val="4"/>
          <w:sz-cs w:val="4"/>
          <w:spacing w:val="10"/>
          <w:color w:val="FFFFFF"/>
        </w:rPr>
        <w:t xml:space="preserve">ו</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בענייננו אין ספק, שהמגעים בין בדראן לבין בן-דודו, בגדרם הוברר לו שיוכו של בן-הדוד לארגון טרור והוא אף התבקש לסייע לו, מקימים עבירה של מגע עם סוכן-חוץ, כהגדרתו בסעיף 114(ג) לחוק העונשין, תשל"ז-1977. שכן, הגדרה זו כוללת גם חבר בארגון מחבלים. בגדר מגעים אלה התבקש ואף סיפק את הנשק. מדובר, איפוא, בשתי עבירות, אך במעשה אחד – מגע עם סוכן, שלדרישתו נענה בדראן. משכך, היה על בית-המשפט המחוזי לגזור על בדראן עונש אחד.</w:t>
      </w:r>
      <w:r>
        <w:rPr>
          <w:rFonts w:ascii="Arial" w:hAnsi="Arial" w:cs="Arial"/>
          <w:sz w:val="4"/>
          <w:sz-cs w:val="4"/>
          <w:spacing w:val="10"/>
          <w:color w:val="FFFFFF"/>
        </w:rPr>
        <w:t xml:space="preserve">נ</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המעשה הפלילי, הגם שהוא אחד, הוא חמור ביותר. בצדק הטעים בא-כוח המדינה, עורך-הדין שילה, כי אף היום לא מוכן בדראן לגלות היכן נטמן הנשק מסוג "נגב" שנרכש על-ידיו.</w:t>
      </w:r>
      <w:r>
        <w:rPr>
          <w:rFonts w:ascii="Arial" w:hAnsi="Arial" w:cs="Arial"/>
          <w:sz w:val="4"/>
          <w:sz-cs w:val="4"/>
          <w:spacing w:val="10"/>
          <w:color w:val="FFFFFF"/>
        </w:rPr>
        <w:t xml:space="preserve">ב</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בנסיבות אלה, החלטנו לקבל את הערעור, לבטל את העונשים הנפרדים, שהוטלו בגזר-דינו של בית-המשפט המחוזי ולהטיל על בדראן, לנוכח החומרה המיוחדת של מעשהו, עונש אחד – 14 שנות מאסר.</w:t>
      </w:r>
      <w:r>
        <w:rPr>
          <w:rFonts w:ascii="Arial" w:hAnsi="Arial" w:cs="Arial"/>
          <w:sz w:val="4"/>
          <w:sz-cs w:val="4"/>
          <w:spacing w:val="10"/>
          <w:color w:val="FFFFFF"/>
        </w:rPr>
        <w:t xml:space="preserve">ו</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לעומת זאת, איננו רואים מקום להיעתר לערעור יוסף. בהשגת הנשק היה הוא, ללא ספק, פעיל וככל הנראה, פנה אליו אחיו בדראן נוכח קשריו בתחום זה. העונש שהוטל עליו משקף את חומרת התנהגותו ואיננו רואים מקום להקלה בו.</w:t>
      </w:r>
      <w:r>
        <w:rPr>
          <w:rFonts w:ascii="Arial" w:hAnsi="Arial" w:cs="Arial"/>
          <w:sz w:val="4"/>
          <w:sz-cs w:val="4"/>
          <w:spacing w:val="10"/>
          <w:color w:val="FFFFFF"/>
        </w:rPr>
        <w:t xml:space="preserve">נ</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אשר-על-כן, ערעורו של יוסף נדחה.</w:t>
      </w:r>
      <w:r>
        <w:rPr>
          <w:rFonts w:ascii="Arial" w:hAnsi="Arial" w:cs="Arial"/>
          <w:sz w:val="4"/>
          <w:sz-cs w:val="4"/>
          <w:spacing w:val="10"/>
          <w:color w:val="FFFFFF"/>
        </w:rPr>
        <w:t xml:space="preserve">ב</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ניתן היום, ו' באדר ב תשס"ג (10.3.03).</w:t>
      </w:r>
      <w:r>
        <w:rPr>
          <w:rFonts w:ascii="Arial" w:hAnsi="Arial" w:cs="Arial"/>
          <w:sz w:val="4"/>
          <w:sz-cs w:val="4"/>
          <w:spacing w:val="10"/>
          <w:color w:val="FFFFFF"/>
        </w:rPr>
        <w:t xml:space="preserve">ו</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 ת</w:t>
        <w:tab/>
        <w:t xml:space="preserve"/>
        <w:tab/>
        <w:t xml:space="preserve"/>
        <w:tab/>
        <w:t xml:space="preserve"/>
        <w:tab/>
        <w:t xml:space="preserve">ש ו פ ט</w:t>
        <w:tab/>
        <w:t xml:space="preserve"/>
        <w:tab/>
        <w:t xml:space="preserve"/>
        <w:tab/>
        <w:t xml:space="preserve"/>
        <w:tab/>
        <w:t xml:space="preserve">ש ו פ ט</w:t>
      </w:r>
    </w:p>
    <w:p>
      <w:pPr>
        <w:jc w:val="both"/>
        <w:bidi/>
      </w:pPr>
      <w:r>
        <w:rPr>
          <w:rFonts w:ascii="Arial" w:hAnsi="Arial" w:cs="Arial"/>
          <w:sz w:val="22"/>
          <w:sz-cs w:val="22"/>
          <w:spacing w:val="10"/>
        </w:rPr>
        <w:t xml:space="preserve"> </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02058270_L02.doc</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02-6750444 ; אתר אינטרנט,  </w:t>
      </w:r>
      <w:r>
        <w:rPr>
          <w:rFonts w:ascii="Times New Roman" w:hAnsi="Times New Roman" w:cs="Times New Roman"/>
          <w:sz w:val="16"/>
          <w:sz-cs w:val="16"/>
        </w:rPr>
        <w:t xml:space="preserve">www.court.gov.il</w:t>
      </w:r>
    </w:p>
    <w:p>
      <w:pPr>
        <w:jc w:val="right"/>
        <w:bidi/>
      </w:pPr>
      <w:r>
        <w:rPr>
          <w:rFonts w:ascii="Times New Roman" w:hAnsi="Times New Roman" w:cs="Times New Roman"/>
          <w:sz w:val="22"/>
          <w:sz-cs w:val="22"/>
        </w:rPr>
        <w:t xml:space="preserve">נוסח מסמך זה כפוף לשינויי ניסוח ועריכה</w:t>
      </w:r>
    </w:p>
    <w:p>
      <w:pPr>
        <w:jc w:val="right"/>
        <w:bidi/>
      </w:pP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עפ 5827/02</w:t>
        <w:tab/>
        <w:t xml:space="preserve"> נאסר מחמד בדראן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5827/02</w:t>
        <w:tab/>
        <w:t xml:space="preserve"> נאסר מחמד בדראן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Z:\00000000\links\0904\0205827.doc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Z:\00000000\links\0904\0205827.doc</w:t>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-אוט-</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dc:creator>
  <cp:lastModifiedBy>eli</cp:lastModifiedBy>
  <dcterms:created>2006-02-21T16:30:00Z</dcterms:created>
  <dcterms:modified>2006-02-21T16:30:00Z</dcterms:modified>
</cp:coreProperties>
</file>

<file path=docProps/meta.xml><?xml version="1.0" encoding="utf-8"?>
<meta xmlns="http://schemas.apple.com/cocoa/2006/metadata">
  <generator>CocoaOOXMLWriter/2575.7</generator>
</meta>
</file>