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7"/>
        <w:gridCol w:w="643"/>
        <w:gridCol w:w="7852"/>
      </w:tblGrid>
      <w:tr>
        <w:trPr/>
        <w:tc>
          <w:tcPr>
            <w:tcW w:w="670" w:type="dxa"/>
            <w:gridSpan w:val="2"/>
            <w:tcBorders/>
          </w:tcPr>
          <w:p>
            <w:pPr>
              <w:pStyle w:val="TableHeading"/>
              <w:rPr/>
            </w:pPr>
            <w:r>
              <w:rPr>
                <w:rtl w:val="true"/>
              </w:rPr>
            </w:r>
          </w:p>
        </w:tc>
        <w:tc>
          <w:tcPr>
            <w:tcW w:w="7852" w:type="dxa"/>
            <w:tcBorders/>
            <w:tcMar>
              <w:start w:w="108" w:type="dxa"/>
              <w:end w:w="108" w:type="dxa"/>
            </w:tcMar>
          </w:tcPr>
          <w:p>
            <w:pPr>
              <w:pStyle w:val="FileNumber1"/>
              <w:spacing w:lineRule="auto" w:line="240"/>
              <w:ind w:end="0"/>
              <w:jc w:val="center"/>
              <w:rPr>
                <w:sz w:val="28"/>
              </w:rPr>
            </w:pPr>
            <w:bookmarkStart w:id="0" w:name="Text1"/>
            <w:r>
              <w:rPr>
                <w:rtl w:val="true"/>
              </w:rPr>
              <w:t>בבית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העליון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בשבתו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כבית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לערעורים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פליליים</w:t>
            </w:r>
            <w:bookmarkEnd w:id="0"/>
          </w:p>
        </w:tc>
      </w:tr>
      <w:tr>
        <w:trPr>
          <w:trHeight w:val="342" w:hRule="atLeast"/>
        </w:trPr>
        <w:tc>
          <w:tcPr>
            <w:tcW w:w="27" w:type="dxa"/>
            <w:tcBorders/>
          </w:tcPr>
          <w:p>
            <w:pPr>
              <w:pStyle w:val="Normal"/>
              <w:rPr>
                <w:rFonts w:cs="Times New Roman"/>
                <w:sz w:val="28"/>
                <w:szCs w:val="20"/>
              </w:rPr>
            </w:pPr>
            <w:r>
              <w:rPr>
                <w:rFonts w:cs="Times New Roman"/>
                <w:sz w:val="28"/>
                <w:szCs w:val="20"/>
                <w:rtl w:val="true"/>
              </w:rPr>
            </w:r>
          </w:p>
        </w:tc>
        <w:tc>
          <w:tcPr>
            <w:tcW w:w="8495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FileNumber"/>
              <w:spacing w:lineRule="auto" w:line="240"/>
              <w:ind w:end="0"/>
              <w:jc w:val="end"/>
              <w:rPr/>
            </w:pPr>
            <w:bookmarkStart w:id="1" w:name="casename_body"/>
            <w:r>
              <w:rPr>
                <w:sz w:val="28"/>
                <w:sz w:val="28"/>
                <w:szCs w:val="28"/>
                <w:rtl w:val="true"/>
              </w:rPr>
              <w:t>ע</w:t>
            </w:r>
            <w:r>
              <w:rPr>
                <w:sz w:val="28"/>
                <w:szCs w:val="28"/>
                <w:rtl w:val="true"/>
              </w:rPr>
              <w:t>"</w:t>
            </w:r>
            <w:r>
              <w:rPr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sz w:val="28"/>
                <w:szCs w:val="28"/>
              </w:rPr>
              <w:t>6022/10</w:t>
            </w:r>
            <w:r>
              <w:rPr>
                <w:sz w:val="28"/>
                <w:szCs w:val="28"/>
                <w:rtl w:val="true"/>
              </w:rPr>
              <w:t xml:space="preserve"> </w:t>
            </w:r>
            <w:bookmarkEnd w:id="1"/>
          </w:p>
        </w:tc>
      </w:tr>
    </w:tbl>
    <w:p>
      <w:pPr>
        <w:pStyle w:val="Ruller31"/>
        <w:spacing w:lineRule="auto" w:line="240"/>
        <w:ind w:end="0"/>
        <w:jc w:val="start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Miriam"/>
                <w:b/>
                <w:bCs/>
              </w:rPr>
            </w:pPr>
            <w:r>
              <w:rPr>
                <w:rtl w:val="true"/>
              </w:rPr>
              <w:t>לפני</w:t>
            </w:r>
            <w:r>
              <w:rPr>
                <w:rtl w:val="true"/>
              </w:rPr>
              <w:t>:</w:t>
              <w:tab/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רובינשטיין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ס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ג</w:t>
            </w:r>
            <w:r>
              <w:rPr>
                <w:rtl w:val="true"/>
              </w:rPr>
              <w:t>'</w:t>
            </w:r>
            <w:r>
              <w:rPr>
                <w:rtl w:val="true"/>
              </w:rPr>
              <w:t>ובראן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  <w:bookmarkStart w:id="2" w:name="LastJudge"/>
            <w:bookmarkStart w:id="3" w:name="LastJudge"/>
            <w:bookmarkEnd w:id="3"/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עמית</w:t>
            </w:r>
          </w:p>
        </w:tc>
      </w:tr>
    </w:tbl>
    <w:p>
      <w:pPr>
        <w:pStyle w:val="Ruller31"/>
        <w:spacing w:lineRule="auto" w:line="240"/>
        <w:ind w:end="0"/>
        <w:jc w:val="start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4" w:name="FirstAppellant"/>
            <w:bookmarkEnd w:id="4"/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מוחמד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שלעאטה</w:t>
            </w:r>
          </w:p>
        </w:tc>
      </w:tr>
    </w:tbl>
    <w:p>
      <w:pPr>
        <w:pStyle w:val="Ruller31"/>
        <w:spacing w:lineRule="auto" w:line="240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נ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ג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ד</w:t>
            </w:r>
          </w:p>
        </w:tc>
      </w:tr>
    </w:tbl>
    <w:p>
      <w:pPr>
        <w:pStyle w:val="Ruller31"/>
        <w:spacing w:lineRule="auto" w:line="240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המשיבה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מדינת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ישראל</w:t>
            </w:r>
          </w:p>
        </w:tc>
      </w:tr>
    </w:tbl>
    <w:p>
      <w:pPr>
        <w:pStyle w:val="Ruller31"/>
        <w:spacing w:lineRule="auto" w:line="240"/>
        <w:ind w:end="0"/>
        <w:jc w:val="both"/>
        <w:rPr/>
      </w:pPr>
      <w:r>
        <w:rPr>
          <w:rtl w:val="true"/>
        </w:rPr>
      </w:r>
    </w:p>
    <w:tbl>
      <w:tblPr>
        <w:bidiVisual w:val="true"/>
        <w:tblW w:w="52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/>
        <w:tc>
          <w:tcPr>
            <w:tcW w:w="5238" w:type="dxa"/>
            <w:tcBorders/>
          </w:tcPr>
          <w:p>
            <w:pPr>
              <w:pStyle w:val="BodyRuller1"/>
              <w:ind w:end="0"/>
              <w:jc w:val="both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ערעור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פסק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דינו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של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בית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המשפט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בחיפה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</w:t>
            </w:r>
            <w:hyperlink r:id="rId2"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ת</w:t>
              </w:r>
              <w:r>
                <w:rPr>
                  <w:rStyle w:val="Hyperlink"/>
                  <w:color w:val="0000FF"/>
                  <w:sz w:val="24"/>
                  <w:szCs w:val="24"/>
                  <w:u w:val="single"/>
                  <w:rtl w:val="true"/>
                </w:rPr>
                <w:t>"</w:t>
              </w:r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color w:val="0000FF"/>
                  <w:sz w:val="24"/>
                  <w:szCs w:val="24"/>
                  <w:u w:val="single"/>
                </w:rPr>
                <w:t>24376-12-09</w:t>
              </w:r>
            </w:hyperlink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[</w:t>
            </w:r>
            <w:r>
              <w:rPr>
                <w:szCs w:val="24"/>
                <w:rtl w:val="true"/>
              </w:rPr>
              <w:t>פורסם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בנבו</w:t>
            </w:r>
            <w:r>
              <w:rPr>
                <w:szCs w:val="24"/>
                <w:rtl w:val="true"/>
              </w:rPr>
              <w:t xml:space="preserve">] </w:t>
            </w:r>
            <w:r>
              <w:rPr>
                <w:sz w:val="24"/>
                <w:sz w:val="24"/>
                <w:szCs w:val="24"/>
                <w:rtl w:val="true"/>
              </w:rPr>
              <w:t>שניתן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ביום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Cs w:val="24"/>
              </w:rPr>
              <w:t>30.6.2010</w:t>
            </w:r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ידי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כבוד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השופט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א</w:t>
            </w:r>
            <w:r>
              <w:rPr>
                <w:sz w:val="24"/>
                <w:szCs w:val="24"/>
                <w:rtl w:val="true"/>
              </w:rPr>
              <w:t xml:space="preserve">' </w:t>
            </w:r>
            <w:r>
              <w:rPr>
                <w:sz w:val="24"/>
                <w:sz w:val="24"/>
                <w:szCs w:val="24"/>
                <w:rtl w:val="true"/>
              </w:rPr>
              <w:t>אליקים</w:t>
            </w:r>
          </w:p>
        </w:tc>
      </w:tr>
    </w:tbl>
    <w:p>
      <w:pPr>
        <w:pStyle w:val="Ruller31"/>
        <w:spacing w:lineRule="auto" w:line="240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535" w:type="dxa"/>
        <w:jc w:val="start"/>
        <w:tblInd w:w="-4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2301"/>
        <w:gridCol w:w="2977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תאריך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הישיבה</w:t>
            </w:r>
            <w:r>
              <w:rPr>
                <w:sz w:val="24"/>
                <w:szCs w:val="24"/>
                <w:rtl w:val="true"/>
              </w:rPr>
              <w:t>:</w:t>
            </w:r>
          </w:p>
        </w:tc>
        <w:tc>
          <w:tcPr>
            <w:tcW w:w="2301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5" w:name="xDate"/>
            <w:r>
              <w:rPr>
                <w:sz w:val="24"/>
                <w:sz w:val="24"/>
                <w:szCs w:val="24"/>
                <w:rtl w:val="true"/>
              </w:rPr>
              <w:t>ב</w:t>
            </w:r>
            <w:r>
              <w:rPr>
                <w:sz w:val="24"/>
                <w:szCs w:val="24"/>
                <w:rtl w:val="true"/>
              </w:rPr>
              <w:t xml:space="preserve">' </w:t>
            </w:r>
            <w:r>
              <w:rPr>
                <w:sz w:val="24"/>
                <w:sz w:val="24"/>
                <w:szCs w:val="24"/>
                <w:rtl w:val="true"/>
              </w:rPr>
              <w:t>בטבת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התשע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ב</w:t>
            </w:r>
            <w:bookmarkEnd w:id="5"/>
            <w:r>
              <w:rPr>
                <w:rFonts w:cs="Times New Roman"/>
                <w:rtl w:val="true"/>
              </w:rPr>
              <w:t xml:space="preserve"> </w:t>
            </w:r>
          </w:p>
        </w:tc>
        <w:tc>
          <w:tcPr>
            <w:tcW w:w="297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bookmarkStart w:id="6" w:name="xGDate"/>
            <w:r>
              <w:rPr>
                <w:rtl w:val="true"/>
              </w:rPr>
              <w:t>(</w:t>
            </w:r>
            <w:r>
              <w:rPr/>
              <w:t>28.12.11</w:t>
            </w:r>
            <w:r>
              <w:rPr>
                <w:rtl w:val="true"/>
              </w:rPr>
              <w:t>)</w:t>
            </w:r>
            <w:bookmarkEnd w:id="6"/>
            <w:r>
              <w:rPr>
                <w:rtl w:val="true"/>
              </w:rPr>
              <w:t xml:space="preserve"> </w:t>
            </w:r>
          </w:p>
        </w:tc>
      </w:tr>
    </w:tbl>
    <w:p>
      <w:pPr>
        <w:pStyle w:val="Ruller31"/>
        <w:spacing w:lineRule="auto" w:line="240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איברהים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כנאענה</w:t>
            </w:r>
          </w:p>
        </w:tc>
      </w:tr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7" w:name="FirstLawyer"/>
            <w:bookmarkEnd w:id="7"/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המשיבה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איילת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קדוש</w:t>
            </w:r>
          </w:p>
        </w:tc>
      </w:tr>
    </w:tbl>
    <w:p>
      <w:pPr>
        <w:pStyle w:val="Ruller31"/>
        <w:spacing w:lineRule="auto" w:line="240"/>
        <w:ind w:end="0"/>
        <w:jc w:val="start"/>
        <w:rPr/>
      </w:pPr>
      <w:r>
        <w:rPr>
          <w:rtl w:val="true"/>
        </w:rPr>
      </w:r>
    </w:p>
    <w:p>
      <w:pPr>
        <w:pStyle w:val="Ruller31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pacing w:val="0"/>
          <w:sz w:val="24"/>
          <w:szCs w:val="24"/>
        </w:rPr>
      </w:pPr>
      <w:r>
        <w:rPr>
          <w:rFonts w:cs="FrankRuehl" w:ascii="FrankRuehl" w:hAnsi="FrankRuehl"/>
          <w:spacing w:val="0"/>
          <w:sz w:val="24"/>
          <w:szCs w:val="24"/>
          <w:rtl w:val="true"/>
        </w:rPr>
      </w:r>
    </w:p>
    <w:p>
      <w:pPr>
        <w:pStyle w:val="Ruller31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pacing w:val="0"/>
          <w:sz w:val="24"/>
          <w:szCs w:val="24"/>
        </w:rPr>
      </w:pPr>
      <w:r>
        <w:rPr>
          <w:rFonts w:ascii="FrankRuehl" w:hAnsi="FrankRuehl"/>
          <w:spacing w:val="0"/>
          <w:sz w:val="24"/>
          <w:sz w:val="24"/>
          <w:szCs w:val="24"/>
          <w:rtl w:val="true"/>
        </w:rPr>
        <w:t>חקיקה שאוזכרה</w:t>
      </w:r>
      <w:r>
        <w:rPr>
          <w:rFonts w:cs="FrankRuehl" w:ascii="FrankRuehl" w:hAnsi="FrankRuehl"/>
          <w:spacing w:val="0"/>
          <w:sz w:val="24"/>
          <w:szCs w:val="24"/>
          <w:rtl w:val="true"/>
        </w:rPr>
        <w:t xml:space="preserve">: </w:t>
      </w:r>
    </w:p>
    <w:p>
      <w:pPr>
        <w:pStyle w:val="Ruller31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pacing w:val="0"/>
          <w:sz w:val="24"/>
          <w:szCs w:val="24"/>
        </w:rPr>
      </w:pPr>
      <w:hyperlink r:id="rId3">
        <w:r>
          <w:rPr>
            <w:rStyle w:val="Hyperlink"/>
            <w:rFonts w:ascii="FrankRuehl" w:hAnsi="FrankRuehl"/>
            <w:color w:val="0000FF"/>
            <w:spacing w:val="0"/>
            <w:sz w:val="24"/>
            <w:sz w:val="24"/>
            <w:szCs w:val="24"/>
            <w:u w:val="single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  <w:rtl w:val="true"/>
          </w:rPr>
          <w:t xml:space="preserve">, </w:t>
        </w:r>
        <w:r>
          <w:rPr>
            <w:rStyle w:val="Hyperlink"/>
            <w:rFonts w:ascii="FrankRuehl" w:hAnsi="FrankRuehl"/>
            <w:color w:val="0000FF"/>
            <w:spacing w:val="0"/>
            <w:sz w:val="24"/>
            <w:sz w:val="24"/>
            <w:szCs w:val="24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  <w:rtl w:val="true"/>
          </w:rPr>
          <w:t>"</w:t>
        </w:r>
        <w:r>
          <w:rPr>
            <w:rStyle w:val="Hyperlink"/>
            <w:rFonts w:ascii="FrankRuehl" w:hAnsi="FrankRuehl"/>
            <w:color w:val="0000FF"/>
            <w:spacing w:val="0"/>
            <w:sz w:val="24"/>
            <w:sz w:val="24"/>
            <w:szCs w:val="24"/>
            <w:u w:val="single"/>
            <w:rtl w:val="true"/>
          </w:rPr>
          <w:t>ז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</w:rPr>
          <w:t>1977</w:t>
        </w:r>
      </w:hyperlink>
      <w:r>
        <w:rPr>
          <w:rFonts w:cs="FrankRuehl" w:ascii="FrankRuehl" w:hAnsi="FrankRuehl"/>
          <w:spacing w:val="0"/>
          <w:sz w:val="24"/>
          <w:szCs w:val="24"/>
          <w:rtl w:val="true"/>
        </w:rPr>
        <w:t xml:space="preserve">: </w:t>
      </w:r>
      <w:r>
        <w:rPr>
          <w:rFonts w:ascii="FrankRuehl" w:hAnsi="FrankRuehl"/>
          <w:spacing w:val="0"/>
          <w:sz w:val="24"/>
          <w:sz w:val="24"/>
          <w:szCs w:val="24"/>
          <w:rtl w:val="true"/>
        </w:rPr>
        <w:t>סע</w:t>
      </w:r>
      <w:r>
        <w:rPr>
          <w:rFonts w:cs="FrankRuehl" w:ascii="FrankRuehl" w:hAnsi="FrankRuehl"/>
          <w:spacing w:val="0"/>
          <w:sz w:val="24"/>
          <w:szCs w:val="24"/>
          <w:rtl w:val="true"/>
        </w:rPr>
        <w:t xml:space="preserve">'  </w:t>
      </w:r>
      <w:hyperlink r:id="rId4"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</w:rPr>
          <w:t>144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  <w:rtl w:val="true"/>
          </w:rPr>
          <w:t>(</w:t>
        </w:r>
        <w:r>
          <w:rPr>
            <w:rStyle w:val="Hyperlink"/>
            <w:rFonts w:ascii="FrankRuehl" w:hAnsi="FrankRuehl"/>
            <w:color w:val="0000FF"/>
            <w:spacing w:val="0"/>
            <w:sz w:val="24"/>
            <w:sz w:val="24"/>
            <w:szCs w:val="24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  <w:rtl w:val="true"/>
          </w:rPr>
          <w:t>)</w:t>
        </w:r>
      </w:hyperlink>
      <w:r>
        <w:rPr>
          <w:rFonts w:cs="FrankRuehl" w:ascii="FrankRuehl" w:hAnsi="FrankRuehl"/>
          <w:spacing w:val="0"/>
          <w:sz w:val="24"/>
          <w:szCs w:val="24"/>
          <w:rtl w:val="true"/>
        </w:rPr>
        <w:t xml:space="preserve">, </w:t>
      </w:r>
      <w:hyperlink r:id="rId5"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</w:rPr>
          <w:t>144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  <w:rtl w:val="true"/>
          </w:rPr>
          <w:t>(</w:t>
        </w:r>
        <w:r>
          <w:rPr>
            <w:rStyle w:val="Hyperlink"/>
            <w:rFonts w:ascii="FrankRuehl" w:hAnsi="FrankRuehl"/>
            <w:color w:val="0000FF"/>
            <w:spacing w:val="0"/>
            <w:sz w:val="24"/>
            <w:sz w:val="24"/>
            <w:szCs w:val="24"/>
            <w:u w:val="single"/>
            <w:rtl w:val="true"/>
          </w:rPr>
          <w:t>ב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  <w:rtl w:val="true"/>
          </w:rPr>
          <w:t>)</w:t>
        </w:r>
      </w:hyperlink>
      <w:r>
        <w:rPr>
          <w:rFonts w:cs="FrankRuehl" w:ascii="FrankRuehl" w:hAnsi="FrankRuehl"/>
          <w:spacing w:val="0"/>
          <w:sz w:val="24"/>
          <w:szCs w:val="24"/>
          <w:rtl w:val="true"/>
        </w:rPr>
        <w:t xml:space="preserve">, </w:t>
      </w:r>
      <w:hyperlink r:id="rId6"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</w:rPr>
          <w:t>152</w:t>
        </w:r>
      </w:hyperlink>
      <w:r>
        <w:rPr>
          <w:rFonts w:cs="FrankRuehl" w:ascii="FrankRuehl" w:hAnsi="FrankRuehl"/>
          <w:spacing w:val="0"/>
          <w:sz w:val="24"/>
          <w:szCs w:val="24"/>
          <w:rtl w:val="true"/>
        </w:rPr>
        <w:t xml:space="preserve">, </w:t>
      </w:r>
      <w:hyperlink r:id="rId7"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</w:rPr>
          <w:t>216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  <w:rtl w:val="true"/>
          </w:rPr>
          <w:t>(</w:t>
        </w:r>
        <w:r>
          <w:rPr>
            <w:rStyle w:val="Hyperlink"/>
            <w:rFonts w:ascii="FrankRuehl" w:hAnsi="FrankRuehl"/>
            <w:color w:val="0000FF"/>
            <w:spacing w:val="0"/>
            <w:sz w:val="24"/>
            <w:sz w:val="24"/>
            <w:szCs w:val="24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  <w:rtl w:val="true"/>
          </w:rPr>
          <w:t>)(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</w:rPr>
          <w:t>1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  <w:rtl w:val="true"/>
          </w:rPr>
          <w:t>)</w:t>
        </w:r>
      </w:hyperlink>
      <w:r>
        <w:rPr>
          <w:rFonts w:cs="FrankRuehl" w:ascii="FrankRuehl" w:hAnsi="FrankRuehl"/>
          <w:spacing w:val="0"/>
          <w:sz w:val="24"/>
          <w:szCs w:val="24"/>
          <w:rtl w:val="true"/>
        </w:rPr>
        <w:t xml:space="preserve">, </w:t>
      </w:r>
      <w:hyperlink r:id="rId8"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</w:rPr>
          <w:t>329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  <w:rtl w:val="true"/>
          </w:rPr>
          <w:t>(</w:t>
        </w:r>
        <w:r>
          <w:rPr>
            <w:rStyle w:val="Hyperlink"/>
            <w:rFonts w:ascii="FrankRuehl" w:hAnsi="FrankRuehl"/>
            <w:color w:val="0000FF"/>
            <w:spacing w:val="0"/>
            <w:sz w:val="24"/>
            <w:sz w:val="24"/>
            <w:szCs w:val="24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  <w:rtl w:val="true"/>
          </w:rPr>
          <w:t>)(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</w:rPr>
          <w:t>2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  <w:rtl w:val="true"/>
          </w:rPr>
          <w:t>)</w:t>
        </w:r>
      </w:hyperlink>
      <w:r>
        <w:rPr>
          <w:rFonts w:cs="FrankRuehl" w:ascii="FrankRuehl" w:hAnsi="FrankRuehl"/>
          <w:spacing w:val="0"/>
          <w:sz w:val="24"/>
          <w:szCs w:val="24"/>
          <w:rtl w:val="true"/>
        </w:rPr>
        <w:t xml:space="preserve">, </w:t>
      </w:r>
      <w:hyperlink r:id="rId9"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</w:rPr>
          <w:t>332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  <w:rtl w:val="true"/>
          </w:rPr>
          <w:t>(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</w:rPr>
          <w:t>3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  <w:rtl w:val="true"/>
          </w:rPr>
          <w:t>)</w:t>
        </w:r>
      </w:hyperlink>
      <w:r>
        <w:rPr>
          <w:rFonts w:cs="FrankRuehl" w:ascii="FrankRuehl" w:hAnsi="FrankRuehl"/>
          <w:spacing w:val="0"/>
          <w:sz w:val="24"/>
          <w:szCs w:val="24"/>
          <w:rtl w:val="true"/>
        </w:rPr>
        <w:t xml:space="preserve">, </w:t>
      </w:r>
      <w:hyperlink r:id="rId10"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</w:rPr>
          <w:t>340</w:t>
        </w:r>
        <w:r>
          <w:rPr>
            <w:rStyle w:val="Hyperlink"/>
            <w:rFonts w:ascii="FrankRuehl" w:hAnsi="FrankRuehl"/>
            <w:color w:val="0000FF"/>
            <w:spacing w:val="0"/>
            <w:sz w:val="24"/>
            <w:sz w:val="24"/>
            <w:szCs w:val="24"/>
            <w:u w:val="single"/>
            <w:rtl w:val="true"/>
          </w:rPr>
          <w:t>א</w:t>
        </w:r>
      </w:hyperlink>
      <w:r>
        <w:rPr>
          <w:rFonts w:cs="FrankRuehl" w:ascii="FrankRuehl" w:hAnsi="FrankRuehl"/>
          <w:spacing w:val="0"/>
          <w:sz w:val="24"/>
          <w:szCs w:val="24"/>
          <w:rtl w:val="true"/>
        </w:rPr>
        <w:t xml:space="preserve">, </w:t>
      </w:r>
      <w:hyperlink r:id="rId11"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</w:rPr>
          <w:t>413</w:t>
        </w:r>
        <w:r>
          <w:rPr>
            <w:rStyle w:val="Hyperlink"/>
            <w:rFonts w:ascii="FrankRuehl" w:hAnsi="FrankRuehl"/>
            <w:color w:val="0000FF"/>
            <w:spacing w:val="0"/>
            <w:sz w:val="24"/>
            <w:sz w:val="24"/>
            <w:szCs w:val="24"/>
            <w:u w:val="single"/>
            <w:rtl w:val="true"/>
          </w:rPr>
          <w:t>ה</w:t>
        </w:r>
      </w:hyperlink>
    </w:p>
    <w:p>
      <w:pPr>
        <w:pStyle w:val="Ruller31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pacing w:val="0"/>
          <w:sz w:val="24"/>
          <w:szCs w:val="24"/>
        </w:rPr>
      </w:pPr>
      <w:hyperlink r:id="rId12">
        <w:r>
          <w:rPr>
            <w:rStyle w:val="Hyperlink"/>
            <w:rFonts w:ascii="FrankRuehl" w:hAnsi="FrankRuehl"/>
            <w:color w:val="0000FF"/>
            <w:spacing w:val="0"/>
            <w:sz w:val="24"/>
            <w:sz w:val="24"/>
            <w:szCs w:val="24"/>
            <w:u w:val="single"/>
            <w:rtl w:val="true"/>
          </w:rPr>
          <w:t xml:space="preserve">חוק סדר הדין הפלילי 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  <w:rtl w:val="true"/>
          </w:rPr>
          <w:t>[</w:t>
        </w:r>
        <w:r>
          <w:rPr>
            <w:rStyle w:val="Hyperlink"/>
            <w:rFonts w:ascii="FrankRuehl" w:hAnsi="FrankRuehl"/>
            <w:color w:val="0000FF"/>
            <w:spacing w:val="0"/>
            <w:sz w:val="24"/>
            <w:sz w:val="24"/>
            <w:szCs w:val="24"/>
            <w:u w:val="single"/>
            <w:rtl w:val="true"/>
          </w:rPr>
          <w:t>נוסח משולב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  <w:rtl w:val="true"/>
          </w:rPr>
          <w:t xml:space="preserve">], </w:t>
        </w:r>
        <w:r>
          <w:rPr>
            <w:rStyle w:val="Hyperlink"/>
            <w:rFonts w:ascii="FrankRuehl" w:hAnsi="FrankRuehl"/>
            <w:color w:val="0000FF"/>
            <w:spacing w:val="0"/>
            <w:sz w:val="24"/>
            <w:sz w:val="24"/>
            <w:szCs w:val="24"/>
            <w:u w:val="single"/>
            <w:rtl w:val="true"/>
          </w:rPr>
          <w:t>תשמ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  <w:rtl w:val="true"/>
          </w:rPr>
          <w:t>"</w:t>
        </w:r>
        <w:r>
          <w:rPr>
            <w:rStyle w:val="Hyperlink"/>
            <w:rFonts w:ascii="FrankRuehl" w:hAnsi="FrankRuehl"/>
            <w:color w:val="0000FF"/>
            <w:spacing w:val="0"/>
            <w:sz w:val="24"/>
            <w:sz w:val="24"/>
            <w:szCs w:val="24"/>
            <w:u w:val="single"/>
            <w:rtl w:val="true"/>
          </w:rPr>
          <w:t>ב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</w:rPr>
          <w:t>1982</w:t>
        </w:r>
      </w:hyperlink>
    </w:p>
    <w:p>
      <w:pPr>
        <w:pStyle w:val="Ruller31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pacing w:val="0"/>
          <w:sz w:val="24"/>
          <w:szCs w:val="24"/>
        </w:rPr>
      </w:pPr>
      <w:r>
        <w:rPr>
          <w:rFonts w:cs="FrankRuehl" w:ascii="FrankRuehl" w:hAnsi="FrankRuehl"/>
          <w:spacing w:val="0"/>
          <w:sz w:val="24"/>
          <w:szCs w:val="24"/>
          <w:rtl w:val="true"/>
        </w:rPr>
      </w:r>
    </w:p>
    <w:p>
      <w:pPr>
        <w:pStyle w:val="Ruller31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pacing w:val="0"/>
          <w:sz w:val="24"/>
          <w:szCs w:val="24"/>
        </w:rPr>
      </w:pPr>
      <w:r>
        <w:rPr>
          <w:rFonts w:cs="FrankRuehl" w:ascii="FrankRuehl" w:hAnsi="FrankRuehl"/>
          <w:spacing w:val="0"/>
          <w:sz w:val="24"/>
          <w:szCs w:val="24"/>
          <w:rtl w:val="true"/>
        </w:rPr>
      </w:r>
      <w:bookmarkStart w:id="8" w:name="LawTable_End"/>
      <w:bookmarkStart w:id="9" w:name="LawTable_End"/>
      <w:bookmarkEnd w:id="9"/>
    </w:p>
    <w:p>
      <w:pPr>
        <w:pStyle w:val="Ruller31"/>
        <w:spacing w:lineRule="auto" w:line="240"/>
        <w:ind w:end="0"/>
        <w:jc w:val="start"/>
        <w:rPr>
          <w:rFonts w:ascii="FrankRuehl" w:hAnsi="FrankRuehl" w:cs="FrankRuehl"/>
          <w:spacing w:val="0"/>
          <w:sz w:val="24"/>
          <w:szCs w:val="24"/>
        </w:rPr>
      </w:pPr>
      <w:r>
        <w:rPr>
          <w:rFonts w:cs="FrankRuehl" w:ascii="FrankRuehl" w:hAnsi="FrankRuehl"/>
          <w:spacing w:val="0"/>
          <w:sz w:val="24"/>
          <w:szCs w:val="24"/>
          <w:rtl w:val="true"/>
        </w:rPr>
      </w:r>
    </w:p>
    <w:p>
      <w:pPr>
        <w:pStyle w:val="Ruller31"/>
        <w:spacing w:lineRule="auto" w:line="240"/>
        <w:ind w:end="0"/>
        <w:jc w:val="start"/>
        <w:rPr/>
      </w:pPr>
      <w:r>
        <w:rPr>
          <w:rtl w:val="true"/>
        </w:rPr>
      </w:r>
    </w:p>
    <w:p>
      <w:pPr>
        <w:pStyle w:val="Ruller31"/>
        <w:spacing w:lineRule="auto" w:line="240"/>
        <w:ind w:end="0"/>
        <w:jc w:val="start"/>
        <w:rPr/>
      </w:pPr>
      <w:r>
        <w:rPr>
          <w:rtl w:val="true"/>
        </w:rPr>
      </w:r>
    </w:p>
    <w:p>
      <w:pPr>
        <w:pStyle w:val="Ruller31"/>
        <w:spacing w:lineRule="auto" w:line="240"/>
        <w:ind w:end="0"/>
        <w:jc w:val="start"/>
        <w:rPr/>
      </w:pPr>
      <w:r>
        <w:rPr>
          <w:rtl w:val="true"/>
        </w:rPr>
      </w:r>
    </w:p>
    <w:p>
      <w:pPr>
        <w:pStyle w:val="Ruller31"/>
        <w:spacing w:lineRule="auto" w:line="240"/>
        <w:ind w:end="0"/>
        <w:jc w:val="start"/>
        <w:rPr>
          <w:rFonts w:cs="Times New Roman"/>
        </w:rPr>
      </w:pPr>
      <w:r>
        <w:rPr>
          <w:rFonts w:cs="Times New Roman"/>
          <w:rtl w:val="true"/>
        </w:rPr>
        <w:t xml:space="preserve">   </w:t>
      </w:r>
    </w:p>
    <w:p>
      <w:pPr>
        <w:pStyle w:val="Ruller3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spacing w:val="0"/>
          <w:sz w:val="24"/>
          <w:szCs w:val="26"/>
        </w:rPr>
      </w:pPr>
      <w:bookmarkStart w:id="10" w:name="ABSTRACT_START"/>
      <w:bookmarkEnd w:id="10"/>
      <w:r>
        <w:rPr>
          <w:spacing w:val="0"/>
          <w:sz w:val="24"/>
          <w:sz w:val="24"/>
          <w:szCs w:val="26"/>
          <w:rtl w:val="true"/>
        </w:rPr>
        <w:t>מיני</w:t>
      </w:r>
      <w:r>
        <w:rPr>
          <w:spacing w:val="0"/>
          <w:sz w:val="24"/>
          <w:szCs w:val="26"/>
          <w:rtl w:val="true"/>
        </w:rPr>
        <w:t>-</w:t>
      </w:r>
      <w:r>
        <w:rPr>
          <w:spacing w:val="0"/>
          <w:sz w:val="24"/>
          <w:sz w:val="24"/>
          <w:szCs w:val="26"/>
          <w:rtl w:val="true"/>
        </w:rPr>
        <w:t>רציו</w:t>
      </w:r>
      <w:r>
        <w:rPr>
          <w:spacing w:val="0"/>
          <w:sz w:val="24"/>
          <w:szCs w:val="26"/>
          <w:rtl w:val="true"/>
        </w:rPr>
        <w:t>:</w:t>
      </w:r>
    </w:p>
    <w:p>
      <w:pPr>
        <w:pStyle w:val="Ruller42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נדחה ערעור על פסק דין בו הורשע המערער בעבירות של חבלה בכוונה מחמירה וחבלה במזיד ברכב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והושתו עליו </w:t>
      </w:r>
      <w:r>
        <w:rPr>
          <w:rFonts w:cs="Times New Roman" w:ascii="Times New Roman" w:hAnsi="Times New Roman"/>
          <w:spacing w:val="0"/>
          <w:sz w:val="24"/>
          <w:szCs w:val="26"/>
        </w:rPr>
        <w:t>53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חודשי מאסר בפועל 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-</w:t>
      </w:r>
      <w:r>
        <w:rPr>
          <w:rFonts w:cs="Times New Roman" w:ascii="Times New Roman" w:hAnsi="Times New Roman"/>
          <w:spacing w:val="0"/>
          <w:sz w:val="24"/>
          <w:szCs w:val="26"/>
        </w:rPr>
        <w:t>10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חודשי מאסר על תנאי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לא נמצא מקום להתערב בממצאי עובדה ומהימנות שקבעה הערכאה הדיונית והעונש אינו חורג במידה רבה מרף הענישה הנוהג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 </w:t>
      </w:r>
    </w:p>
    <w:p>
      <w:pPr>
        <w:pStyle w:val="Ruller3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spacing w:val="0"/>
          <w:sz w:val="24"/>
          <w:szCs w:val="26"/>
        </w:rPr>
      </w:pPr>
      <w:r>
        <w:rPr>
          <w:spacing w:val="0"/>
          <w:sz w:val="24"/>
          <w:szCs w:val="26"/>
          <w:rtl w:val="true"/>
        </w:rPr>
        <w:t xml:space="preserve">* </w:t>
      </w:r>
      <w:r>
        <w:rPr>
          <w:spacing w:val="0"/>
          <w:sz w:val="24"/>
          <w:sz w:val="24"/>
          <w:szCs w:val="26"/>
          <w:rtl w:val="true"/>
        </w:rPr>
        <w:t>ראיות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–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מהימנות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–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התערבות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ערכאת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ערעור</w:t>
      </w:r>
    </w:p>
    <w:p>
      <w:pPr>
        <w:pStyle w:val="Ruller3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spacing w:val="0"/>
          <w:sz w:val="24"/>
          <w:szCs w:val="26"/>
        </w:rPr>
      </w:pPr>
      <w:r>
        <w:rPr>
          <w:spacing w:val="0"/>
          <w:sz w:val="24"/>
          <w:szCs w:val="26"/>
          <w:rtl w:val="true"/>
        </w:rPr>
        <w:t xml:space="preserve">* </w:t>
      </w:r>
      <w:r>
        <w:rPr>
          <w:spacing w:val="0"/>
          <w:sz w:val="24"/>
          <w:sz w:val="24"/>
          <w:szCs w:val="26"/>
          <w:rtl w:val="true"/>
        </w:rPr>
        <w:t>דיון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פלילי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–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ערעור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–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אי</w:t>
      </w:r>
      <w:r>
        <w:rPr>
          <w:spacing w:val="0"/>
          <w:sz w:val="24"/>
          <w:szCs w:val="26"/>
          <w:rtl w:val="true"/>
        </w:rPr>
        <w:t>-</w:t>
      </w:r>
      <w:r>
        <w:rPr>
          <w:spacing w:val="0"/>
          <w:sz w:val="24"/>
          <w:sz w:val="24"/>
          <w:szCs w:val="26"/>
          <w:rtl w:val="true"/>
        </w:rPr>
        <w:t>התערבות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בממצאים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עובדתיים</w:t>
      </w:r>
    </w:p>
    <w:p>
      <w:pPr>
        <w:pStyle w:val="Ruller3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spacing w:val="0"/>
          <w:sz w:val="24"/>
          <w:szCs w:val="26"/>
        </w:rPr>
      </w:pPr>
      <w:r>
        <w:rPr>
          <w:spacing w:val="0"/>
          <w:sz w:val="24"/>
          <w:szCs w:val="26"/>
          <w:rtl w:val="true"/>
        </w:rPr>
        <w:t xml:space="preserve">* </w:t>
      </w:r>
      <w:r>
        <w:rPr>
          <w:spacing w:val="0"/>
          <w:sz w:val="24"/>
          <w:sz w:val="24"/>
          <w:szCs w:val="26"/>
          <w:rtl w:val="true"/>
        </w:rPr>
        <w:t>עונשין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–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עבירות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–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חבלה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בכוונה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מחמירה</w:t>
      </w:r>
    </w:p>
    <w:p>
      <w:pPr>
        <w:pStyle w:val="Ruller3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spacing w:val="0"/>
          <w:sz w:val="24"/>
          <w:szCs w:val="26"/>
        </w:rPr>
      </w:pPr>
      <w:r>
        <w:rPr>
          <w:spacing w:val="0"/>
          <w:sz w:val="24"/>
          <w:szCs w:val="26"/>
          <w:rtl w:val="true"/>
        </w:rPr>
        <w:t xml:space="preserve">* </w:t>
      </w:r>
      <w:r>
        <w:rPr>
          <w:spacing w:val="0"/>
          <w:sz w:val="24"/>
          <w:sz w:val="24"/>
          <w:szCs w:val="26"/>
          <w:rtl w:val="true"/>
        </w:rPr>
        <w:t>עונשין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–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ענישה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–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התערבות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ערכאת</w:t>
      </w:r>
      <w:r>
        <w:rPr>
          <w:rFonts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spacing w:val="0"/>
          <w:sz w:val="24"/>
          <w:sz w:val="24"/>
          <w:szCs w:val="26"/>
          <w:rtl w:val="true"/>
        </w:rPr>
        <w:t>הערעור</w:t>
      </w:r>
    </w:p>
    <w:p>
      <w:pPr>
        <w:pStyle w:val="Ruller3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spacing w:val="0"/>
          <w:sz w:val="24"/>
          <w:szCs w:val="26"/>
        </w:rPr>
      </w:pPr>
      <w:r>
        <w:rPr>
          <w:spacing w:val="0"/>
          <w:sz w:val="24"/>
          <w:szCs w:val="26"/>
          <w:rtl w:val="true"/>
        </w:rPr>
        <w:t>.</w:t>
      </w:r>
    </w:p>
    <w:p>
      <w:pPr>
        <w:pStyle w:val="Ruller42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נגד המערער הוגש כתב אישום הכולל שני אישומים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: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האישום הראשון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: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ירי לעבר כלי רכב מספר רב של פעמים הן לאוויר והן לעבר הרכב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וגרימת נזק לרכב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בגין מעשים אלו יוחסו למערער עבירות של החזקה ונשיאת נשק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;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ירי באזור מגורים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;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חבלה בכוונה מחמירה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;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חבלה במזיד ברכב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;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התנהגות פסולה במקום ציבורי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;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סיכון חיי אנשים בנתיב תחבורה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האישום השני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ירי באוויר ולעבר רכב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כתוצאה מכך נפגע הרכב ונגרם לו נזק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בגין מעשים אלו הואשם המערער בעבירות של החזקה ונשיאת נשק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;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ירי באזור מגורים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;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חבלה בכוונה מחמירה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;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חבלה במזיד ברכב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בימ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 קמא זיכה את המערער מהעבירות נשוא האישום הראשון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אשר לאישום השני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הרשיע את המערער בעבירות של חבלה בכוונה מחמירה וחבלה במזיד ברכב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לאחר שהשתכנע כי היריות נורו לעבר הרכב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על המערער הושתו </w:t>
      </w:r>
      <w:r>
        <w:rPr>
          <w:rFonts w:cs="Times New Roman" w:ascii="Times New Roman" w:hAnsi="Times New Roman"/>
          <w:spacing w:val="0"/>
          <w:sz w:val="24"/>
          <w:szCs w:val="26"/>
        </w:rPr>
        <w:t>53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חודשי מאסר בפועל 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-</w:t>
      </w:r>
      <w:r>
        <w:rPr>
          <w:rFonts w:cs="Times New Roman" w:ascii="Times New Roman" w:hAnsi="Times New Roman"/>
          <w:spacing w:val="0"/>
          <w:sz w:val="24"/>
          <w:szCs w:val="26"/>
        </w:rPr>
        <w:t>10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חודשי מאסר על תנאי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הערעור מופנה נגד הכרעת הדין באישום השני ונגד גזר הדין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42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42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בית המשפט העליון 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(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מפי השופט עמית ובהסכמת השופטים רובינשטיין וג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'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ובראן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)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דחה את הערעור ופסק כי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:</w:t>
      </w:r>
    </w:p>
    <w:p>
      <w:pPr>
        <w:pStyle w:val="Ruller42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המחלוקת נוגעת לאישום השני ולשאלה האם המערער ירה לכיוון הרכב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בהקשר זה טענת המערער כי בהעדר עדות ראייה כי ירה לכיוון הרכב לא הוכח כנדרש היסוד העובדתי של העבירות נשוא הערעור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נדחתה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הרשעת המערער בירי לעבר הרכב התבססה על עדות אמינה ועל סימני הפגיעה ברכב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הכרעת בימ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 קמא מבוססת על ממצאי עובדה ומהימנות ועל הגיונם של דברים נוכח הראיות הנסיבתיות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כלל הוא כי אין דרכה של ערכאת ערעור להתערב בממצאי עובדה ומהימנות שקבעה הערכאה הדיונית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המתרשמת מהעדים באופן בלתי אמצעי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אלא במקרים חריגים שאינם מתקיימים בענייננו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</w:p>
    <w:p>
      <w:pPr>
        <w:pStyle w:val="Ruller42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אשר לגרסה הכבושה והחלופית של המערער אשר שונתה בשלב הסיכומים מכפירה גורפת בנוכחותו בזירת האירוע לגרסה לפיה ירה רק באוויר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מדובר בגרסה כבושה על משקלה המועט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ובקו הגנה חלופי שהועלה רק בשלב הסיכומים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נאשם שטען לאורך כל ההליך המשפטי כי לא נכח כלל במקום האירוע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ורק בשלב הסיכומים הודה כי ירה באוויר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אינו מצטייר כנאשם ש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הרכיבו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"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לו תיק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הסוגיה של העלאת טענות חלופיות בשלבים מתקדמים של המשפט מורכבת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והגישות השונות בה נותחו בפרשת קצב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בענייננו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המערער לא הציג הסבר מניח את הדעת לתפנית שחלה בגרסתו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ולמעט עדותו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שנמצאה לא מהימנה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לא הביא ראיות סבירות המגבות אותה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</w:p>
    <w:p>
      <w:pPr>
        <w:pStyle w:val="Ruller42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אין עדות ראיה ישירה לפיה נראה המערער מכוון את הירי לעבר הרכב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אלא שבארגז האחורי של הרכב נמצאו </w:t>
      </w:r>
      <w:r>
        <w:rPr>
          <w:rFonts w:cs="Times New Roman" w:ascii="Times New Roman" w:hAnsi="Times New Roman"/>
          <w:spacing w:val="0"/>
          <w:sz w:val="24"/>
          <w:szCs w:val="26"/>
        </w:rPr>
        <w:t>4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סימני קליעים ובדיקת הרכב על ידי שוטר נעשתה זמן קצר לאחר מכן וקשה להלום כי בפרק זמן זה מאן דהוא אחר ירה ברכב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מסקנה זו מתיישבת עם הגיונם של דברים ואין מקום להתערב בה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גם הטענה שהרכב נפגע מקליעי ירי עוד בטרם התאונה בלא ידיעת בעליו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אינה מתיישבת עם הגיונם של דברים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ובשל השלב המאוחר בו הועלתה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לא הוכחה ואף לא ניתנה למשיבה הזדמנות להפריכה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;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אף אין ממש בטענת המערער כי לא הוכח היסוד הנפשי והעובדתי של העבירות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גם אם המערער לא חפץ בתוצאה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הרי מי שירה יריות מאקדח לעבר נוסע ברכב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רואים אותו כמי שהתכוון לתוצאה הטבעיות של מעשיו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מכאן כי בדין הורשע המערער בעבירה של חבלה בכוונה מחמירה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עבירה שאיננה תוצאתית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42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אשר לגזר הדין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ערכאת הערעור לא תתערב בעונש שגזרה הערכאה הדיונית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אלא אם העונש חורג במידה רבה מרף הענישה הנוהג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ולא זה המקרה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המערער הורשע בעבירות שכרוך בהן סיכון לחיי אדם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ככלל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יש להחמיר עם מי שעושה שימוש בנשק חם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ובמיוחד כאשר השימוש בו נעשה באזור מגורים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לכך יש להוסיף לחובת המערער את עברו הפלילי ואת העובדה שלא מסר למשטרה עד היום את האקדח בו ירה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</w:p>
    <w:p>
      <w:pPr>
        <w:pStyle w:val="Ruller31"/>
        <w:spacing w:lineRule="auto" w:line="240"/>
        <w:ind w:end="0"/>
        <w:jc w:val="start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cs="Times New Roman"/>
          <w:spacing w:val="0"/>
          <w:sz w:val="24"/>
          <w:szCs w:val="26"/>
          <w:rtl w:val="true"/>
        </w:rPr>
      </w:r>
      <w:bookmarkStart w:id="11" w:name="ABSTRACT_END"/>
      <w:bookmarkStart w:id="12" w:name="ABSTRACT_END"/>
      <w:bookmarkEnd w:id="12"/>
    </w:p>
    <w:p>
      <w:pPr>
        <w:pStyle w:val="Ruller31"/>
        <w:spacing w:lineRule="auto" w:line="240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2"/>
      </w:tblGrid>
      <w:tr>
        <w:trPr/>
        <w:tc>
          <w:tcPr>
            <w:tcW w:w="8522" w:type="dxa"/>
            <w:tcBorders/>
          </w:tcPr>
          <w:p>
            <w:pPr>
              <w:pStyle w:val="DocumentHead"/>
              <w:spacing w:lineRule="auto" w:line="240"/>
              <w:ind w:end="0"/>
              <w:jc w:val="center"/>
              <w:rPr/>
            </w:pPr>
            <w:bookmarkStart w:id="13" w:name="PsakDin"/>
            <w:bookmarkStart w:id="14" w:name="secretary"/>
            <w:bookmarkStart w:id="15" w:name="BeginProtocol"/>
            <w:bookmarkEnd w:id="13"/>
            <w:bookmarkEnd w:id="14"/>
            <w:bookmarkEnd w:id="15"/>
            <w:r>
              <w:rPr>
                <w:rtl w:val="true"/>
              </w:rPr>
              <w:t>פסק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דין</w:t>
            </w:r>
          </w:p>
          <w:p>
            <w:pPr>
              <w:pStyle w:val="DocumentHead"/>
              <w:spacing w:lineRule="auto" w:line="240"/>
              <w:ind w:end="0"/>
              <w:jc w:val="center"/>
              <w:rPr/>
            </w:pPr>
            <w:r>
              <w:rPr>
                <w:rtl w:val="true"/>
              </w:rPr>
            </w:r>
          </w:p>
        </w:tc>
      </w:tr>
    </w:tbl>
    <w:p>
      <w:pPr>
        <w:pStyle w:val="BODYVERDICT"/>
        <w:ind w:end="0"/>
        <w:jc w:val="start"/>
        <w:rPr>
          <w:rFonts w:cs="Miriam"/>
          <w:sz w:val="24"/>
          <w:szCs w:val="24"/>
          <w:u w:val="single"/>
        </w:rPr>
      </w:pPr>
      <w:bookmarkStart w:id="16" w:name="Writer_Name"/>
      <w:bookmarkEnd w:id="16"/>
      <w:r>
        <w:rPr>
          <w:rFonts w:cs="Miriam"/>
          <w:sz w:val="24"/>
          <w:sz w:val="24"/>
          <w:szCs w:val="24"/>
          <w:u w:val="single"/>
          <w:rtl w:val="true"/>
        </w:rPr>
        <w:t>השופט</w:t>
      </w:r>
      <w:r>
        <w:rPr>
          <w:rFonts w:cs="Times New Roman"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szCs w:val="24"/>
          <w:u w:val="single"/>
          <w:rtl w:val="true"/>
        </w:rPr>
        <w:t>י</w:t>
      </w:r>
      <w:r>
        <w:rPr>
          <w:rFonts w:cs="Miriam"/>
          <w:sz w:val="24"/>
          <w:szCs w:val="24"/>
          <w:u w:val="single"/>
          <w:rtl w:val="true"/>
        </w:rPr>
        <w:t xml:space="preserve">' </w:t>
      </w:r>
      <w:r>
        <w:rPr>
          <w:rFonts w:cs="Miriam"/>
          <w:sz w:val="24"/>
          <w:sz w:val="24"/>
          <w:szCs w:val="24"/>
          <w:u w:val="single"/>
          <w:rtl w:val="true"/>
        </w:rPr>
        <w:t>עמית</w:t>
      </w:r>
      <w:r>
        <w:rPr>
          <w:rFonts w:cs="Miriam"/>
          <w:sz w:val="24"/>
          <w:szCs w:val="24"/>
          <w:rtl w:val="true"/>
        </w:rPr>
        <w:t>:</w:t>
      </w:r>
    </w:p>
    <w:p>
      <w:pPr>
        <w:pStyle w:val="Ruller42"/>
        <w:ind w:end="0"/>
        <w:jc w:val="both"/>
        <w:rPr>
          <w:rFonts w:cs="Miriam"/>
          <w:sz w:val="24"/>
          <w:szCs w:val="24"/>
          <w:u w:val="single"/>
        </w:rPr>
      </w:pPr>
      <w:r>
        <w:rPr>
          <w:rFonts w:cs="Miriam"/>
          <w:sz w:val="24"/>
          <w:szCs w:val="24"/>
          <w:u w:val="single"/>
          <w:rtl w:val="true"/>
        </w:rPr>
      </w:r>
      <w:bookmarkStart w:id="17" w:name="Start_Write"/>
      <w:bookmarkStart w:id="18" w:name="Start_Write"/>
      <w:bookmarkEnd w:id="18"/>
    </w:p>
    <w:p>
      <w:pPr>
        <w:pStyle w:val="Ruller42"/>
        <w:ind w:end="0"/>
        <w:jc w:val="both"/>
        <w:rPr/>
      </w:pPr>
      <w:r>
        <w:rPr>
          <w:rFonts w:cs="Times New Roman" w:ascii="Times New Roman" w:hAnsi="Times New Roman"/>
          <w:rtl w:val="true"/>
        </w:rPr>
        <w:tab/>
      </w:r>
      <w:r>
        <w:rPr>
          <w:rFonts w:ascii="Times New Roman" w:hAnsi="Times New Roman" w:cs="Times New Roman"/>
          <w:rtl w:val="true"/>
        </w:rPr>
        <w:t>ערעור על פסק דינו של בית המשפט המחוזי בחיפה</w:t>
      </w:r>
      <w:r>
        <w:rPr>
          <w:rFonts w:cs="Times New Roman" w:ascii="Times New Roman" w:hAnsi="Times New Roman"/>
          <w:rtl w:val="true"/>
        </w:rPr>
        <w:t xml:space="preserve">, </w:t>
      </w:r>
      <w:hyperlink r:id="rId13"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ת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"</w:t>
        </w:r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 xml:space="preserve">פ </w:t>
        </w:r>
        <w:r>
          <w:rPr>
            <w:rStyle w:val="Hyperlink"/>
            <w:rFonts w:cs="Times New Roman" w:ascii="Times New Roman" w:hAnsi="Times New Roman"/>
            <w:color w:val="0000FF"/>
            <w:u w:val="single"/>
          </w:rPr>
          <w:t>24376-12-09</w:t>
        </w:r>
      </w:hyperlink>
      <w:r>
        <w:rPr>
          <w:rFonts w:cs="Times New Roman" w:ascii="Times New Roman" w:hAnsi="Times New Roman"/>
          <w:rtl w:val="true"/>
        </w:rPr>
        <w:t xml:space="preserve"> (</w:t>
      </w:r>
      <w:r>
        <w:rPr>
          <w:rFonts w:ascii="Times New Roman" w:hAnsi="Times New Roman" w:cs="Times New Roman"/>
          <w:rtl w:val="true"/>
        </w:rPr>
        <w:t xml:space="preserve">כבוד השופט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א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אליקים</w:t>
      </w:r>
      <w:r>
        <w:rPr>
          <w:rFonts w:cs="Times New Roman" w:ascii="Times New Roman" w:hAnsi="Times New Roman"/>
          <w:rtl w:val="true"/>
        </w:rPr>
        <w:t xml:space="preserve">) </w:t>
      </w:r>
      <w:r>
        <w:rPr>
          <w:rFonts w:ascii="Times New Roman" w:hAnsi="Times New Roman" w:cs="Times New Roman"/>
          <w:rtl w:val="true"/>
        </w:rPr>
        <w:t xml:space="preserve">מיום </w:t>
      </w:r>
      <w:r>
        <w:rPr>
          <w:rFonts w:cs="Times New Roman" w:ascii="Times New Roman" w:hAnsi="Times New Roman"/>
        </w:rPr>
        <w:t>3.6.2010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בגדרו הורשע המערער בחלק מהעבירות שיוחסו לו בכתב האישום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והושתו עליו </w:t>
      </w:r>
      <w:r>
        <w:rPr>
          <w:rFonts w:cs="Times New Roman" w:ascii="Times New Roman" w:hAnsi="Times New Roman"/>
        </w:rPr>
        <w:t>53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חודשי מאסר בפועל ו</w:t>
      </w:r>
      <w:r>
        <w:rPr>
          <w:rFonts w:cs="Times New Roman" w:ascii="Times New Roman" w:hAnsi="Times New Roman"/>
          <w:rtl w:val="true"/>
        </w:rPr>
        <w:t>-</w:t>
      </w:r>
      <w:r>
        <w:rPr>
          <w:rFonts w:cs="Times New Roman" w:ascii="Times New Roman" w:hAnsi="Times New Roman"/>
        </w:rPr>
        <w:t>10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חודשי מאסר על תנאי</w:t>
      </w:r>
      <w:r>
        <w:rPr>
          <w:rFonts w:cs="Times New Roman" w:ascii="Times New Roman" w:hAnsi="Times New Roman"/>
          <w:rtl w:val="true"/>
        </w:rPr>
        <w:t>.</w:t>
      </w:r>
    </w:p>
    <w:p>
      <w:pPr>
        <w:pStyle w:val="Ruller42"/>
        <w:ind w:end="0"/>
        <w:jc w:val="both"/>
        <w:rPr>
          <w:rFonts w:ascii="Times New Roman" w:hAnsi="Times New Roman" w:cs="Miriam"/>
          <w:spacing w:val="0"/>
          <w:sz w:val="28"/>
          <w:szCs w:val="24"/>
        </w:rPr>
      </w:pPr>
      <w:r>
        <w:rPr>
          <w:rFonts w:cs="Miriam" w:ascii="Times New Roman" w:hAnsi="Times New Roman"/>
          <w:spacing w:val="0"/>
          <w:sz w:val="28"/>
          <w:szCs w:val="24"/>
          <w:rtl w:val="true"/>
        </w:rPr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כתב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האישום</w:t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</w:t>
      </w:r>
      <w:r>
        <w:rPr>
          <w:rFonts w:cs="Times New Roman" w:ascii="Times New Roman" w:hAnsi="Times New Roman"/>
          <w:rtl w:val="true"/>
        </w:rPr>
        <w:t>.</w:t>
        <w:tab/>
      </w:r>
      <w:r>
        <w:rPr>
          <w:rFonts w:ascii="Times New Roman" w:hAnsi="Times New Roman" w:cs="Times New Roman"/>
          <w:rtl w:val="true"/>
        </w:rPr>
        <w:t>על פי כתב האישום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בטרם התרחשותם של האירועים נשוא האישומים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המערער ביקש לשאת לאישה קטינה ילידת </w:t>
      </w:r>
      <w:r>
        <w:rPr>
          <w:rFonts w:cs="Times New Roman" w:ascii="Times New Roman" w:hAnsi="Times New Roman"/>
        </w:rPr>
        <w:t>1993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אחותו של עבדאללה כנאענה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הקטינה סירבה להצעת הנישואין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ובשל כך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המערער החל להטריד אותה ואת בני משפחתה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בשל האמור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ביום </w:t>
      </w:r>
      <w:r>
        <w:rPr>
          <w:rFonts w:cs="Times New Roman" w:ascii="Times New Roman" w:hAnsi="Times New Roman"/>
        </w:rPr>
        <w:t>7.12.2009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הוצא לבקשתה צו מניעה זמני שאסר על המערער להטרידה</w:t>
      </w:r>
      <w:r>
        <w:rPr>
          <w:rFonts w:cs="Times New Roman" w:ascii="Times New Roman" w:hAnsi="Times New Roman"/>
          <w:rtl w:val="true"/>
        </w:rPr>
        <w:t>.</w:t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2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כתב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המתוקן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כולל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שני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אישומים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כדלהלן</w:t>
      </w:r>
      <w:r>
        <w:rPr>
          <w:rtl w:val="true"/>
        </w:rPr>
        <w:t>:</w:t>
      </w:r>
    </w:p>
    <w:p>
      <w:pPr>
        <w:pStyle w:val="Ruller42"/>
        <w:ind w:end="0"/>
        <w:jc w:val="both"/>
        <w:rPr/>
      </w:pPr>
      <w:r>
        <w:rPr>
          <w:rtl w:val="true"/>
        </w:rPr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  <w:tab/>
      </w:r>
      <w:r>
        <w:rPr>
          <w:rFonts w:ascii="Times New Roman" w:hAnsi="Times New Roman" w:cs="Times New Roman"/>
          <w:rtl w:val="true"/>
        </w:rPr>
        <w:t>על פי עובדות האישום הראשון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ביום </w:t>
      </w:r>
      <w:r>
        <w:rPr>
          <w:rFonts w:cs="Times New Roman" w:ascii="Times New Roman" w:hAnsi="Times New Roman"/>
        </w:rPr>
        <w:t>7.12.2009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בשעות הצהריים נהג עבדאללה כנאענה ברכבו בעראבה בשכונת אל ברכה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כאשר יחד איתו נסעו חבריו ויסאם עאסלה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בלאל אברהים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ואמיר עאסלה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 xml:space="preserve">בשעה </w:t>
      </w:r>
      <w:r>
        <w:rPr>
          <w:rFonts w:cs="Times New Roman" w:ascii="Times New Roman" w:hAnsi="Times New Roman"/>
        </w:rPr>
        <w:t>15:00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או בסמוך לכך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עמד המערער על המדרכה כשהוא מצויד באקדח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וכאשר הרכב חלף לידו ירה לעברו מספר רב של פעמים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היריות נורו הן לאוויר והן לעבר הרכב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פגעו ברכב במספר מקומות וגרמו לו לנזק</w:t>
      </w:r>
      <w:r>
        <w:rPr>
          <w:rFonts w:cs="Times New Roman" w:ascii="Times New Roman" w:hAnsi="Times New Roman"/>
          <w:rtl w:val="true"/>
        </w:rPr>
        <w:t>.</w:t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  <w:tab/>
      </w:r>
    </w:p>
    <w:p>
      <w:pPr>
        <w:pStyle w:val="Ruller42"/>
        <w:ind w:end="0"/>
        <w:jc w:val="both"/>
        <w:rPr/>
      </w:pPr>
      <w:r>
        <w:rPr>
          <w:rFonts w:cs="Times New Roman" w:ascii="Times New Roman" w:hAnsi="Times New Roman"/>
          <w:rtl w:val="true"/>
        </w:rPr>
        <w:tab/>
      </w:r>
      <w:r>
        <w:rPr>
          <w:rFonts w:ascii="Times New Roman" w:hAnsi="Times New Roman" w:cs="Times New Roman"/>
          <w:rtl w:val="true"/>
        </w:rPr>
        <w:t xml:space="preserve">בגין מעשים אלו יוחסו למערער עבירות של החזקה ונשיאת נשק לפי </w:t>
      </w:r>
      <w:hyperlink r:id="rId14"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 xml:space="preserve">סעיף </w:t>
        </w:r>
        <w:r>
          <w:rPr>
            <w:rStyle w:val="Hyperlink"/>
            <w:rFonts w:cs="Times New Roman" w:ascii="Times New Roman" w:hAnsi="Times New Roman"/>
            <w:color w:val="0000FF"/>
            <w:u w:val="single"/>
          </w:rPr>
          <w:t>144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(</w:t>
        </w:r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א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)</w:t>
        </w:r>
      </w:hyperlink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ו</w:t>
      </w:r>
      <w:r>
        <w:rPr>
          <w:rFonts w:cs="Times New Roman" w:ascii="Times New Roman" w:hAnsi="Times New Roman"/>
          <w:rtl w:val="true"/>
        </w:rPr>
        <w:t>-</w:t>
      </w:r>
      <w:hyperlink r:id="rId15">
        <w:r>
          <w:rPr>
            <w:rStyle w:val="Hyperlink"/>
            <w:rFonts w:cs="Times New Roman" w:ascii="Times New Roman" w:hAnsi="Times New Roman"/>
            <w:color w:val="0000FF"/>
            <w:u w:val="single"/>
          </w:rPr>
          <w:t>144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(</w:t>
        </w:r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ב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)</w:t>
        </w:r>
      </w:hyperlink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ל</w:t>
      </w:r>
      <w:hyperlink r:id="rId16">
        <w:r>
          <w:rPr>
            <w:rStyle w:val="Hyperlink"/>
            <w:rFonts w:ascii="Times New Roman" w:hAnsi="Times New Roman" w:cs="Times New Roman"/>
            <w:rtl w:val="true"/>
          </w:rPr>
          <w:t>חוק העונשין</w:t>
        </w:r>
      </w:hyperlink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התשל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ז</w:t>
      </w:r>
      <w:r>
        <w:rPr>
          <w:rFonts w:cs="Times New Roman" w:ascii="Times New Roman" w:hAnsi="Times New Roman"/>
          <w:rtl w:val="true"/>
        </w:rPr>
        <w:t>-</w:t>
      </w:r>
      <w:r>
        <w:rPr>
          <w:rFonts w:cs="Times New Roman" w:ascii="Times New Roman" w:hAnsi="Times New Roman"/>
        </w:rPr>
        <w:t>1977</w:t>
      </w:r>
      <w:r>
        <w:rPr>
          <w:rFonts w:cs="Times New Roman" w:ascii="Times New Roman" w:hAnsi="Times New Roman"/>
          <w:rtl w:val="true"/>
        </w:rPr>
        <w:t xml:space="preserve"> (</w:t>
      </w:r>
      <w:r>
        <w:rPr>
          <w:rFonts w:ascii="Times New Roman" w:hAnsi="Times New Roman" w:cs="Times New Roman"/>
          <w:rtl w:val="true"/>
        </w:rPr>
        <w:t>להלן</w:t>
      </w:r>
      <w:r>
        <w:rPr>
          <w:rFonts w:cs="Times New Roman" w:ascii="Times New Roman" w:hAnsi="Times New Roman"/>
          <w:rtl w:val="true"/>
        </w:rPr>
        <w:t xml:space="preserve">: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החוק</w:t>
      </w:r>
      <w:r>
        <w:rPr>
          <w:rFonts w:cs="Times New Roman" w:ascii="Times New Roman" w:hAnsi="Times New Roman"/>
          <w:rtl w:val="true"/>
        </w:rPr>
        <w:t xml:space="preserve">); </w:t>
      </w:r>
      <w:r>
        <w:rPr>
          <w:rFonts w:ascii="Times New Roman" w:hAnsi="Times New Roman" w:cs="Times New Roman"/>
          <w:rtl w:val="true"/>
        </w:rPr>
        <w:t xml:space="preserve">ירי באזור מגורים לפי </w:t>
      </w:r>
      <w:hyperlink r:id="rId17"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 xml:space="preserve">סעיף </w:t>
        </w:r>
        <w:r>
          <w:rPr>
            <w:rStyle w:val="Hyperlink"/>
            <w:rFonts w:cs="Times New Roman" w:ascii="Times New Roman" w:hAnsi="Times New Roman"/>
            <w:color w:val="0000FF"/>
            <w:u w:val="single"/>
          </w:rPr>
          <w:t>340</w:t>
        </w:r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א</w:t>
        </w:r>
      </w:hyperlink>
      <w:r>
        <w:rPr>
          <w:rFonts w:ascii="Times New Roman" w:hAnsi="Times New Roman" w:cs="Times New Roman"/>
          <w:rtl w:val="true"/>
        </w:rPr>
        <w:t xml:space="preserve"> לחוק</w:t>
      </w:r>
      <w:r>
        <w:rPr>
          <w:rFonts w:cs="Times New Roman" w:ascii="Times New Roman" w:hAnsi="Times New Roman"/>
          <w:rtl w:val="true"/>
        </w:rPr>
        <w:t xml:space="preserve">; </w:t>
      </w:r>
      <w:r>
        <w:rPr>
          <w:rFonts w:ascii="Times New Roman" w:hAnsi="Times New Roman" w:cs="Times New Roman"/>
          <w:rtl w:val="true"/>
        </w:rPr>
        <w:t xml:space="preserve">חבלה בכוונה מחמירה לפי </w:t>
      </w:r>
      <w:hyperlink r:id="rId18"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 xml:space="preserve">סעיף </w:t>
        </w:r>
        <w:r>
          <w:rPr>
            <w:rStyle w:val="Hyperlink"/>
            <w:rFonts w:cs="Times New Roman" w:ascii="Times New Roman" w:hAnsi="Times New Roman"/>
            <w:color w:val="0000FF"/>
            <w:u w:val="single"/>
          </w:rPr>
          <w:t>329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(</w:t>
        </w:r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א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)(</w:t>
        </w:r>
        <w:r>
          <w:rPr>
            <w:rStyle w:val="Hyperlink"/>
            <w:rFonts w:cs="Times New Roman" w:ascii="Times New Roman" w:hAnsi="Times New Roman"/>
            <w:color w:val="0000FF"/>
            <w:u w:val="single"/>
          </w:rPr>
          <w:t>2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)</w:t>
        </w:r>
      </w:hyperlink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לחוק</w:t>
      </w:r>
      <w:r>
        <w:rPr>
          <w:rFonts w:cs="Times New Roman" w:ascii="Times New Roman" w:hAnsi="Times New Roman"/>
          <w:rtl w:val="true"/>
        </w:rPr>
        <w:t xml:space="preserve">; </w:t>
      </w:r>
      <w:r>
        <w:rPr>
          <w:rFonts w:ascii="Times New Roman" w:hAnsi="Times New Roman" w:cs="Times New Roman"/>
          <w:rtl w:val="true"/>
        </w:rPr>
        <w:t xml:space="preserve">חבלה במזיד ברכב לפי </w:t>
      </w:r>
      <w:hyperlink r:id="rId19"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 xml:space="preserve">סעיף </w:t>
        </w:r>
        <w:r>
          <w:rPr>
            <w:rStyle w:val="Hyperlink"/>
            <w:rFonts w:cs="Times New Roman" w:ascii="Times New Roman" w:hAnsi="Times New Roman"/>
            <w:color w:val="0000FF"/>
            <w:u w:val="single"/>
          </w:rPr>
          <w:t>413</w:t>
        </w:r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ה</w:t>
        </w:r>
      </w:hyperlink>
      <w:r>
        <w:rPr>
          <w:rFonts w:ascii="Times New Roman" w:hAnsi="Times New Roman" w:cs="Times New Roman"/>
          <w:rtl w:val="true"/>
        </w:rPr>
        <w:t xml:space="preserve"> לחוק</w:t>
      </w:r>
      <w:r>
        <w:rPr>
          <w:rFonts w:cs="Times New Roman" w:ascii="Times New Roman" w:hAnsi="Times New Roman"/>
          <w:rtl w:val="true"/>
        </w:rPr>
        <w:t xml:space="preserve">; </w:t>
      </w:r>
      <w:r>
        <w:rPr>
          <w:rFonts w:ascii="Times New Roman" w:hAnsi="Times New Roman" w:cs="Times New Roman"/>
          <w:rtl w:val="true"/>
        </w:rPr>
        <w:t xml:space="preserve">התנהגות פסולה במקום ציבורי לפי </w:t>
      </w:r>
      <w:hyperlink r:id="rId20"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 xml:space="preserve">סעיף </w:t>
        </w:r>
        <w:r>
          <w:rPr>
            <w:rStyle w:val="Hyperlink"/>
            <w:rFonts w:cs="Times New Roman" w:ascii="Times New Roman" w:hAnsi="Times New Roman"/>
            <w:color w:val="0000FF"/>
            <w:u w:val="single"/>
          </w:rPr>
          <w:t>216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(</w:t>
        </w:r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א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)(</w:t>
        </w:r>
        <w:r>
          <w:rPr>
            <w:rStyle w:val="Hyperlink"/>
            <w:rFonts w:cs="Times New Roman" w:ascii="Times New Roman" w:hAnsi="Times New Roman"/>
            <w:color w:val="0000FF"/>
            <w:u w:val="single"/>
          </w:rPr>
          <w:t>1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)</w:t>
        </w:r>
      </w:hyperlink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לחוק</w:t>
      </w:r>
      <w:r>
        <w:rPr>
          <w:rFonts w:cs="Times New Roman" w:ascii="Times New Roman" w:hAnsi="Times New Roman"/>
          <w:rtl w:val="true"/>
        </w:rPr>
        <w:t xml:space="preserve">; </w:t>
      </w:r>
      <w:r>
        <w:rPr>
          <w:rFonts w:ascii="Times New Roman" w:hAnsi="Times New Roman" w:cs="Times New Roman"/>
          <w:rtl w:val="true"/>
        </w:rPr>
        <w:t xml:space="preserve">וסיכון חיי אנשים בנתיב תחבורה לפי </w:t>
      </w:r>
      <w:hyperlink r:id="rId21"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 xml:space="preserve">סעיף </w:t>
        </w:r>
        <w:r>
          <w:rPr>
            <w:rStyle w:val="Hyperlink"/>
            <w:rFonts w:cs="Times New Roman" w:ascii="Times New Roman" w:hAnsi="Times New Roman"/>
            <w:color w:val="0000FF"/>
            <w:u w:val="single"/>
          </w:rPr>
          <w:t>332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(</w:t>
        </w:r>
        <w:r>
          <w:rPr>
            <w:rStyle w:val="Hyperlink"/>
            <w:rFonts w:cs="Times New Roman" w:ascii="Times New Roman" w:hAnsi="Times New Roman"/>
            <w:color w:val="0000FF"/>
            <w:u w:val="single"/>
          </w:rPr>
          <w:t>3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)</w:t>
        </w:r>
      </w:hyperlink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לחוק</w:t>
      </w:r>
      <w:r>
        <w:rPr>
          <w:rFonts w:cs="Times New Roman" w:ascii="Times New Roman" w:hAnsi="Times New Roman"/>
          <w:rtl w:val="true"/>
        </w:rPr>
        <w:t xml:space="preserve">. </w:t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2"/>
        <w:ind w:end="0"/>
        <w:jc w:val="both"/>
        <w:rPr/>
      </w:pPr>
      <w:r>
        <w:rPr>
          <w:rFonts w:cs="Times New Roman" w:ascii="Times New Roman" w:hAnsi="Times New Roman"/>
          <w:rtl w:val="true"/>
        </w:rPr>
        <w:tab/>
      </w:r>
      <w:r>
        <w:rPr>
          <w:rFonts w:ascii="Times New Roman" w:hAnsi="Times New Roman" w:cs="Times New Roman"/>
          <w:rtl w:val="true"/>
        </w:rPr>
        <w:t>על פי עובדות האישום השני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באותו יום בשעה </w:t>
      </w:r>
      <w:r>
        <w:rPr>
          <w:rFonts w:cs="Times New Roman" w:ascii="Times New Roman" w:hAnsi="Times New Roman"/>
        </w:rPr>
        <w:t>16:40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 xml:space="preserve">או בסמוך לכך הגיע סאמר אבו חשיש עאסלה </w:t>
      </w:r>
      <w:r>
        <w:rPr>
          <w:rFonts w:cs="Times New Roman" w:ascii="Times New Roman" w:hAnsi="Times New Roman"/>
          <w:rtl w:val="true"/>
        </w:rPr>
        <w:t>(</w:t>
      </w:r>
      <w:r>
        <w:rPr>
          <w:rFonts w:ascii="Times New Roman" w:hAnsi="Times New Roman" w:cs="Times New Roman"/>
          <w:rtl w:val="true"/>
        </w:rPr>
        <w:t>להלן</w:t>
      </w:r>
      <w:r>
        <w:rPr>
          <w:rFonts w:cs="Times New Roman" w:ascii="Times New Roman" w:hAnsi="Times New Roman"/>
          <w:rtl w:val="true"/>
        </w:rPr>
        <w:t xml:space="preserve">: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המתלונן</w:t>
      </w:r>
      <w:r>
        <w:rPr>
          <w:rFonts w:cs="Times New Roman" w:ascii="Times New Roman" w:hAnsi="Times New Roman"/>
          <w:rtl w:val="true"/>
        </w:rPr>
        <w:t xml:space="preserve">) - </w:t>
      </w:r>
      <w:r>
        <w:rPr>
          <w:rFonts w:ascii="Times New Roman" w:hAnsi="Times New Roman" w:cs="Times New Roman"/>
          <w:rtl w:val="true"/>
        </w:rPr>
        <w:t>אחיו של ויסאם עאסלה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שהיה ברכב לעברו ירה המערער מספר שעות לפני כן </w:t>
      </w:r>
      <w:r>
        <w:rPr>
          <w:rFonts w:cs="Times New Roman" w:ascii="Times New Roman" w:hAnsi="Times New Roman"/>
          <w:rtl w:val="true"/>
        </w:rPr>
        <w:t xml:space="preserve">- </w:t>
      </w:r>
      <w:r>
        <w:rPr>
          <w:rFonts w:ascii="Times New Roman" w:hAnsi="Times New Roman" w:cs="Times New Roman"/>
          <w:rtl w:val="true"/>
        </w:rPr>
        <w:t xml:space="preserve">ברכבו </w:t>
      </w:r>
      <w:r>
        <w:rPr>
          <w:rFonts w:cs="Times New Roman" w:ascii="Times New Roman" w:hAnsi="Times New Roman"/>
          <w:rtl w:val="true"/>
        </w:rPr>
        <w:t>(</w:t>
      </w:r>
      <w:r>
        <w:rPr>
          <w:rFonts w:ascii="Times New Roman" w:hAnsi="Times New Roman" w:cs="Times New Roman"/>
          <w:rtl w:val="true"/>
        </w:rPr>
        <w:t>להלן</w:t>
      </w:r>
      <w:r>
        <w:rPr>
          <w:rFonts w:cs="Times New Roman" w:ascii="Times New Roman" w:hAnsi="Times New Roman"/>
          <w:rtl w:val="true"/>
        </w:rPr>
        <w:t xml:space="preserve">: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הרכב</w:t>
      </w:r>
      <w:r>
        <w:rPr>
          <w:rFonts w:cs="Times New Roman" w:ascii="Times New Roman" w:hAnsi="Times New Roman"/>
          <w:rtl w:val="true"/>
        </w:rPr>
        <w:t xml:space="preserve">) </w:t>
      </w:r>
      <w:r>
        <w:rPr>
          <w:rFonts w:ascii="Times New Roman" w:hAnsi="Times New Roman" w:cs="Times New Roman"/>
          <w:rtl w:val="true"/>
        </w:rPr>
        <w:t>אל ביתו של המערער במטרה ליישב את הסכסוך בין המערער לבין אחיו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או</w:t>
      </w:r>
      <w:r>
        <w:rPr>
          <w:rFonts w:cs="Times New Roman" w:ascii="Times New Roman" w:hAnsi="Times New Roman"/>
          <w:rtl w:val="true"/>
        </w:rPr>
        <w:t>-</w:t>
      </w:r>
      <w:r>
        <w:rPr>
          <w:rFonts w:ascii="Times New Roman" w:hAnsi="Times New Roman" w:cs="Times New Roman"/>
          <w:rtl w:val="true"/>
        </w:rPr>
        <w:t>אז שלף המערער אקדח והחל יורה באוויר וכן לעבר הרכב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כתוצאה מכך נפגע הרכב ארבע פגיעות בצידו האחורי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ונגרם לו נזק</w:t>
      </w:r>
      <w:r>
        <w:rPr>
          <w:rFonts w:cs="Times New Roman" w:ascii="Times New Roman" w:hAnsi="Times New Roman"/>
          <w:rtl w:val="true"/>
        </w:rPr>
        <w:t>.</w:t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2"/>
        <w:ind w:end="0"/>
        <w:jc w:val="both"/>
        <w:rPr/>
      </w:pPr>
      <w:r>
        <w:rPr>
          <w:rFonts w:cs="Times New Roman" w:ascii="Times New Roman" w:hAnsi="Times New Roman"/>
          <w:rtl w:val="true"/>
        </w:rPr>
        <w:tab/>
      </w:r>
      <w:r>
        <w:rPr>
          <w:rFonts w:ascii="Times New Roman" w:hAnsi="Times New Roman" w:cs="Times New Roman"/>
          <w:rtl w:val="true"/>
        </w:rPr>
        <w:t xml:space="preserve">בגין מעשים אלו הואשם המערער בעבירות של החזקה ונשיאת נשק לפי </w:t>
      </w:r>
      <w:hyperlink r:id="rId22"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 xml:space="preserve">סעיף </w:t>
        </w:r>
        <w:r>
          <w:rPr>
            <w:rStyle w:val="Hyperlink"/>
            <w:rFonts w:cs="Times New Roman" w:ascii="Times New Roman" w:hAnsi="Times New Roman"/>
            <w:color w:val="0000FF"/>
            <w:u w:val="single"/>
          </w:rPr>
          <w:t>144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(</w:t>
        </w:r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א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)</w:t>
        </w:r>
      </w:hyperlink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ו</w:t>
      </w:r>
      <w:r>
        <w:rPr>
          <w:rFonts w:cs="Times New Roman" w:ascii="Times New Roman" w:hAnsi="Times New Roman"/>
          <w:rtl w:val="true"/>
        </w:rPr>
        <w:t>-</w:t>
      </w:r>
      <w:hyperlink r:id="rId23">
        <w:r>
          <w:rPr>
            <w:rStyle w:val="Hyperlink"/>
            <w:rFonts w:cs="Times New Roman" w:ascii="Times New Roman" w:hAnsi="Times New Roman"/>
            <w:color w:val="0000FF"/>
            <w:u w:val="single"/>
          </w:rPr>
          <w:t>144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(</w:t>
        </w:r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ב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)</w:t>
        </w:r>
      </w:hyperlink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לחוק</w:t>
      </w:r>
      <w:r>
        <w:rPr>
          <w:rFonts w:cs="Times New Roman" w:ascii="Times New Roman" w:hAnsi="Times New Roman"/>
          <w:rtl w:val="true"/>
        </w:rPr>
        <w:t xml:space="preserve">; </w:t>
      </w:r>
      <w:r>
        <w:rPr>
          <w:rFonts w:ascii="Times New Roman" w:hAnsi="Times New Roman" w:cs="Times New Roman"/>
          <w:rtl w:val="true"/>
        </w:rPr>
        <w:t xml:space="preserve">ירי באזור מגורים לפי </w:t>
      </w:r>
      <w:hyperlink r:id="rId24"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 xml:space="preserve">סעיף </w:t>
        </w:r>
        <w:r>
          <w:rPr>
            <w:rStyle w:val="Hyperlink"/>
            <w:rFonts w:cs="Times New Roman" w:ascii="Times New Roman" w:hAnsi="Times New Roman"/>
            <w:color w:val="0000FF"/>
            <w:u w:val="single"/>
          </w:rPr>
          <w:t>340</w:t>
        </w:r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א</w:t>
        </w:r>
      </w:hyperlink>
      <w:r>
        <w:rPr>
          <w:rFonts w:ascii="Times New Roman" w:hAnsi="Times New Roman" w:cs="Times New Roman"/>
          <w:rtl w:val="true"/>
        </w:rPr>
        <w:t xml:space="preserve"> לחוק</w:t>
      </w:r>
      <w:r>
        <w:rPr>
          <w:rFonts w:cs="Times New Roman" w:ascii="Times New Roman" w:hAnsi="Times New Roman"/>
          <w:rtl w:val="true"/>
        </w:rPr>
        <w:t xml:space="preserve">; </w:t>
      </w:r>
      <w:r>
        <w:rPr>
          <w:rFonts w:ascii="Times New Roman" w:hAnsi="Times New Roman" w:cs="Times New Roman"/>
          <w:rtl w:val="true"/>
        </w:rPr>
        <w:t xml:space="preserve">חבלה בכוונה מחמירה לפי </w:t>
      </w:r>
      <w:hyperlink r:id="rId25"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 xml:space="preserve">סעיף </w:t>
        </w:r>
        <w:r>
          <w:rPr>
            <w:rStyle w:val="Hyperlink"/>
            <w:rFonts w:cs="Times New Roman" w:ascii="Times New Roman" w:hAnsi="Times New Roman"/>
            <w:color w:val="0000FF"/>
            <w:u w:val="single"/>
          </w:rPr>
          <w:t>329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(</w:t>
        </w:r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א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)(</w:t>
        </w:r>
        <w:r>
          <w:rPr>
            <w:rStyle w:val="Hyperlink"/>
            <w:rFonts w:cs="Times New Roman" w:ascii="Times New Roman" w:hAnsi="Times New Roman"/>
            <w:color w:val="0000FF"/>
            <w:u w:val="single"/>
          </w:rPr>
          <w:t>2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)</w:t>
        </w:r>
      </w:hyperlink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לחוק</w:t>
      </w:r>
      <w:r>
        <w:rPr>
          <w:rFonts w:cs="Times New Roman" w:ascii="Times New Roman" w:hAnsi="Times New Roman"/>
          <w:rtl w:val="true"/>
        </w:rPr>
        <w:t xml:space="preserve">; </w:t>
      </w:r>
      <w:r>
        <w:rPr>
          <w:rFonts w:ascii="Times New Roman" w:hAnsi="Times New Roman" w:cs="Times New Roman"/>
          <w:rtl w:val="true"/>
        </w:rPr>
        <w:t xml:space="preserve">וחבלה במזיד ברכב לפי </w:t>
      </w:r>
      <w:hyperlink r:id="rId26"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 xml:space="preserve">סעיף </w:t>
        </w:r>
        <w:r>
          <w:rPr>
            <w:rStyle w:val="Hyperlink"/>
            <w:rFonts w:cs="Times New Roman" w:ascii="Times New Roman" w:hAnsi="Times New Roman"/>
            <w:color w:val="0000FF"/>
            <w:u w:val="single"/>
          </w:rPr>
          <w:t>413</w:t>
        </w:r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ה</w:t>
        </w:r>
      </w:hyperlink>
      <w:r>
        <w:rPr>
          <w:rFonts w:ascii="Times New Roman" w:hAnsi="Times New Roman" w:cs="Times New Roman"/>
          <w:rtl w:val="true"/>
        </w:rPr>
        <w:t xml:space="preserve"> לחוק</w:t>
      </w:r>
      <w:r>
        <w:rPr>
          <w:rFonts w:cs="Times New Roman" w:ascii="Times New Roman" w:hAnsi="Times New Roman"/>
          <w:rtl w:val="true"/>
        </w:rPr>
        <w:t>.</w:t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  <w:tab/>
      </w:r>
      <w:r>
        <w:rPr>
          <w:rFonts w:ascii="Times New Roman" w:hAnsi="Times New Roman" w:cs="Times New Roman"/>
          <w:rtl w:val="true"/>
        </w:rPr>
        <w:t>המערער כפר בעובדות שני האישומים</w:t>
      </w:r>
      <w:r>
        <w:rPr>
          <w:rFonts w:cs="Times New Roman" w:ascii="Times New Roman" w:hAnsi="Times New Roman"/>
          <w:rtl w:val="true"/>
        </w:rPr>
        <w:t>.</w:t>
      </w:r>
    </w:p>
    <w:p>
      <w:pPr>
        <w:pStyle w:val="Ruller42"/>
        <w:ind w:end="0"/>
        <w:jc w:val="both"/>
        <w:rPr>
          <w:rFonts w:ascii="Times New Roman" w:hAnsi="Times New Roman" w:cs="Miriam"/>
          <w:spacing w:val="0"/>
          <w:sz w:val="28"/>
          <w:szCs w:val="24"/>
        </w:rPr>
      </w:pPr>
      <w:r>
        <w:rPr>
          <w:rFonts w:cs="Miriam" w:ascii="Times New Roman" w:hAnsi="Times New Roman"/>
          <w:spacing w:val="0"/>
          <w:sz w:val="28"/>
          <w:szCs w:val="24"/>
          <w:rtl w:val="true"/>
        </w:rPr>
      </w:r>
    </w:p>
    <w:p>
      <w:pPr>
        <w:pStyle w:val="Ruller42"/>
        <w:ind w:end="0"/>
        <w:jc w:val="both"/>
        <w:rPr>
          <w:rFonts w:ascii="Times New Roman" w:hAnsi="Times New Roman"/>
          <w:spacing w:val="0"/>
          <w:sz w:val="28"/>
          <w:szCs w:val="24"/>
        </w:rPr>
      </w:pP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פסק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דינו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של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בית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משפט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קמא</w:t>
      </w:r>
    </w:p>
    <w:p>
      <w:pPr>
        <w:pStyle w:val="Ruller42"/>
        <w:ind w:end="0"/>
        <w:jc w:val="both"/>
        <w:rPr>
          <w:rFonts w:ascii="Times New Roman" w:hAnsi="Times New Roman" w:cs="Miriam"/>
          <w:spacing w:val="0"/>
          <w:sz w:val="28"/>
          <w:szCs w:val="24"/>
        </w:rPr>
      </w:pPr>
      <w:r>
        <w:rPr>
          <w:rFonts w:cs="Miriam" w:ascii="Times New Roman" w:hAnsi="Times New Roman"/>
          <w:spacing w:val="0"/>
          <w:sz w:val="28"/>
          <w:szCs w:val="24"/>
          <w:rtl w:val="true"/>
        </w:rPr>
      </w:r>
    </w:p>
    <w:p>
      <w:pPr>
        <w:pStyle w:val="Ruller42"/>
        <w:ind w:end="0"/>
        <w:jc w:val="both"/>
        <w:rPr/>
      </w:pPr>
      <w:r>
        <w:rPr/>
        <w:t>2</w:t>
      </w:r>
      <w:r>
        <w:rPr>
          <w:rFonts w:cs="Times New Roman" w:ascii="Times New Roman" w:hAnsi="Times New Roman"/>
          <w:rtl w:val="true"/>
        </w:rPr>
        <w:t>.</w:t>
        <w:tab/>
      </w:r>
      <w:r>
        <w:rPr>
          <w:rFonts w:ascii="Times New Roman" w:hAnsi="Times New Roman" w:cs="Times New Roman"/>
          <w:rtl w:val="true"/>
        </w:rPr>
        <w:t>בתום שמיעת הראיות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ולאחר שלב הסיכומים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נתברר כי בניגוד לכפירתו הגורפת של המערער בעצם נוכחותו בזירה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הוא מודה בביצוע הירי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אך לטענתו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ירה באוויר ולא לעבר הרכבים הנזכרים בשני כתבי האישום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המערער הודה אפוא בעבירות של החזקת נשק וירי במקום ציבורי בשני האישומים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אך כפר בעבירות האחרות המיוחסות לו בשל הירי לעבר הרכבים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משכך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הרשיע אותו בית משפט קמא בשני האישומים בעבירות של החזקה ונשיאת נשק וירי באזור מגורים </w:t>
      </w:r>
      <w:r>
        <w:rPr>
          <w:rFonts w:cs="Times New Roman" w:ascii="Times New Roman" w:hAnsi="Times New Roman"/>
          <w:rtl w:val="true"/>
        </w:rPr>
        <w:t>(</w:t>
      </w:r>
      <w:r>
        <w:rPr>
          <w:rFonts w:ascii="Times New Roman" w:hAnsi="Times New Roman" w:cs="Times New Roman"/>
          <w:rtl w:val="true"/>
        </w:rPr>
        <w:t>ובאישום הראשון גם בעבירה של התנהגות פסולה במקום ציבורי</w:t>
      </w:r>
      <w:r>
        <w:rPr>
          <w:rFonts w:cs="Times New Roman" w:ascii="Times New Roman" w:hAnsi="Times New Roman"/>
          <w:rtl w:val="true"/>
        </w:rPr>
        <w:t xml:space="preserve">). </w:t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2"/>
        <w:ind w:end="0"/>
        <w:jc w:val="both"/>
        <w:rPr/>
      </w:pPr>
      <w:r>
        <w:rPr/>
        <w:t>3</w:t>
      </w:r>
      <w:r>
        <w:rPr>
          <w:rtl w:val="true"/>
        </w:rPr>
        <w:t>.</w:t>
        <w:tab/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האישום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הראשון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קמא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ניתח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הראיות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שהובאו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בפניו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וזיכה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מהעבירות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חבלה במזיד ברכב</w:t>
      </w:r>
      <w:r>
        <w:rPr>
          <w:rFonts w:cs="Times New Roman" w:ascii="Times New Roman" w:hAnsi="Times New Roman"/>
          <w:rtl w:val="true"/>
        </w:rPr>
        <w:t xml:space="preserve">; </w:t>
      </w:r>
      <w:r>
        <w:rPr>
          <w:rFonts w:ascii="Times New Roman" w:hAnsi="Times New Roman" w:cs="Times New Roman"/>
          <w:rtl w:val="true"/>
        </w:rPr>
        <w:t>חבלה בכוונה מחמירה</w:t>
      </w:r>
      <w:r>
        <w:rPr>
          <w:rFonts w:cs="Times New Roman" w:ascii="Times New Roman" w:hAnsi="Times New Roman"/>
          <w:rtl w:val="true"/>
        </w:rPr>
        <w:t xml:space="preserve">; </w:t>
      </w:r>
      <w:r>
        <w:rPr>
          <w:rFonts w:ascii="Times New Roman" w:hAnsi="Times New Roman" w:cs="Times New Roman"/>
          <w:rtl w:val="true"/>
        </w:rPr>
        <w:t>וסיכון חיי אנשים בנתיב תחבורה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זאת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בין היתר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בהסתמך על דברי עדים כי המערער ירה את כל היריות לאוויר ולא לכיוון הרכב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ובשל מחדלי חקירה של המשטרה שלא בדקה את הרכב</w:t>
      </w:r>
      <w:r>
        <w:rPr>
          <w:rFonts w:cs="Times New Roman" w:ascii="Times New Roman" w:hAnsi="Times New Roman"/>
          <w:rtl w:val="true"/>
        </w:rPr>
        <w:t xml:space="preserve">. </w:t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2"/>
        <w:ind w:end="0"/>
        <w:jc w:val="both"/>
        <w:rPr/>
      </w:pPr>
      <w:r>
        <w:rPr>
          <w:rFonts w:cs="Times New Roman" w:ascii="Times New Roman" w:hAnsi="Times New Roman"/>
          <w:rtl w:val="true"/>
        </w:rPr>
        <w:tab/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האישום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השני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 xml:space="preserve">- </w:t>
      </w:r>
      <w:r>
        <w:rPr>
          <w:rFonts w:ascii="Times New Roman" w:hAnsi="Times New Roman" w:cs="Times New Roman"/>
          <w:rtl w:val="true"/>
        </w:rPr>
        <w:t>בית משפט קמא הרשיע את המערער בעבירות של חבלה בכוונה מחמירה וחבלה במזיד ברכב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לאחר שהשתכנע כי היריות נורו לעבר הרכב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זאת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בין היתר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בהסתמך על עדותו האמינה של המתלונן ועל הראיות בדבר הנזקים שנגרמו לרכב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בהמשך נעמוד ביתר פירוט על נימוקי בית משפט קמא</w:t>
      </w:r>
      <w:r>
        <w:rPr>
          <w:rFonts w:cs="Times New Roman" w:ascii="Times New Roman" w:hAnsi="Times New Roman"/>
          <w:rtl w:val="true"/>
        </w:rPr>
        <w:t>.</w:t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  <w:tab/>
      </w:r>
    </w:p>
    <w:p>
      <w:pPr>
        <w:pStyle w:val="Ruller42"/>
        <w:ind w:end="0"/>
        <w:jc w:val="both"/>
        <w:rPr/>
      </w:pPr>
      <w:r>
        <w:rPr>
          <w:rFonts w:cs="Times New Roman" w:ascii="Times New Roman" w:hAnsi="Times New Roman"/>
        </w:rPr>
        <w:t>4</w:t>
      </w:r>
      <w:r>
        <w:rPr>
          <w:rFonts w:cs="Times New Roman" w:ascii="Times New Roman" w:hAnsi="Times New Roman"/>
          <w:rtl w:val="true"/>
        </w:rPr>
        <w:t>.</w:t>
        <w:tab/>
      </w:r>
      <w:r>
        <w:rPr>
          <w:rFonts w:ascii="Times New Roman" w:hAnsi="Times New Roman" w:cs="Times New Roman"/>
          <w:rtl w:val="true"/>
        </w:rPr>
        <w:t xml:space="preserve">בית משפט קמא השית על המערער </w:t>
      </w:r>
      <w:r>
        <w:rPr>
          <w:rFonts w:cs="Times New Roman" w:ascii="Times New Roman" w:hAnsi="Times New Roman"/>
        </w:rPr>
        <w:t>60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חודשי מאסר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מתוכם </w:t>
      </w:r>
      <w:r>
        <w:rPr>
          <w:rFonts w:cs="Times New Roman" w:ascii="Times New Roman" w:hAnsi="Times New Roman"/>
        </w:rPr>
        <w:t>50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חודשי מאסר בפועל ו</w:t>
      </w:r>
      <w:r>
        <w:rPr>
          <w:rFonts w:cs="Times New Roman" w:ascii="Times New Roman" w:hAnsi="Times New Roman"/>
          <w:rtl w:val="true"/>
        </w:rPr>
        <w:t>-</w:t>
      </w:r>
      <w:r>
        <w:rPr>
          <w:rFonts w:cs="Times New Roman" w:ascii="Times New Roman" w:hAnsi="Times New Roman"/>
        </w:rPr>
        <w:t>10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חודשי מאסר על תנאי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וכן הופעל עונש של </w:t>
      </w:r>
      <w:r>
        <w:rPr>
          <w:rFonts w:cs="Times New Roman" w:ascii="Times New Roman" w:hAnsi="Times New Roman"/>
        </w:rPr>
        <w:t>3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חודשי מאסר על תנאי שהוטל על המערער על ידי בית משפט השלום בנצרת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ב</w:t>
      </w:r>
      <w:hyperlink r:id="rId27"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ת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"</w:t>
        </w:r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 xml:space="preserve">פ </w:t>
        </w:r>
        <w:r>
          <w:rPr>
            <w:rStyle w:val="Hyperlink"/>
            <w:rFonts w:cs="Times New Roman" w:ascii="Times New Roman" w:hAnsi="Times New Roman"/>
            <w:color w:val="0000FF"/>
            <w:u w:val="single"/>
          </w:rPr>
          <w:t>12117-09-08</w:t>
        </w:r>
      </w:hyperlink>
      <w:r>
        <w:rPr>
          <w:rFonts w:cs="Times New Roman" w:ascii="Times New Roman" w:hAnsi="Times New Roman"/>
          <w:rtl w:val="true"/>
        </w:rPr>
        <w:t xml:space="preserve"> (</w:t>
      </w:r>
      <w:r>
        <w:rPr>
          <w:rFonts w:ascii="Times New Roman" w:hAnsi="Times New Roman" w:cs="Times New Roman"/>
          <w:rtl w:val="true"/>
        </w:rPr>
        <w:t xml:space="preserve">כבוד הנשיא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ת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כתילי</w:t>
      </w:r>
      <w:r>
        <w:rPr>
          <w:rFonts w:cs="Times New Roman" w:ascii="Times New Roman" w:hAnsi="Times New Roman"/>
          <w:rtl w:val="true"/>
        </w:rPr>
        <w:t>).</w:t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  <w:tab/>
      </w:r>
      <w:r>
        <w:rPr>
          <w:rFonts w:ascii="Times New Roman" w:hAnsi="Times New Roman" w:cs="Times New Roman"/>
          <w:rtl w:val="true"/>
        </w:rPr>
        <w:t>על כך נסב ערעורו של המערער המופנה הן נגד הכרעת הדין באישום השני והן נגד גזר הדין</w:t>
      </w:r>
      <w:r>
        <w:rPr>
          <w:rFonts w:cs="Times New Roman" w:ascii="Times New Roman" w:hAnsi="Times New Roman"/>
          <w:rtl w:val="true"/>
        </w:rPr>
        <w:t>.</w:t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2"/>
        <w:ind w:end="0"/>
        <w:jc w:val="both"/>
        <w:rPr>
          <w:rFonts w:ascii="Times New Roman" w:hAnsi="Times New Roman"/>
          <w:spacing w:val="0"/>
          <w:sz w:val="28"/>
          <w:szCs w:val="24"/>
        </w:rPr>
      </w:pP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תמצית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טענות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הצדדים</w:t>
      </w:r>
    </w:p>
    <w:p>
      <w:pPr>
        <w:pStyle w:val="Ruller42"/>
        <w:ind w:end="0"/>
        <w:jc w:val="both"/>
        <w:rPr>
          <w:rFonts w:ascii="Times New Roman" w:hAnsi="Times New Roman" w:cs="Miriam"/>
          <w:spacing w:val="0"/>
          <w:sz w:val="28"/>
          <w:szCs w:val="24"/>
        </w:rPr>
      </w:pPr>
      <w:r>
        <w:rPr>
          <w:rFonts w:cs="Miriam" w:ascii="Times New Roman" w:hAnsi="Times New Roman"/>
          <w:spacing w:val="0"/>
          <w:sz w:val="28"/>
          <w:szCs w:val="24"/>
          <w:rtl w:val="true"/>
        </w:rPr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</w:t>
      </w:r>
      <w:r>
        <w:rPr>
          <w:rFonts w:cs="Times New Roman" w:ascii="Times New Roman" w:hAnsi="Times New Roman"/>
          <w:rtl w:val="true"/>
        </w:rPr>
        <w:t>.</w:t>
        <w:tab/>
      </w:r>
      <w:r>
        <w:rPr>
          <w:rFonts w:ascii="Times New Roman" w:hAnsi="Times New Roman" w:cs="Times New Roman"/>
          <w:rtl w:val="true"/>
        </w:rPr>
        <w:t xml:space="preserve">אשר להכרעת הדין </w:t>
      </w:r>
      <w:r>
        <w:rPr>
          <w:rFonts w:cs="Times New Roman" w:ascii="Times New Roman" w:hAnsi="Times New Roman"/>
          <w:rtl w:val="true"/>
        </w:rPr>
        <w:t xml:space="preserve">- </w:t>
      </w:r>
      <w:r>
        <w:rPr>
          <w:rFonts w:ascii="Times New Roman" w:hAnsi="Times New Roman" w:cs="Times New Roman"/>
          <w:rtl w:val="true"/>
        </w:rPr>
        <w:t>המערער טען כי שגה בית משפט קמא בהחלטתו להרשיעו בעבירות של חבלה בכוונה מחמירה וחבלה במזיד ברכב באישום השני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לטענתו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לא הוכח כי הוא ירה לעבר רכבו של המתלונן ולא הוכח כי הפגיעות ברכב המתלונן נגרמו כתוצאה מהירי שביצע</w:t>
      </w:r>
      <w:r>
        <w:rPr>
          <w:rFonts w:cs="Times New Roman" w:ascii="Times New Roman" w:hAnsi="Times New Roman"/>
          <w:rtl w:val="true"/>
        </w:rPr>
        <w:t>.</w:t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  <w:tab/>
      </w:r>
      <w:r>
        <w:rPr>
          <w:rFonts w:ascii="Times New Roman" w:hAnsi="Times New Roman" w:cs="Times New Roman"/>
          <w:rtl w:val="true"/>
        </w:rPr>
        <w:t>אשר לגזר הדין – המערער טען כי בית משפט קמא החמיר עמו יתר על המידה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וכי העונש שהושת עליו חורג מרמת הענישה המקובלת בסוג זה של עבירות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לטענתו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עברו הפלילי לא היה צריך לשמש משקל לחומרא בקביעת גזר הדין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והיה מקום לתת משקל לקולא להודאתו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לגילו הצעיר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לתקופת המעצר הארוכה בה הוחזק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ולמכלול נסיבותיו האישיות ונסיבות העניין</w:t>
      </w:r>
      <w:r>
        <w:rPr>
          <w:rFonts w:cs="Times New Roman" w:ascii="Times New Roman" w:hAnsi="Times New Roman"/>
          <w:rtl w:val="true"/>
        </w:rPr>
        <w:t>.</w:t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</w:t>
      </w:r>
      <w:r>
        <w:rPr>
          <w:rFonts w:cs="Times New Roman" w:ascii="Times New Roman" w:hAnsi="Times New Roman"/>
          <w:rtl w:val="true"/>
        </w:rPr>
        <w:t>.</w:t>
        <w:tab/>
      </w:r>
      <w:r>
        <w:rPr>
          <w:rFonts w:ascii="Times New Roman" w:hAnsi="Times New Roman" w:cs="Times New Roman"/>
          <w:rtl w:val="true"/>
        </w:rPr>
        <w:t>מנגד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המשיבה תמכה יתדותיה בפסק דינו של בית משפט קמא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ובמסקנתו כי המערער ירה הן באוויר והן לעבר רכבו של המתלונן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מסקנה זו נתמכת הן בראיות הנסיבתיות בדבר הירי באוויר וסימני הקליעים ברכב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והן בהערכתו של בית המשפט לגבי המניע של המערער לפגוע ברכב</w:t>
      </w:r>
      <w:r>
        <w:rPr>
          <w:rFonts w:cs="Times New Roman" w:ascii="Times New Roman" w:hAnsi="Times New Roman"/>
          <w:rtl w:val="true"/>
        </w:rPr>
        <w:t xml:space="preserve">. </w:t>
      </w:r>
    </w:p>
    <w:p>
      <w:pPr>
        <w:pStyle w:val="Ruller42"/>
        <w:ind w:end="0"/>
        <w:jc w:val="both"/>
        <w:rPr>
          <w:rFonts w:ascii="Times New Roman" w:hAnsi="Times New Roman" w:cs="Miriam"/>
          <w:spacing w:val="0"/>
          <w:sz w:val="28"/>
          <w:szCs w:val="24"/>
        </w:rPr>
      </w:pPr>
      <w:r>
        <w:rPr>
          <w:rFonts w:cs="Miriam" w:ascii="Times New Roman" w:hAnsi="Times New Roman"/>
          <w:spacing w:val="0"/>
          <w:sz w:val="28"/>
          <w:szCs w:val="24"/>
          <w:rtl w:val="true"/>
        </w:rPr>
      </w:r>
    </w:p>
    <w:p>
      <w:pPr>
        <w:pStyle w:val="Ruller42"/>
        <w:ind w:end="0"/>
        <w:jc w:val="both"/>
        <w:rPr>
          <w:rFonts w:ascii="Times New Roman" w:hAnsi="Times New Roman"/>
          <w:spacing w:val="0"/>
          <w:sz w:val="28"/>
          <w:szCs w:val="24"/>
        </w:rPr>
      </w:pP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דיון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והכרעה</w:t>
      </w:r>
    </w:p>
    <w:p>
      <w:pPr>
        <w:pStyle w:val="Ruller42"/>
        <w:ind w:end="0"/>
        <w:jc w:val="both"/>
        <w:rPr>
          <w:rFonts w:ascii="Times New Roman" w:hAnsi="Times New Roman" w:cs="Miriam"/>
          <w:spacing w:val="0"/>
          <w:sz w:val="28"/>
          <w:szCs w:val="24"/>
        </w:rPr>
      </w:pPr>
      <w:r>
        <w:rPr>
          <w:rFonts w:cs="Miriam" w:ascii="Times New Roman" w:hAnsi="Times New Roman"/>
          <w:spacing w:val="0"/>
          <w:sz w:val="28"/>
          <w:szCs w:val="24"/>
          <w:rtl w:val="true"/>
        </w:rPr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</w:t>
      </w:r>
      <w:r>
        <w:rPr>
          <w:rFonts w:cs="Times New Roman" w:ascii="Times New Roman" w:hAnsi="Times New Roman"/>
          <w:rtl w:val="true"/>
        </w:rPr>
        <w:t>.</w:t>
        <w:tab/>
      </w:r>
      <w:r>
        <w:rPr>
          <w:rFonts w:ascii="Times New Roman" w:hAnsi="Times New Roman" w:cs="Times New Roman"/>
          <w:rtl w:val="true"/>
        </w:rPr>
        <w:t>המחלוקת בענייננו מצטמצמת אך ורק לאישום השני ולשאלה העובדתית אם המערער ירה לכיוון הרכב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נוכח גרסתו של המערער כי גם באירוע זה הוא ירה רק באוויר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ולא לעבר הרכב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המתלונן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נהג הרכב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אישר בעדותו כי לא הבחין שהמערער יורה לעבר רכבו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וכי רק בדיעבד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זמן קצר לאחר שעזב את חצר ביתו של המערער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שוטר הסב תשומת ליבו לפגיעות קליעים בארגז האחורי של הרכב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 xml:space="preserve">מכאן טענת המערער כי בהיעדר עדות ראייה כי ירה לכיוון הרכב </w:t>
      </w:r>
      <w:r>
        <w:rPr>
          <w:rFonts w:cs="Times New Roman" w:ascii="Times New Roman" w:hAnsi="Times New Roman"/>
          <w:rtl w:val="true"/>
        </w:rPr>
        <w:t>(</w:t>
      </w:r>
      <w:r>
        <w:rPr>
          <w:rFonts w:ascii="Times New Roman" w:hAnsi="Times New Roman" w:cs="Times New Roman"/>
          <w:rtl w:val="true"/>
        </w:rPr>
        <w:t>להבדיל מירי לאוויר בלבד</w:t>
      </w:r>
      <w:r>
        <w:rPr>
          <w:rFonts w:cs="Times New Roman" w:ascii="Times New Roman" w:hAnsi="Times New Roman"/>
          <w:rtl w:val="true"/>
        </w:rPr>
        <w:t xml:space="preserve">), </w:t>
      </w:r>
      <w:r>
        <w:rPr>
          <w:rFonts w:ascii="Times New Roman" w:hAnsi="Times New Roman" w:cs="Times New Roman"/>
          <w:rtl w:val="true"/>
        </w:rPr>
        <w:t>לא הוכח כנדרש היסוד העובדתי של העבירות נשוא הערעור</w:t>
      </w:r>
      <w:r>
        <w:rPr>
          <w:rFonts w:cs="Times New Roman" w:ascii="Times New Roman" w:hAnsi="Times New Roman"/>
          <w:rtl w:val="true"/>
        </w:rPr>
        <w:t xml:space="preserve">. </w:t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  <w:tab/>
      </w:r>
      <w:r>
        <w:rPr>
          <w:rFonts w:ascii="Times New Roman" w:hAnsi="Times New Roman" w:cs="Times New Roman"/>
          <w:rtl w:val="true"/>
        </w:rPr>
        <w:t>דין הטענה להידחות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הרשעתו של המערער הושתתה על ממצאי מהימנות ועל הגיונם של דברים נוכח הראיות הנסיבתיות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כפי שיפורט להלן</w:t>
      </w:r>
      <w:r>
        <w:rPr>
          <w:rFonts w:cs="Times New Roman" w:ascii="Times New Roman" w:hAnsi="Times New Roman"/>
          <w:rtl w:val="true"/>
        </w:rPr>
        <w:t>.</w:t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8</w:t>
      </w:r>
      <w:r>
        <w:rPr>
          <w:rFonts w:cs="Times New Roman" w:ascii="Times New Roman" w:hAnsi="Times New Roman"/>
          <w:rtl w:val="true"/>
        </w:rPr>
        <w:t>.</w:t>
        <w:tab/>
      </w:r>
      <w:r>
        <w:rPr>
          <w:rFonts w:ascii="Times New Roman" w:hAnsi="Times New Roman" w:cs="Times New Roman"/>
          <w:rtl w:val="true"/>
        </w:rPr>
        <w:t>בית משפט קמא קבע כי גרסתו של המערער לפיה ירה רק באוויר אינה מהימנה</w:t>
      </w:r>
      <w:r>
        <w:rPr>
          <w:rFonts w:cs="Times New Roman" w:ascii="Times New Roman" w:hAnsi="Times New Roman"/>
          <w:rtl w:val="true"/>
        </w:rPr>
        <w:t xml:space="preserve">: </w:t>
      </w:r>
    </w:p>
    <w:p>
      <w:pPr>
        <w:pStyle w:val="Ruller5"/>
        <w:ind w:end="1282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5"/>
        <w:ind w:end="1282"/>
        <w:jc w:val="both"/>
        <w:rPr/>
      </w:pPr>
      <w:r>
        <w:rPr>
          <w:rtl w:val="true"/>
        </w:rPr>
        <w:t>"</w:t>
      </w:r>
      <w:r>
        <w:rPr>
          <w:rtl w:val="true"/>
        </w:rPr>
        <w:t>אדגיש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לגרסת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הנאשם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המאוחרת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שנמסרה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רק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בשלב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הסיכומים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ולפיה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רק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באוויר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אוכל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להאמין</w:t>
      </w:r>
      <w:r>
        <w:rPr>
          <w:rtl w:val="true"/>
        </w:rPr>
        <w:t xml:space="preserve">. </w:t>
      </w:r>
      <w:r>
        <w:rPr>
          <w:rtl w:val="true"/>
        </w:rPr>
        <w:t>הנאשם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עשה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רושם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אמין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לכל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אורך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עדותו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ובפועל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הסתבר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שיקר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במפורש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במהלך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עדותו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משפט</w:t>
      </w:r>
      <w:r>
        <w:rPr>
          <w:rtl w:val="true"/>
        </w:rPr>
        <w:t xml:space="preserve">, </w:t>
      </w:r>
      <w:r>
        <w:rPr>
          <w:rtl w:val="true"/>
        </w:rPr>
        <w:t>שכן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כפר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בנוכחותו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במקום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ולפתע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לאחר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סיכומי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המאשימה</w:t>
      </w:r>
      <w:r>
        <w:rPr>
          <w:rtl w:val="true"/>
        </w:rPr>
        <w:t xml:space="preserve">, </w:t>
      </w:r>
      <w:r>
        <w:rPr>
          <w:rtl w:val="true"/>
        </w:rPr>
        <w:t>הודה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נכח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במקום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ואף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ירה</w:t>
      </w:r>
      <w:r>
        <w:rPr>
          <w:rtl w:val="true"/>
        </w:rPr>
        <w:t xml:space="preserve">, </w:t>
      </w:r>
      <w:r>
        <w:rPr>
          <w:rtl w:val="true"/>
        </w:rPr>
        <w:t>עד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כדי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הפחדת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המתלונן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וגרימה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לבריחתו</w:t>
      </w:r>
      <w:r>
        <w:rPr>
          <w:rtl w:val="true"/>
        </w:rPr>
        <w:t>" (</w:t>
      </w:r>
      <w:r>
        <w:rPr>
          <w:rtl w:val="true"/>
        </w:rPr>
        <w:t>פסקה</w:t>
      </w:r>
      <w:r>
        <w:rPr>
          <w:rFonts w:eastAsia="Arial TUR;Arial" w:cs="Arial TUR;Arial"/>
          <w:rtl w:val="true"/>
        </w:rPr>
        <w:t xml:space="preserve"> </w:t>
      </w:r>
      <w:r>
        <w:rPr/>
        <w:t>79</w:t>
      </w:r>
      <w:r>
        <w:rPr>
          <w:rtl w:val="true"/>
        </w:rPr>
        <w:t xml:space="preserve"> </w:t>
      </w:r>
      <w:r>
        <w:rPr>
          <w:rtl w:val="true"/>
        </w:rPr>
        <w:t>להכרעת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>).</w:t>
      </w:r>
    </w:p>
    <w:p>
      <w:pPr>
        <w:pStyle w:val="Ruller5"/>
        <w:ind w:end="1282"/>
        <w:jc w:val="both"/>
        <w:rPr/>
      </w:pPr>
      <w:r>
        <w:rPr>
          <w:rtl w:val="true"/>
        </w:rPr>
      </w:r>
    </w:p>
    <w:p>
      <w:pPr>
        <w:pStyle w:val="Ruller42"/>
        <w:ind w:end="0"/>
        <w:jc w:val="both"/>
        <w:rPr/>
      </w:pPr>
      <w:r>
        <w:rPr>
          <w:rtl w:val="true"/>
        </w:rPr>
      </w:r>
    </w:p>
    <w:p>
      <w:pPr>
        <w:pStyle w:val="Ruller42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עוד</w:t>
      </w:r>
      <w:r>
        <w:rPr>
          <w:rFonts w:eastAsia="Arial TUR;Arial" w:cs="Arial TUR;Arial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ציין בית משפט קמא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כי 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הראיות לפגיעה ברכב הן ראיות נסיבתיות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אך הן מובילות למסקנה אחת אותה ניתן להסיק מעל לכל ספק</w:t>
      </w:r>
      <w:r>
        <w:rPr>
          <w:rFonts w:cs="Times New Roman" w:ascii="Times New Roman" w:hAnsi="Times New Roman"/>
          <w:rtl w:val="true"/>
        </w:rPr>
        <w:t xml:space="preserve">". </w:t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  <w:tab/>
      </w:r>
      <w:r>
        <w:rPr>
          <w:rFonts w:ascii="Times New Roman" w:hAnsi="Times New Roman" w:cs="Times New Roman"/>
          <w:rtl w:val="true"/>
        </w:rPr>
        <w:t>קיצורו של דבר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שהרשעתו של המערער בירי אל עבר הרכב התבססה על עדותו האמינה של המתלונן ועל סימני הפגיעה ברכבו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כפי שהשתקפו מתמונות הרכב ומהתיעוד המשטרתי שנערך בתחנת המשטרה בסמוך למועד האירוע</w:t>
      </w:r>
      <w:r>
        <w:rPr>
          <w:rFonts w:cs="Times New Roman" w:ascii="Times New Roman" w:hAnsi="Times New Roman"/>
          <w:rtl w:val="true"/>
        </w:rPr>
        <w:t xml:space="preserve">. </w:t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  <w:tab/>
      </w:r>
    </w:p>
    <w:p>
      <w:pPr>
        <w:pStyle w:val="Ruller42"/>
        <w:ind w:end="0"/>
        <w:jc w:val="both"/>
        <w:rPr/>
      </w:pPr>
      <w:r>
        <w:rPr/>
        <w:t>9</w:t>
      </w:r>
      <w:r>
        <w:rPr>
          <w:rtl w:val="true"/>
        </w:rPr>
        <w:t>.</w:t>
        <w:tab/>
      </w:r>
      <w:r>
        <w:rPr>
          <w:rtl w:val="true"/>
        </w:rPr>
        <w:t>הנה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הכרעתו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קמא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מבוססת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ממצאי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עובדה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ומהימנות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הגיונם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דברים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נוכח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הראיות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הנסיבתיות</w:t>
      </w:r>
      <w:r>
        <w:rPr>
          <w:rtl w:val="true"/>
        </w:rPr>
        <w:t xml:space="preserve">. </w:t>
      </w:r>
    </w:p>
    <w:p>
      <w:pPr>
        <w:pStyle w:val="Ruller42"/>
        <w:ind w:end="0"/>
        <w:jc w:val="both"/>
        <w:rPr/>
      </w:pPr>
      <w:r>
        <w:rPr>
          <w:rtl w:val="true"/>
        </w:rPr>
      </w:r>
    </w:p>
    <w:p>
      <w:pPr>
        <w:pStyle w:val="Ruller42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אקדים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ואזכיר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הכלל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לפיו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דרכה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ערכאת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ערעור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להתערב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בממצאי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עובדה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ומהימנות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שנקבעו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ידי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הערכאה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הדיונית</w:t>
      </w:r>
      <w:r>
        <w:rPr>
          <w:rtl w:val="true"/>
        </w:rPr>
        <w:t xml:space="preserve">, </w:t>
      </w:r>
      <w:r>
        <w:rPr>
          <w:rtl w:val="true"/>
        </w:rPr>
        <w:t>המתרשמת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מהעדים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באופן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בלתי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אמצעי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במקרים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חריגים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שאינם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מתקיימים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בענייננו</w:t>
      </w:r>
      <w:r>
        <w:rPr>
          <w:rtl w:val="true"/>
        </w:rPr>
        <w:t xml:space="preserve">. </w:t>
      </w:r>
    </w:p>
    <w:p>
      <w:pPr>
        <w:pStyle w:val="Ruller42"/>
        <w:ind w:end="0"/>
        <w:jc w:val="both"/>
        <w:rPr/>
      </w:pPr>
      <w:r>
        <w:rPr>
          <w:rtl w:val="true"/>
        </w:rPr>
      </w:r>
    </w:p>
    <w:p>
      <w:pPr>
        <w:pStyle w:val="Ruller42"/>
        <w:ind w:end="0"/>
        <w:jc w:val="both"/>
        <w:rPr/>
      </w:pPr>
      <w:r>
        <w:rPr/>
        <w:t>10</w:t>
      </w:r>
      <w:r>
        <w:rPr>
          <w:rtl w:val="true"/>
        </w:rPr>
        <w:t>.</w:t>
        <w:tab/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הגרסה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הכבושה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והחלופית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של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כאמור</w:t>
      </w:r>
      <w:r>
        <w:rPr>
          <w:rtl w:val="true"/>
        </w:rPr>
        <w:t xml:space="preserve">, </w:t>
      </w:r>
      <w:r>
        <w:rPr>
          <w:rtl w:val="true"/>
        </w:rPr>
        <w:t>רק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בשלב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הסיכומים</w:t>
      </w:r>
      <w:r>
        <w:rPr>
          <w:rtl w:val="true"/>
        </w:rPr>
        <w:t xml:space="preserve">, </w:t>
      </w:r>
      <w:r>
        <w:rPr>
          <w:rtl w:val="true"/>
        </w:rPr>
        <w:t>שינה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גרסתו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מכפירה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גורפת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בנוכחותו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בזירת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האירוע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לגרסה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לפיה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רק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באוויר</w:t>
      </w:r>
      <w:r>
        <w:rPr>
          <w:rtl w:val="true"/>
        </w:rPr>
        <w:t xml:space="preserve">. </w:t>
      </w:r>
      <w:r>
        <w:rPr>
          <w:rtl w:val="true"/>
        </w:rPr>
        <w:t>כפי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שציין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, </w:t>
      </w:r>
      <w:r>
        <w:rPr>
          <w:rtl w:val="true"/>
        </w:rPr>
        <w:t>בכך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נמנע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מהמאשימה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לחקור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אותו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בחקירה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נגדית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גרסתו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החדשה</w:t>
      </w:r>
      <w:r>
        <w:rPr>
          <w:rtl w:val="true"/>
        </w:rPr>
        <w:t xml:space="preserve">. </w:t>
      </w:r>
      <w:r>
        <w:rPr>
          <w:rtl w:val="true"/>
        </w:rPr>
        <w:t>המדובר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בגרסה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כבושה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משקלה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המועט</w:t>
      </w:r>
      <w:r>
        <w:rPr>
          <w:rtl w:val="true"/>
        </w:rPr>
        <w:t xml:space="preserve">, </w:t>
      </w:r>
      <w:r>
        <w:rPr>
          <w:rtl w:val="true"/>
        </w:rPr>
        <w:t>והן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בקו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הגנה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חלופי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שהועלה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רק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בשלב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הסיכומים</w:t>
      </w:r>
      <w:r>
        <w:rPr>
          <w:rtl w:val="true"/>
        </w:rPr>
        <w:t xml:space="preserve">. </w:t>
      </w:r>
    </w:p>
    <w:p>
      <w:pPr>
        <w:pStyle w:val="Ruller42"/>
        <w:ind w:end="0"/>
        <w:jc w:val="both"/>
        <w:rPr/>
      </w:pPr>
      <w:r>
        <w:rPr>
          <w:rtl w:val="true"/>
        </w:rPr>
      </w:r>
    </w:p>
    <w:p>
      <w:pPr>
        <w:pStyle w:val="Ruller42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נאשם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שטען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לאורך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ההליך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המשפטי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נכח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כלל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במקום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האירוע</w:t>
      </w:r>
      <w:r>
        <w:rPr>
          <w:rtl w:val="true"/>
        </w:rPr>
        <w:t xml:space="preserve">, </w:t>
      </w:r>
      <w:r>
        <w:rPr>
          <w:rtl w:val="true"/>
        </w:rPr>
        <w:t>ורק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בשלב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הסיכומים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מודה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באוויר</w:t>
      </w:r>
      <w:r>
        <w:rPr>
          <w:rtl w:val="true"/>
        </w:rPr>
        <w:t xml:space="preserve">, </w:t>
      </w:r>
      <w:r>
        <w:rPr>
          <w:rtl w:val="true"/>
        </w:rPr>
        <w:t>אינו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מצטייר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כנאשם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אשר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הרכיבו</w:t>
      </w:r>
      <w:r>
        <w:rPr>
          <w:rtl w:val="true"/>
        </w:rPr>
        <w:t xml:space="preserve">" </w:t>
      </w:r>
      <w:r>
        <w:rPr>
          <w:rtl w:val="true"/>
        </w:rPr>
        <w:t>לו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תיק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כלשונו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eastAsia="Arial TUR;Arial" w:cs="Arial TUR;Arial"/>
          <w:rtl w:val="true"/>
        </w:rPr>
        <w:t xml:space="preserve"> </w:t>
      </w:r>
      <w:r>
        <w:rPr/>
        <w:t>94</w:t>
      </w:r>
      <w:r>
        <w:rPr>
          <w:rtl w:val="true"/>
        </w:rPr>
        <w:t xml:space="preserve"> </w:t>
      </w:r>
      <w:r>
        <w:rPr>
          <w:rtl w:val="true"/>
        </w:rPr>
        <w:t>להכרעת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). </w:t>
      </w:r>
      <w:r>
        <w:rPr>
          <w:rtl w:val="true"/>
        </w:rPr>
        <w:t>הסוגיה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העלאת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טענות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חלופיות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בשלבים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מתקדמים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המשפט</w:t>
      </w:r>
      <w:r>
        <w:rPr>
          <w:rtl w:val="true"/>
        </w:rPr>
        <w:t xml:space="preserve">, </w:t>
      </w:r>
      <w:r>
        <w:rPr>
          <w:rtl w:val="true"/>
        </w:rPr>
        <w:t>היא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שאלה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מורכבת</w:t>
      </w:r>
      <w:r>
        <w:rPr>
          <w:rtl w:val="true"/>
        </w:rPr>
        <w:t xml:space="preserve">, </w:t>
      </w:r>
      <w:r>
        <w:rPr>
          <w:rtl w:val="true"/>
        </w:rPr>
        <w:t>ואת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הגישות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השונות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בסוגיה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זו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ניתחה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בהרחבה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השופטת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נאור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</w:t>
      </w:r>
      <w:hyperlink r:id="rId28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3372/11</w:t>
        </w:r>
      </w:hyperlink>
      <w:r>
        <w:rPr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קצב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פורסם</w:t>
      </w:r>
      <w:r>
        <w:rPr>
          <w:rtl w:val="true"/>
        </w:rPr>
        <w:t xml:space="preserve">, </w:t>
      </w:r>
      <w:r>
        <w:rPr/>
        <w:t>10.11.2011</w:t>
      </w:r>
      <w:r>
        <w:rPr>
          <w:rtl w:val="true"/>
        </w:rPr>
        <w:t xml:space="preserve">): </w:t>
      </w:r>
    </w:p>
    <w:p>
      <w:pPr>
        <w:pStyle w:val="Ruller42"/>
        <w:ind w:end="0"/>
        <w:jc w:val="both"/>
        <w:rPr/>
      </w:pPr>
      <w:r>
        <w:rPr>
          <w:rtl w:val="true"/>
        </w:rPr>
      </w:r>
    </w:p>
    <w:p>
      <w:pPr>
        <w:pStyle w:val="Ruller5"/>
        <w:ind w:end="1282"/>
        <w:jc w:val="both"/>
        <w:rPr/>
      </w:pPr>
      <w:r>
        <w:rPr>
          <w:rtl w:val="true"/>
        </w:rPr>
        <w:t>"</w:t>
      </w:r>
      <w:r>
        <w:rPr>
          <w:rtl w:val="true"/>
        </w:rPr>
        <w:t>בעניין</w:t>
      </w:r>
      <w:r>
        <w:rPr>
          <w:rFonts w:eastAsia="Arial TUR;Arial" w:cs="Arial TUR;Arial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רפאילוב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ציינתי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לזהות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בפסיקה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שלוש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גישות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מרכזיות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בעניין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אפשרות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בחינת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טענה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חלופית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מערערים</w:t>
      </w:r>
      <w:r>
        <w:rPr>
          <w:rtl w:val="true"/>
        </w:rPr>
        <w:t xml:space="preserve">. </w:t>
      </w:r>
      <w:r>
        <w:rPr>
          <w:rtl w:val="true"/>
        </w:rPr>
        <w:t>גישה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אחת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שוללת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הצגתן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גרסאות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עובדתיות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הוצגו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בפני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הערכאה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הדיונית</w:t>
      </w:r>
      <w:r>
        <w:rPr>
          <w:rtl w:val="true"/>
        </w:rPr>
        <w:t xml:space="preserve">. </w:t>
      </w:r>
      <w:r>
        <w:rPr>
          <w:rtl w:val="true"/>
        </w:rPr>
        <w:t>גישה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שנייה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מאפשרת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לבחון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גרסאות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עובדתיות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חלופיות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אולם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גרסאות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אלה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יבססו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ספק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סביר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רק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במקום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שבו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סבירות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די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בכך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שמדובר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בגרסאות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אפשריות</w:t>
      </w:r>
      <w:r>
        <w:rPr>
          <w:rtl w:val="true"/>
        </w:rPr>
        <w:t xml:space="preserve">. </w:t>
      </w:r>
      <w:r>
        <w:rPr>
          <w:rtl w:val="true"/>
        </w:rPr>
        <w:t>הגישה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השלישית</w:t>
      </w:r>
      <w:r>
        <w:rPr>
          <w:rtl w:val="true"/>
        </w:rPr>
        <w:t xml:space="preserve">, </w:t>
      </w:r>
      <w:r>
        <w:rPr>
          <w:rtl w:val="true"/>
        </w:rPr>
        <w:t>היא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גישת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ביניים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שתי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הגישות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האחרות</w:t>
      </w:r>
      <w:r>
        <w:rPr>
          <w:rtl w:val="true"/>
        </w:rPr>
        <w:t xml:space="preserve">. </w:t>
      </w:r>
      <w:r>
        <w:rPr>
          <w:rtl w:val="true"/>
        </w:rPr>
        <w:t>הערתי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'</w:t>
      </w:r>
      <w:r>
        <w:rPr>
          <w:rtl w:val="true"/>
        </w:rPr>
        <w:t>אפשר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והגישות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השונות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מוכתבות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ידי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מערכות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שונות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עובדות</w:t>
      </w:r>
      <w:r>
        <w:rPr>
          <w:rtl w:val="true"/>
        </w:rPr>
        <w:t xml:space="preserve">'. </w:t>
      </w:r>
      <w:r>
        <w:rPr>
          <w:rtl w:val="true"/>
        </w:rPr>
        <w:t>הדגשתי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שלושת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הגישות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יכול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להיות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ספק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אותם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קווי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הגנה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חלופיים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צריכים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להיות</w:t>
      </w:r>
      <w:r>
        <w:rPr>
          <w:rFonts w:eastAsia="Arial TUR;Arial" w:cs="Arial TUR;Arial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מעוגנים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בראיות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וסבירים</w:t>
      </w:r>
      <w:r>
        <w:rPr>
          <w:rtl w:val="true"/>
        </w:rPr>
        <w:t>."(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eastAsia="Arial TUR;Arial" w:cs="Arial TUR;Arial"/>
          <w:rtl w:val="true"/>
        </w:rPr>
        <w:t xml:space="preserve"> </w:t>
      </w:r>
      <w:r>
        <w:rPr/>
        <w:t>165</w:t>
      </w:r>
      <w:r>
        <w:rPr>
          <w:rtl w:val="true"/>
        </w:rPr>
        <w:t xml:space="preserve"> </w:t>
      </w:r>
      <w:r>
        <w:rPr>
          <w:rtl w:val="true"/>
        </w:rPr>
        <w:t>הדגשה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במקור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</w:t>
      </w:r>
      <w:r>
        <w:rPr>
          <w:rtl w:val="true"/>
        </w:rPr>
        <w:t>.</w:t>
      </w:r>
      <w:r>
        <w:rPr>
          <w:rtl w:val="true"/>
        </w:rPr>
        <w:t>ע</w:t>
      </w:r>
      <w:r>
        <w:rPr>
          <w:rtl w:val="true"/>
        </w:rPr>
        <w:t>.).</w:t>
      </w:r>
    </w:p>
    <w:p>
      <w:pPr>
        <w:pStyle w:val="Ruller42"/>
        <w:ind w:end="0"/>
        <w:jc w:val="both"/>
        <w:rPr/>
      </w:pPr>
      <w:r>
        <w:rPr>
          <w:rtl w:val="true"/>
        </w:rPr>
      </w:r>
    </w:p>
    <w:p>
      <w:pPr>
        <w:pStyle w:val="Ruller42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ובהמשך</w:t>
      </w:r>
      <w:r>
        <w:rPr>
          <w:rtl w:val="true"/>
        </w:rPr>
        <w:t>:</w:t>
      </w:r>
    </w:p>
    <w:p>
      <w:pPr>
        <w:pStyle w:val="Ruller5"/>
        <w:ind w:end="1282"/>
        <w:jc w:val="both"/>
        <w:rPr/>
      </w:pPr>
      <w:r>
        <w:rPr>
          <w:rtl w:val="true"/>
        </w:rPr>
      </w:r>
    </w:p>
    <w:p>
      <w:pPr>
        <w:pStyle w:val="Ruller5"/>
        <w:ind w:end="1282"/>
        <w:jc w:val="both"/>
        <w:rPr/>
      </w:pPr>
      <w:r>
        <w:rPr>
          <w:rtl w:val="true"/>
        </w:rPr>
        <w:t>"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הנאשם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צריך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להוכיח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הגנתו</w:t>
      </w:r>
      <w:r>
        <w:rPr>
          <w:rtl w:val="true"/>
        </w:rPr>
        <w:t xml:space="preserve">. </w:t>
      </w:r>
      <w:r>
        <w:rPr>
          <w:rtl w:val="true"/>
        </w:rPr>
        <w:t>הנטל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להוכיח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האשמה</w:t>
      </w:r>
      <w:r>
        <w:rPr>
          <w:rtl w:val="true"/>
        </w:rPr>
        <w:t xml:space="preserve">, </w:t>
      </w:r>
      <w:r>
        <w:rPr>
          <w:rtl w:val="true"/>
        </w:rPr>
        <w:t>מעבר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לכל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ספק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סביר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מוטל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המאשימה</w:t>
      </w:r>
      <w:r>
        <w:rPr>
          <w:rtl w:val="true"/>
        </w:rPr>
        <w:t xml:space="preserve">. </w:t>
      </w:r>
      <w:r>
        <w:rPr>
          <w:rtl w:val="true"/>
        </w:rPr>
        <w:t>ואולם</w:t>
      </w:r>
      <w:r>
        <w:rPr>
          <w:rtl w:val="true"/>
        </w:rPr>
        <w:t xml:space="preserve">, </w:t>
      </w:r>
      <w:r>
        <w:rPr>
          <w:rtl w:val="true"/>
        </w:rPr>
        <w:t>אם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הנאשם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אינו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מעיד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כלל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להגנתו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לכך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תוצאות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אפשריות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מכוח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הדין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ראו</w:t>
      </w:r>
      <w:r>
        <w:rPr>
          <w:rtl w:val="true"/>
        </w:rPr>
        <w:t xml:space="preserve">: </w:t>
      </w:r>
      <w:r>
        <w:rPr>
          <w:rtl w:val="true"/>
        </w:rPr>
        <w:t>סעיף</w:t>
      </w:r>
      <w:r>
        <w:rPr>
          <w:rFonts w:eastAsia="Arial TUR;Arial" w:cs="Arial TUR;Arial"/>
          <w:rtl w:val="true"/>
        </w:rPr>
        <w:t xml:space="preserve"> </w:t>
      </w:r>
      <w:r>
        <w:rPr/>
        <w:t>162</w:t>
      </w:r>
      <w:r>
        <w:rPr>
          <w:rtl w:val="true"/>
        </w:rPr>
        <w:t xml:space="preserve"> </w:t>
      </w:r>
      <w:r>
        <w:rPr>
          <w:rtl w:val="true"/>
        </w:rPr>
        <w:t>ל</w:t>
      </w:r>
      <w:hyperlink r:id="rId29">
        <w:r>
          <w:rPr>
            <w:rStyle w:val="Hyperlink"/>
            <w:rtl w:val="true"/>
          </w:rPr>
          <w:t>חוק</w:t>
        </w:r>
        <w:r>
          <w:rPr>
            <w:rStyle w:val="Hyperlink"/>
            <w:rFonts w:eastAsia="Arial TUR;Arial" w:cs="Arial TUR;Arial"/>
            <w:rtl w:val="true"/>
          </w:rPr>
          <w:t xml:space="preserve"> </w:t>
        </w:r>
        <w:r>
          <w:rPr>
            <w:rStyle w:val="Hyperlink"/>
            <w:rtl w:val="true"/>
          </w:rPr>
          <w:t>סדר</w:t>
        </w:r>
        <w:r>
          <w:rPr>
            <w:rStyle w:val="Hyperlink"/>
            <w:rFonts w:eastAsia="Arial TUR;Arial" w:cs="Arial TUR;Arial"/>
            <w:rtl w:val="true"/>
          </w:rPr>
          <w:t xml:space="preserve"> </w:t>
        </w:r>
        <w:r>
          <w:rPr>
            <w:rStyle w:val="Hyperlink"/>
            <w:rtl w:val="true"/>
          </w:rPr>
          <w:t>הדין</w:t>
        </w:r>
        <w:r>
          <w:rPr>
            <w:rStyle w:val="Hyperlink"/>
            <w:rFonts w:eastAsia="Arial TUR;Arial" w:cs="Arial TUR;Arial"/>
            <w:rtl w:val="true"/>
          </w:rPr>
          <w:t xml:space="preserve"> </w:t>
        </w:r>
        <w:r>
          <w:rPr>
            <w:rStyle w:val="Hyperlink"/>
            <w:rtl w:val="true"/>
          </w:rPr>
          <w:t>הפלילי</w:t>
        </w:r>
      </w:hyperlink>
      <w:r>
        <w:rPr>
          <w:rtl w:val="true"/>
        </w:rPr>
        <w:t xml:space="preserve">). </w:t>
      </w:r>
      <w:r>
        <w:rPr>
          <w:rtl w:val="true"/>
        </w:rPr>
        <w:t>גם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לשתיקה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בחקירה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'</w:t>
      </w:r>
      <w:r>
        <w:rPr>
          <w:rtl w:val="true"/>
        </w:rPr>
        <w:t>מחיר</w:t>
      </w:r>
      <w:r>
        <w:rPr>
          <w:rtl w:val="true"/>
        </w:rPr>
        <w:t xml:space="preserve">' </w:t>
      </w:r>
      <w:r>
        <w:rPr>
          <w:rtl w:val="true"/>
        </w:rPr>
        <w:t>טבעי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ההיבט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הראייתי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 xml:space="preserve">[...]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בדומה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,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כשנאשם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בוחר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להרחיק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עדותו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ולהכחיש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הכחשה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גורפת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עשוי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להיות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לכך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מחיר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ראייתי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 xml:space="preserve">[...] </w:t>
      </w:r>
      <w:r>
        <w:rPr>
          <w:rtl w:val="true"/>
        </w:rPr>
        <w:t>נאשם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אינו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מורשע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בגין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שקריו</w:t>
      </w:r>
      <w:r>
        <w:rPr>
          <w:rtl w:val="true"/>
        </w:rPr>
        <w:t xml:space="preserve">. </w:t>
      </w:r>
      <w:r>
        <w:rPr>
          <w:rtl w:val="true"/>
        </w:rPr>
        <w:t>הוא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מורשע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בגין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ראיות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מהימנות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הקיימות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נגדו</w:t>
      </w:r>
      <w:r>
        <w:rPr>
          <w:rtl w:val="true"/>
        </w:rPr>
        <w:t>. [...]</w:t>
      </w:r>
    </w:p>
    <w:p>
      <w:pPr>
        <w:pStyle w:val="Ruller5"/>
        <w:ind w:end="1282"/>
        <w:jc w:val="both"/>
        <w:rPr/>
      </w:pPr>
      <w:r>
        <w:rPr>
          <w:rtl w:val="true"/>
        </w:rPr>
      </w:r>
    </w:p>
    <w:p>
      <w:pPr>
        <w:pStyle w:val="Ruller5"/>
        <w:ind w:end="1282"/>
        <w:jc w:val="both"/>
        <w:rPr/>
      </w:pPr>
      <w:r>
        <w:rPr>
          <w:rtl w:val="true"/>
        </w:rPr>
        <w:t>מסקנתנו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היא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מקום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להתערבות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בקביעת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הוכחו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יסודות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, </w:t>
      </w:r>
      <w:r>
        <w:rPr>
          <w:rtl w:val="true"/>
        </w:rPr>
        <w:t>או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בניסוח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אחר</w:t>
      </w:r>
      <w:r>
        <w:rPr>
          <w:rtl w:val="true"/>
        </w:rPr>
        <w:t xml:space="preserve">, </w:t>
      </w:r>
      <w:r>
        <w:rPr>
          <w:rtl w:val="true"/>
        </w:rPr>
        <w:t>בקביעתו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לדחות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הגנה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החלופי</w:t>
      </w:r>
      <w:r>
        <w:rPr>
          <w:rtl w:val="true"/>
        </w:rPr>
        <w:t>." (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פסקאות</w:t>
      </w:r>
      <w:r>
        <w:rPr>
          <w:rFonts w:eastAsia="Arial TUR;Arial" w:cs="Arial TUR;Arial"/>
          <w:rtl w:val="true"/>
        </w:rPr>
        <w:t xml:space="preserve"> </w:t>
      </w:r>
      <w:r>
        <w:rPr/>
        <w:t>182-181</w:t>
      </w:r>
      <w:r>
        <w:rPr>
          <w:rtl w:val="true"/>
        </w:rPr>
        <w:t xml:space="preserve">, </w:t>
      </w:r>
      <w:r>
        <w:rPr>
          <w:rtl w:val="true"/>
        </w:rPr>
        <w:t>הדגשה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הוספה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</w:t>
      </w:r>
      <w:r>
        <w:rPr>
          <w:rtl w:val="true"/>
        </w:rPr>
        <w:t>.</w:t>
      </w:r>
      <w:r>
        <w:rPr>
          <w:rtl w:val="true"/>
        </w:rPr>
        <w:t>ע</w:t>
      </w:r>
      <w:r>
        <w:rPr>
          <w:rtl w:val="true"/>
        </w:rPr>
        <w:t>.).</w:t>
      </w:r>
    </w:p>
    <w:p>
      <w:pPr>
        <w:pStyle w:val="Ruller5"/>
        <w:ind w:end="1282"/>
        <w:jc w:val="both"/>
        <w:rPr/>
      </w:pPr>
      <w:r>
        <w:rPr>
          <w:rtl w:val="true"/>
        </w:rPr>
      </w:r>
    </w:p>
    <w:p>
      <w:pPr>
        <w:pStyle w:val="Ruller42"/>
        <w:ind w:end="0"/>
        <w:jc w:val="both"/>
        <w:rPr/>
      </w:pPr>
      <w:r>
        <w:rPr>
          <w:rtl w:val="true"/>
        </w:rPr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tl w:val="true"/>
        </w:rPr>
        <w:tab/>
      </w:r>
      <w:r>
        <w:rPr>
          <w:rtl w:val="true"/>
        </w:rPr>
        <w:t>במקרה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דנן</w:t>
      </w:r>
      <w:r>
        <w:rPr>
          <w:rtl w:val="true"/>
        </w:rPr>
        <w:t xml:space="preserve">,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הציג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הסבר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מניח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הדעת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לתפנית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שחלה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בגרסתו</w:t>
      </w:r>
      <w:r>
        <w:rPr>
          <w:rtl w:val="true"/>
        </w:rPr>
        <w:t xml:space="preserve">, </w:t>
      </w:r>
      <w:r>
        <w:rPr>
          <w:rtl w:val="true"/>
        </w:rPr>
        <w:t>ולמעט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עדותו</w:t>
      </w:r>
      <w:r>
        <w:rPr>
          <w:rtl w:val="true"/>
        </w:rPr>
        <w:t xml:space="preserve">, </w:t>
      </w:r>
      <w:r>
        <w:rPr>
          <w:rtl w:val="true"/>
        </w:rPr>
        <w:t>שנמצאה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מהימנה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המשפט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הביא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ראיות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סבירות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המגבות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אותה</w:t>
      </w:r>
      <w:r>
        <w:rPr>
          <w:rtl w:val="true"/>
        </w:rPr>
        <w:t xml:space="preserve">. </w:t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tl w:val="true"/>
        </w:rPr>
        <w:tab/>
      </w:r>
    </w:p>
    <w:p>
      <w:pPr>
        <w:pStyle w:val="Ruller42"/>
        <w:ind w:end="0"/>
        <w:jc w:val="both"/>
        <w:rPr/>
      </w:pPr>
      <w:r>
        <w:rPr>
          <w:rFonts w:cs="Times New Roman" w:ascii="Times New Roman" w:hAnsi="Times New Roman"/>
        </w:rPr>
        <w:t>11</w:t>
      </w:r>
      <w:r>
        <w:rPr>
          <w:rFonts w:cs="Times New Roman" w:ascii="Times New Roman" w:hAnsi="Times New Roman"/>
          <w:rtl w:val="true"/>
        </w:rPr>
        <w:t>.</w:t>
        <w:tab/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טענת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המערער</w:t>
      </w:r>
      <w:r>
        <w:rPr>
          <w:rFonts w:ascii="Times New Roman" w:hAnsi="Times New Roman" w:cs="Times New Roman"/>
          <w:rtl w:val="true"/>
        </w:rPr>
        <w:t xml:space="preserve"> ל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היעדר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של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עדות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ראייה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להוכחת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היסוד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העובדתי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ותזה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חלופית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להימצאות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סימני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ירי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על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הרכב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- </w:t>
      </w:r>
      <w:r>
        <w:rPr>
          <w:rFonts w:ascii="Times New Roman" w:hAnsi="Times New Roman" w:cs="Times New Roman"/>
          <w:rtl w:val="true"/>
        </w:rPr>
        <w:t xml:space="preserve">המערער טען כי בהיעדרה של עדות ראייה ישירה לפיה הוא שירה לכיוון הרכב </w:t>
      </w:r>
      <w:r>
        <w:rPr>
          <w:rFonts w:cs="Times New Roman" w:ascii="Times New Roman" w:hAnsi="Times New Roman"/>
          <w:rtl w:val="true"/>
        </w:rPr>
        <w:t xml:space="preserve">- </w:t>
      </w:r>
      <w:r>
        <w:rPr>
          <w:rFonts w:ascii="Times New Roman" w:hAnsi="Times New Roman" w:cs="Times New Roman"/>
          <w:rtl w:val="true"/>
        </w:rPr>
        <w:t xml:space="preserve">להבדיל מירי לאוויר בו הודה </w:t>
      </w:r>
      <w:r>
        <w:rPr>
          <w:rFonts w:cs="Times New Roman" w:ascii="Times New Roman" w:hAnsi="Times New Roman"/>
          <w:rtl w:val="true"/>
        </w:rPr>
        <w:t xml:space="preserve">- </w:t>
      </w:r>
      <w:r>
        <w:rPr>
          <w:rFonts w:ascii="Times New Roman" w:hAnsi="Times New Roman" w:cs="Times New Roman"/>
          <w:rtl w:val="true"/>
        </w:rPr>
        <w:t>לא הוכח כנדרש היסוד העובדתי של העבירות מושא הערעור</w:t>
      </w:r>
      <w:r>
        <w:rPr>
          <w:rFonts w:cs="Times New Roman" w:ascii="Times New Roman" w:hAnsi="Times New Roman"/>
          <w:rtl w:val="true"/>
        </w:rPr>
        <w:t xml:space="preserve">. </w:t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  <w:tab/>
      </w:r>
      <w:r>
        <w:rPr>
          <w:rFonts w:ascii="Times New Roman" w:hAnsi="Times New Roman" w:cs="Times New Roman"/>
          <w:rtl w:val="true"/>
        </w:rPr>
        <w:t>אשר לסימני הקליעים בארגז הרכב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טען המערער כי ייתכן שהרכב נפגע טרם התקרית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או לאחריה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בין מועד האירועים נשוא התביעה לבין מועד צילום הרכב בתחנת המשטרה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לשיטתו של המערער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לא סביר שאדם יירה ארבעה כדורים ויפגע ארבע פעמים ברכב שנהגו נמצא בתוכו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מבלי שנהג הרכב ישמע או ירגיש זאת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ומשכך ייתכן כי הפגיעה לא התרחשה בעת שהנהג היה בתוך הרכב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עוד טען כי פגיעות הקליעים נמצאו בצידו הימני של הרכב הנפגע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מיקום בו המערער לא היה יכול לפגוע בשל הזווית ממנה ירה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בנוסף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זווית כניסת הקליעים לרכב מלמדת כי הם לא הגיעו מזווית אחת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כך שלא ייתכן שהמערער הוא זה שירה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ולמצער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לא הוא שירה את כל הכדורים </w:t>
      </w:r>
      <w:r>
        <w:rPr>
          <w:rFonts w:cs="Times New Roman" w:ascii="Times New Roman" w:hAnsi="Times New Roman"/>
          <w:rtl w:val="true"/>
        </w:rPr>
        <w:t>(</w:t>
      </w:r>
      <w:r>
        <w:rPr>
          <w:rFonts w:ascii="Times New Roman" w:hAnsi="Times New Roman" w:cs="Times New Roman"/>
          <w:rtl w:val="true"/>
        </w:rPr>
        <w:t>עמ</w:t>
      </w:r>
      <w:r>
        <w:rPr>
          <w:rFonts w:cs="Times New Roman" w:ascii="Times New Roman" w:hAnsi="Times New Roman"/>
          <w:rtl w:val="true"/>
        </w:rPr>
        <w:t xml:space="preserve">' </w:t>
      </w:r>
      <w:r>
        <w:rPr>
          <w:rFonts w:cs="Times New Roman" w:ascii="Times New Roman" w:hAnsi="Times New Roman"/>
        </w:rPr>
        <w:t>5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לפרוטוקול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שורות </w:t>
      </w:r>
      <w:r>
        <w:rPr>
          <w:rFonts w:cs="Times New Roman" w:ascii="Times New Roman" w:hAnsi="Times New Roman"/>
        </w:rPr>
        <w:t>10</w:t>
      </w:r>
      <w:r>
        <w:rPr>
          <w:rFonts w:cs="Times New Roman" w:ascii="Times New Roman" w:hAnsi="Times New Roman"/>
          <w:rtl w:val="true"/>
        </w:rPr>
        <w:t>–</w:t>
      </w:r>
      <w:r>
        <w:rPr>
          <w:rFonts w:cs="Times New Roman" w:ascii="Times New Roman" w:hAnsi="Times New Roman"/>
        </w:rPr>
        <w:t>11</w:t>
      </w:r>
      <w:r>
        <w:rPr>
          <w:rFonts w:cs="Times New Roman" w:ascii="Times New Roman" w:hAnsi="Times New Roman"/>
          <w:rtl w:val="true"/>
        </w:rPr>
        <w:t>).</w:t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12</w:t>
      </w:r>
      <w:r>
        <w:rPr>
          <w:rFonts w:cs="Times New Roman" w:ascii="Times New Roman" w:hAnsi="Times New Roman"/>
          <w:rtl w:val="true"/>
        </w:rPr>
        <w:t>.</w:t>
        <w:tab/>
      </w:r>
      <w:r>
        <w:rPr>
          <w:rFonts w:ascii="Times New Roman" w:hAnsi="Times New Roman" w:cs="Times New Roman"/>
          <w:rtl w:val="true"/>
        </w:rPr>
        <w:t>דין הטענות להידחות</w:t>
      </w:r>
      <w:r>
        <w:rPr>
          <w:rFonts w:cs="Times New Roman" w:ascii="Times New Roman" w:hAnsi="Times New Roman"/>
          <w:rtl w:val="true"/>
        </w:rPr>
        <w:t xml:space="preserve">. </w:t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  <w:tab/>
      </w:r>
      <w:r>
        <w:rPr>
          <w:rFonts w:ascii="Times New Roman" w:hAnsi="Times New Roman" w:cs="Times New Roman"/>
          <w:rtl w:val="true"/>
        </w:rPr>
        <w:t>אכן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אין עדות ראיה ישירה לפיה נראה המערער מכוון את הירי לעבר הרכב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וכפי שציין בית משפט קמא</w:t>
      </w:r>
      <w:r>
        <w:rPr>
          <w:rFonts w:cs="Times New Roman" w:ascii="Times New Roman" w:hAnsi="Times New Roman"/>
          <w:rtl w:val="true"/>
        </w:rPr>
        <w:t>: "</w:t>
      </w:r>
      <w:r>
        <w:rPr>
          <w:rFonts w:ascii="Times New Roman" w:hAnsi="Times New Roman" w:cs="Times New Roman"/>
          <w:rtl w:val="true"/>
        </w:rPr>
        <w:t xml:space="preserve">מר אבו חשיש </w:t>
      </w:r>
      <w:r>
        <w:rPr>
          <w:rFonts w:cs="Times New Roman" w:ascii="Times New Roman" w:hAnsi="Times New Roman"/>
          <w:rtl w:val="true"/>
        </w:rPr>
        <w:t>(</w:t>
      </w:r>
      <w:r>
        <w:rPr>
          <w:rFonts w:ascii="Times New Roman" w:hAnsi="Times New Roman" w:cs="Times New Roman"/>
          <w:rtl w:val="true"/>
        </w:rPr>
        <w:t>המתלונן – י</w:t>
      </w:r>
      <w:r>
        <w:rPr>
          <w:rFonts w:cs="Times New Roman" w:ascii="Times New Roman" w:hAnsi="Times New Roman"/>
          <w:rtl w:val="true"/>
        </w:rPr>
        <w:t>.</w:t>
      </w:r>
      <w:r>
        <w:rPr>
          <w:rFonts w:ascii="Times New Roman" w:hAnsi="Times New Roman" w:cs="Times New Roman"/>
          <w:rtl w:val="true"/>
        </w:rPr>
        <w:t>ע</w:t>
      </w:r>
      <w:r>
        <w:rPr>
          <w:rFonts w:cs="Times New Roman" w:ascii="Times New Roman" w:hAnsi="Times New Roman"/>
          <w:rtl w:val="true"/>
        </w:rPr>
        <w:t xml:space="preserve">.) </w:t>
      </w:r>
      <w:r>
        <w:rPr>
          <w:rFonts w:ascii="Times New Roman" w:hAnsi="Times New Roman" w:cs="Times New Roman"/>
          <w:rtl w:val="true"/>
        </w:rPr>
        <w:t>בהגינותו אישר כי לא ראה את הנאשם יורה לעבר רכבו</w:t>
      </w:r>
      <w:r>
        <w:rPr>
          <w:rFonts w:cs="Times New Roman" w:ascii="Times New Roman" w:hAnsi="Times New Roman"/>
          <w:rtl w:val="true"/>
        </w:rPr>
        <w:t xml:space="preserve">". </w:t>
      </w:r>
      <w:r>
        <w:rPr>
          <w:rFonts w:ascii="Times New Roman" w:hAnsi="Times New Roman" w:cs="Times New Roman"/>
          <w:rtl w:val="true"/>
        </w:rPr>
        <w:t>אלא שבארגז האחורי של הרכב נמצאו ארבעה סימני קליעים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כפי שעולה בבירור מהתמונה </w:t>
      </w:r>
      <w:r>
        <w:rPr>
          <w:rFonts w:cs="Times New Roman" w:ascii="Times New Roman" w:hAnsi="Times New Roman"/>
          <w:rtl w:val="true"/>
        </w:rPr>
        <w:t>(</w:t>
      </w:r>
      <w:r>
        <w:rPr>
          <w:rFonts w:ascii="Times New Roman" w:hAnsi="Times New Roman" w:cs="Times New Roman"/>
          <w:rtl w:val="true"/>
        </w:rPr>
        <w:t>ת</w:t>
      </w:r>
      <w:r>
        <w:rPr>
          <w:rFonts w:cs="Times New Roman" w:ascii="Times New Roman" w:hAnsi="Times New Roman"/>
          <w:rtl w:val="true"/>
        </w:rPr>
        <w:t>/</w:t>
      </w:r>
      <w:r>
        <w:rPr>
          <w:rFonts w:cs="Times New Roman" w:ascii="Times New Roman" w:hAnsi="Times New Roman"/>
        </w:rPr>
        <w:t>18</w:t>
      </w:r>
      <w:r>
        <w:rPr>
          <w:rFonts w:cs="Times New Roman" w:ascii="Times New Roman" w:hAnsi="Times New Roman"/>
          <w:rtl w:val="true"/>
        </w:rPr>
        <w:t xml:space="preserve">) </w:t>
      </w:r>
      <w:r>
        <w:rPr>
          <w:rFonts w:ascii="Times New Roman" w:hAnsi="Times New Roman" w:cs="Times New Roman"/>
          <w:rtl w:val="true"/>
        </w:rPr>
        <w:t>ובית משפט קמא קבע כממצא עובדתי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כי בדיקת הרכב על ידי השוטר נעשתה כעשר דקות לאחר שהמתלונן עזב את חצר המערער וקשה להלום כי בפרק זמן זה מאן דהוא אחר ירה ברכב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מסקנה זו מתיישבת עם הגיונם של דברים ואיני רואה להתערב בה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גם הטענה שהרכב נפגע מקליעי ירי עוד בטרם התאונה בלא ידיעת בעליו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אינה מתיישבת עם הגיונם של דברים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ובשל השלב המאוחר בהליך המשפטי בו הועלתה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לא הוכחה ואף לא ניתנה למשיבה הזדמנות להפריך אותה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 xml:space="preserve">כך גם לגבי טענותיו של המערער לגבי זווית הירי </w:t>
      </w:r>
      <w:r>
        <w:rPr>
          <w:rFonts w:cs="Times New Roman" w:ascii="Times New Roman" w:hAnsi="Times New Roman"/>
          <w:rtl w:val="true"/>
        </w:rPr>
        <w:t xml:space="preserve">- </w:t>
      </w:r>
      <w:r>
        <w:rPr>
          <w:rFonts w:ascii="Times New Roman" w:hAnsi="Times New Roman" w:cs="Times New Roman"/>
          <w:rtl w:val="true"/>
        </w:rPr>
        <w:t>משנמנע מהמשיבה לחקור את המערער או להביא ראיות נוספות לעניין מיקומו המדויק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זווית הירי וזווית חדירת הקליעים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מנוע המערער בשלב זה של המשפט מלהציע תיאוריות שלא ניתנה למשיבה ההזדמנות לבחון או לסתור במהלך המשפט</w:t>
      </w:r>
      <w:r>
        <w:rPr>
          <w:rFonts w:cs="Times New Roman" w:ascii="Times New Roman" w:hAnsi="Times New Roman"/>
          <w:rtl w:val="true"/>
        </w:rPr>
        <w:t xml:space="preserve">. </w:t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2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אף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איני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רואה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ממש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בטענת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הרכב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צולם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ידי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צלם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פרטי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ידי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אנשי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הזיהוי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הפלילי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הוכח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היסוד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הנפשי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והעובדתי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העבירות</w:t>
      </w:r>
      <w:r>
        <w:rPr>
          <w:rtl w:val="true"/>
        </w:rPr>
        <w:t xml:space="preserve">. </w:t>
      </w:r>
    </w:p>
    <w:p>
      <w:pPr>
        <w:pStyle w:val="Ruller42"/>
        <w:ind w:end="0"/>
        <w:jc w:val="both"/>
        <w:rPr/>
      </w:pPr>
      <w:r>
        <w:rPr>
          <w:rtl w:val="true"/>
        </w:rPr>
      </w:r>
    </w:p>
    <w:p>
      <w:pPr>
        <w:pStyle w:val="Ruller42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כפי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שציין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, </w:t>
      </w:r>
      <w:r>
        <w:rPr>
          <w:rtl w:val="true"/>
        </w:rPr>
        <w:t>גם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חפץ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בתוצאה</w:t>
      </w:r>
      <w:r>
        <w:rPr>
          <w:rtl w:val="true"/>
        </w:rPr>
        <w:t xml:space="preserve">, </w:t>
      </w:r>
      <w:r>
        <w:rPr>
          <w:rtl w:val="true"/>
        </w:rPr>
        <w:t>הרי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שירה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יריות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מאקדח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לעבר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נוסע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ברכב</w:t>
      </w:r>
      <w:r>
        <w:rPr>
          <w:rtl w:val="true"/>
        </w:rPr>
        <w:t xml:space="preserve">, </w:t>
      </w:r>
      <w:r>
        <w:rPr>
          <w:rtl w:val="true"/>
        </w:rPr>
        <w:t>רואים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אותו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כמי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שהתכוון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לתוצאה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הטבעיות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מעשיו</w:t>
      </w:r>
      <w:r>
        <w:rPr>
          <w:rtl w:val="true"/>
        </w:rPr>
        <w:t xml:space="preserve">. </w:t>
      </w:r>
      <w:r>
        <w:rPr>
          <w:rtl w:val="true"/>
        </w:rPr>
        <w:t>מכאן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בדין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הורשע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חבלה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בכוונה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מחמירה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;Arial" w:cs="Arial TUR;Arial"/>
          <w:rtl w:val="true"/>
        </w:rPr>
        <w:t xml:space="preserve"> </w:t>
      </w:r>
      <w:hyperlink r:id="rId30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329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א</w:t>
        </w:r>
        <w:r>
          <w:rPr>
            <w:rStyle w:val="Hyperlink"/>
            <w:color w:val="0000FF"/>
            <w:u w:val="single"/>
            <w:rtl w:val="true"/>
          </w:rPr>
          <w:t>)(</w:t>
        </w:r>
        <w:r>
          <w:rPr>
            <w:rStyle w:val="Hyperlink"/>
            <w:color w:val="0000FF"/>
            <w:u w:val="single"/>
          </w:rPr>
          <w:t>2</w:t>
        </w:r>
        <w:r>
          <w:rPr>
            <w:rStyle w:val="Hyperlink"/>
            <w:color w:val="0000FF"/>
            <w:u w:val="single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hyperlink r:id="rId31">
        <w:r>
          <w:rPr>
            <w:rStyle w:val="Hyperlink"/>
            <w:rtl w:val="true"/>
          </w:rPr>
          <w:t>חוק</w:t>
        </w:r>
        <w:r>
          <w:rPr>
            <w:rStyle w:val="Hyperlink"/>
            <w:rFonts w:eastAsia="Arial TUR;Arial" w:cs="Arial TUR;Arial"/>
            <w:rtl w:val="true"/>
          </w:rPr>
          <w:t xml:space="preserve"> </w:t>
        </w:r>
        <w:r>
          <w:rPr>
            <w:rStyle w:val="Hyperlink"/>
            <w:rtl w:val="true"/>
          </w:rPr>
          <w:t>העונשין</w:t>
        </w:r>
      </w:hyperlink>
      <w:r>
        <w:rPr>
          <w:rtl w:val="true"/>
        </w:rPr>
        <w:t xml:space="preserve">, </w:t>
      </w:r>
      <w:r>
        <w:rPr>
          <w:rtl w:val="true"/>
        </w:rPr>
        <w:t>עבירה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שאינה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תוצאתית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כפי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שעולה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מלשון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הסעיף</w:t>
      </w:r>
      <w:r>
        <w:rPr>
          <w:rtl w:val="true"/>
        </w:rPr>
        <w:t xml:space="preserve">: </w:t>
      </w:r>
      <w:r>
        <w:rPr>
          <w:rFonts w:cs="Times New Roman" w:ascii="Times New Roman" w:hAnsi="Times New Roman"/>
          <w:rtl w:val="true"/>
        </w:rPr>
        <w:t>"</w:t>
      </w:r>
      <w:r>
        <w:rPr>
          <w:rStyle w:val="default"/>
          <w:sz w:val="22"/>
          <w:sz w:val="22"/>
          <w:szCs w:val="28"/>
          <w:rtl w:val="true"/>
        </w:rPr>
        <w:t>העושה</w:t>
      </w:r>
      <w:r>
        <w:rPr>
          <w:rStyle w:val="default"/>
          <w:rFonts w:eastAsia="Arial TUR;Arial"/>
          <w:sz w:val="22"/>
          <w:sz w:val="22"/>
          <w:szCs w:val="28"/>
          <w:rtl w:val="true"/>
        </w:rPr>
        <w:t xml:space="preserve"> </w:t>
      </w:r>
      <w:r>
        <w:rPr>
          <w:rStyle w:val="default"/>
          <w:sz w:val="22"/>
          <w:sz w:val="22"/>
          <w:szCs w:val="28"/>
          <w:rtl w:val="true"/>
        </w:rPr>
        <w:t>אחת</w:t>
      </w:r>
      <w:r>
        <w:rPr>
          <w:rStyle w:val="default"/>
          <w:rFonts w:eastAsia="Arial TUR;Arial"/>
          <w:sz w:val="22"/>
          <w:sz w:val="22"/>
          <w:szCs w:val="28"/>
          <w:rtl w:val="true"/>
        </w:rPr>
        <w:t xml:space="preserve"> </w:t>
      </w:r>
      <w:r>
        <w:rPr>
          <w:rStyle w:val="default"/>
          <w:sz w:val="22"/>
          <w:sz w:val="22"/>
          <w:szCs w:val="28"/>
          <w:rtl w:val="true"/>
        </w:rPr>
        <w:t>מאלה</w:t>
      </w:r>
      <w:r>
        <w:rPr>
          <w:rStyle w:val="default"/>
          <w:rFonts w:eastAsia="Arial TUR;Arial"/>
          <w:sz w:val="22"/>
          <w:sz w:val="22"/>
          <w:szCs w:val="28"/>
          <w:rtl w:val="true"/>
        </w:rPr>
        <w:t xml:space="preserve"> </w:t>
      </w:r>
      <w:r>
        <w:rPr>
          <w:rStyle w:val="default"/>
          <w:sz w:val="22"/>
          <w:sz w:val="22"/>
          <w:szCs w:val="28"/>
          <w:rtl w:val="true"/>
        </w:rPr>
        <w:t>בכוונה</w:t>
      </w:r>
      <w:r>
        <w:rPr>
          <w:rStyle w:val="default"/>
          <w:rFonts w:eastAsia="Arial TUR;Arial"/>
          <w:sz w:val="22"/>
          <w:sz w:val="22"/>
          <w:szCs w:val="28"/>
          <w:rtl w:val="true"/>
        </w:rPr>
        <w:t xml:space="preserve"> </w:t>
      </w:r>
      <w:r>
        <w:rPr>
          <w:rStyle w:val="default"/>
          <w:sz w:val="22"/>
          <w:sz w:val="22"/>
          <w:szCs w:val="28"/>
          <w:rtl w:val="true"/>
        </w:rPr>
        <w:t>להטיל</w:t>
      </w:r>
      <w:r>
        <w:rPr>
          <w:rStyle w:val="default"/>
          <w:rFonts w:eastAsia="Arial TUR;Arial"/>
          <w:sz w:val="22"/>
          <w:sz w:val="22"/>
          <w:szCs w:val="28"/>
          <w:rtl w:val="true"/>
        </w:rPr>
        <w:t xml:space="preserve"> </w:t>
      </w:r>
      <w:r>
        <w:rPr>
          <w:rStyle w:val="default"/>
          <w:sz w:val="22"/>
          <w:sz w:val="22"/>
          <w:szCs w:val="28"/>
          <w:rtl w:val="true"/>
        </w:rPr>
        <w:t>באדם</w:t>
      </w:r>
      <w:r>
        <w:rPr>
          <w:rStyle w:val="default"/>
          <w:rFonts w:eastAsia="Arial TUR;Arial"/>
          <w:sz w:val="22"/>
          <w:sz w:val="22"/>
          <w:szCs w:val="28"/>
          <w:rtl w:val="true"/>
        </w:rPr>
        <w:t xml:space="preserve"> </w:t>
      </w:r>
      <w:r>
        <w:rPr>
          <w:rStyle w:val="default"/>
          <w:sz w:val="22"/>
          <w:sz w:val="22"/>
          <w:szCs w:val="28"/>
          <w:rtl w:val="true"/>
        </w:rPr>
        <w:t>נכות</w:t>
      </w:r>
      <w:r>
        <w:rPr>
          <w:rStyle w:val="default"/>
          <w:rFonts w:eastAsia="Arial TUR;Arial"/>
          <w:sz w:val="22"/>
          <w:sz w:val="22"/>
          <w:szCs w:val="28"/>
          <w:rtl w:val="true"/>
        </w:rPr>
        <w:t xml:space="preserve"> </w:t>
      </w:r>
      <w:r>
        <w:rPr>
          <w:rStyle w:val="default"/>
          <w:sz w:val="22"/>
          <w:sz w:val="22"/>
          <w:szCs w:val="28"/>
          <w:rtl w:val="true"/>
        </w:rPr>
        <w:t>או</w:t>
      </w:r>
      <w:r>
        <w:rPr>
          <w:rStyle w:val="default"/>
          <w:rFonts w:eastAsia="Arial TUR;Arial"/>
          <w:sz w:val="22"/>
          <w:sz w:val="22"/>
          <w:szCs w:val="28"/>
          <w:rtl w:val="true"/>
        </w:rPr>
        <w:t xml:space="preserve"> </w:t>
      </w:r>
      <w:r>
        <w:rPr>
          <w:rStyle w:val="default"/>
          <w:sz w:val="22"/>
          <w:sz w:val="22"/>
          <w:szCs w:val="28"/>
          <w:rtl w:val="true"/>
        </w:rPr>
        <w:t>מום</w:t>
      </w:r>
      <w:r>
        <w:rPr>
          <w:rStyle w:val="default"/>
          <w:sz w:val="22"/>
          <w:szCs w:val="28"/>
          <w:rtl w:val="true"/>
        </w:rPr>
        <w:t xml:space="preserve">, </w:t>
      </w:r>
      <w:r>
        <w:rPr>
          <w:rStyle w:val="default"/>
          <w:sz w:val="22"/>
          <w:sz w:val="22"/>
          <w:szCs w:val="28"/>
          <w:rtl w:val="true"/>
        </w:rPr>
        <w:t>או</w:t>
      </w:r>
      <w:r>
        <w:rPr>
          <w:rStyle w:val="default"/>
          <w:rFonts w:eastAsia="Arial TUR;Arial"/>
          <w:sz w:val="22"/>
          <w:sz w:val="22"/>
          <w:szCs w:val="28"/>
          <w:rtl w:val="true"/>
        </w:rPr>
        <w:t xml:space="preserve"> </w:t>
      </w:r>
      <w:r>
        <w:rPr>
          <w:rStyle w:val="default"/>
          <w:sz w:val="22"/>
          <w:sz w:val="22"/>
          <w:szCs w:val="28"/>
          <w:rtl w:val="true"/>
        </w:rPr>
        <w:t>לגרום</w:t>
      </w:r>
      <w:r>
        <w:rPr>
          <w:rStyle w:val="default"/>
          <w:rFonts w:eastAsia="Arial TUR;Arial"/>
          <w:sz w:val="22"/>
          <w:sz w:val="22"/>
          <w:szCs w:val="28"/>
          <w:rtl w:val="true"/>
        </w:rPr>
        <w:t xml:space="preserve"> </w:t>
      </w:r>
      <w:r>
        <w:rPr>
          <w:rStyle w:val="default"/>
          <w:sz w:val="22"/>
          <w:sz w:val="22"/>
          <w:szCs w:val="28"/>
          <w:rtl w:val="true"/>
        </w:rPr>
        <w:t>לו</w:t>
      </w:r>
      <w:r>
        <w:rPr>
          <w:rStyle w:val="default"/>
          <w:rFonts w:eastAsia="Arial TUR;Arial"/>
          <w:sz w:val="22"/>
          <w:sz w:val="22"/>
          <w:szCs w:val="28"/>
          <w:rtl w:val="true"/>
        </w:rPr>
        <w:t xml:space="preserve"> </w:t>
      </w:r>
      <w:r>
        <w:rPr>
          <w:rStyle w:val="default"/>
          <w:sz w:val="22"/>
          <w:sz w:val="22"/>
          <w:szCs w:val="28"/>
          <w:rtl w:val="true"/>
        </w:rPr>
        <w:t>חבלה</w:t>
      </w:r>
      <w:r>
        <w:rPr>
          <w:rStyle w:val="default"/>
          <w:rFonts w:eastAsia="Arial TUR;Arial"/>
          <w:sz w:val="22"/>
          <w:sz w:val="22"/>
          <w:szCs w:val="28"/>
          <w:rtl w:val="true"/>
        </w:rPr>
        <w:t xml:space="preserve"> </w:t>
      </w:r>
      <w:r>
        <w:rPr>
          <w:rStyle w:val="default"/>
          <w:sz w:val="22"/>
          <w:sz w:val="22"/>
          <w:szCs w:val="28"/>
          <w:rtl w:val="true"/>
        </w:rPr>
        <w:t>חמורה</w:t>
      </w:r>
      <w:r>
        <w:rPr>
          <w:rStyle w:val="default"/>
          <w:sz w:val="22"/>
          <w:szCs w:val="28"/>
          <w:rtl w:val="true"/>
        </w:rPr>
        <w:t>.....(</w:t>
      </w:r>
      <w:r>
        <w:rPr>
          <w:rStyle w:val="default"/>
          <w:sz w:val="22"/>
          <w:szCs w:val="28"/>
        </w:rPr>
        <w:t>2</w:t>
      </w:r>
      <w:r>
        <w:rPr>
          <w:rStyle w:val="default"/>
          <w:sz w:val="22"/>
          <w:szCs w:val="28"/>
          <w:rtl w:val="true"/>
        </w:rPr>
        <w:t xml:space="preserve">) </w:t>
      </w:r>
      <w:r>
        <w:rPr>
          <w:rStyle w:val="default"/>
          <w:sz w:val="22"/>
          <w:sz w:val="22"/>
          <w:szCs w:val="28"/>
          <w:rtl w:val="true"/>
        </w:rPr>
        <w:t>מנסה</w:t>
      </w:r>
      <w:r>
        <w:rPr>
          <w:rStyle w:val="default"/>
          <w:rFonts w:eastAsia="Arial TUR;Arial"/>
          <w:sz w:val="22"/>
          <w:sz w:val="22"/>
          <w:szCs w:val="28"/>
          <w:rtl w:val="true"/>
        </w:rPr>
        <w:t xml:space="preserve"> </w:t>
      </w:r>
      <w:r>
        <w:rPr>
          <w:rStyle w:val="default"/>
          <w:sz w:val="22"/>
          <w:sz w:val="22"/>
          <w:szCs w:val="28"/>
          <w:rtl w:val="true"/>
        </w:rPr>
        <w:t>שלא</w:t>
      </w:r>
      <w:r>
        <w:rPr>
          <w:rStyle w:val="default"/>
          <w:rFonts w:eastAsia="Arial TUR;Arial"/>
          <w:sz w:val="22"/>
          <w:sz w:val="22"/>
          <w:szCs w:val="28"/>
          <w:rtl w:val="true"/>
        </w:rPr>
        <w:t xml:space="preserve"> </w:t>
      </w:r>
      <w:r>
        <w:rPr>
          <w:rStyle w:val="default"/>
          <w:sz w:val="22"/>
          <w:sz w:val="22"/>
          <w:szCs w:val="28"/>
          <w:rtl w:val="true"/>
        </w:rPr>
        <w:t>כדין</w:t>
      </w:r>
      <w:r>
        <w:rPr>
          <w:rStyle w:val="default"/>
          <w:rFonts w:eastAsia="Arial TUR;Arial"/>
          <w:sz w:val="22"/>
          <w:sz w:val="22"/>
          <w:szCs w:val="28"/>
          <w:rtl w:val="true"/>
        </w:rPr>
        <w:t xml:space="preserve"> </w:t>
      </w:r>
      <w:r>
        <w:rPr>
          <w:rStyle w:val="default"/>
          <w:sz w:val="22"/>
          <w:sz w:val="22"/>
          <w:szCs w:val="28"/>
          <w:rtl w:val="true"/>
        </w:rPr>
        <w:t>לפגוע</w:t>
      </w:r>
      <w:r>
        <w:rPr>
          <w:rStyle w:val="default"/>
          <w:rFonts w:eastAsia="Arial TUR;Arial"/>
          <w:sz w:val="22"/>
          <w:sz w:val="22"/>
          <w:szCs w:val="28"/>
          <w:rtl w:val="true"/>
        </w:rPr>
        <w:t xml:space="preserve"> </w:t>
      </w:r>
      <w:r>
        <w:rPr>
          <w:rStyle w:val="default"/>
          <w:sz w:val="22"/>
          <w:sz w:val="22"/>
          <w:szCs w:val="28"/>
          <w:rtl w:val="true"/>
        </w:rPr>
        <w:t>באדם</w:t>
      </w:r>
      <w:r>
        <w:rPr>
          <w:rStyle w:val="default"/>
          <w:rFonts w:eastAsia="Arial TUR;Arial"/>
          <w:sz w:val="22"/>
          <w:sz w:val="22"/>
          <w:szCs w:val="28"/>
          <w:rtl w:val="true"/>
        </w:rPr>
        <w:t xml:space="preserve"> </w:t>
      </w:r>
      <w:r>
        <w:rPr>
          <w:rStyle w:val="default"/>
          <w:sz w:val="22"/>
          <w:sz w:val="22"/>
          <w:szCs w:val="28"/>
          <w:rtl w:val="true"/>
        </w:rPr>
        <w:t>בקליע</w:t>
      </w:r>
      <w:r>
        <w:rPr>
          <w:rStyle w:val="default"/>
          <w:sz w:val="22"/>
          <w:szCs w:val="28"/>
          <w:rtl w:val="true"/>
        </w:rPr>
        <w:t xml:space="preserve">, </w:t>
      </w:r>
      <w:r>
        <w:rPr>
          <w:rStyle w:val="default"/>
          <w:sz w:val="22"/>
          <w:sz w:val="22"/>
          <w:szCs w:val="28"/>
          <w:rtl w:val="true"/>
        </w:rPr>
        <w:t>בסכין</w:t>
      </w:r>
      <w:r>
        <w:rPr>
          <w:rStyle w:val="default"/>
          <w:rFonts w:eastAsia="Arial TUR;Arial"/>
          <w:sz w:val="22"/>
          <w:sz w:val="22"/>
          <w:szCs w:val="28"/>
          <w:rtl w:val="true"/>
        </w:rPr>
        <w:t xml:space="preserve"> </w:t>
      </w:r>
      <w:r>
        <w:rPr>
          <w:rStyle w:val="default"/>
          <w:sz w:val="22"/>
          <w:sz w:val="22"/>
          <w:szCs w:val="28"/>
          <w:rtl w:val="true"/>
        </w:rPr>
        <w:t>או</w:t>
      </w:r>
      <w:r>
        <w:rPr>
          <w:rStyle w:val="default"/>
          <w:rFonts w:eastAsia="Arial TUR;Arial"/>
          <w:sz w:val="22"/>
          <w:sz w:val="22"/>
          <w:szCs w:val="28"/>
          <w:rtl w:val="true"/>
        </w:rPr>
        <w:t xml:space="preserve"> </w:t>
      </w:r>
      <w:r>
        <w:rPr>
          <w:rStyle w:val="default"/>
          <w:sz w:val="22"/>
          <w:sz w:val="22"/>
          <w:szCs w:val="28"/>
          <w:rtl w:val="true"/>
        </w:rPr>
        <w:t>בנשק</w:t>
      </w:r>
      <w:r>
        <w:rPr>
          <w:rStyle w:val="default"/>
          <w:rFonts w:eastAsia="Arial TUR;Arial"/>
          <w:sz w:val="22"/>
          <w:sz w:val="22"/>
          <w:szCs w:val="28"/>
          <w:rtl w:val="true"/>
        </w:rPr>
        <w:t xml:space="preserve"> </w:t>
      </w:r>
      <w:r>
        <w:rPr>
          <w:rStyle w:val="default"/>
          <w:sz w:val="22"/>
          <w:sz w:val="22"/>
          <w:szCs w:val="28"/>
          <w:rtl w:val="true"/>
        </w:rPr>
        <w:t>מסוכן</w:t>
      </w:r>
      <w:r>
        <w:rPr>
          <w:rStyle w:val="default"/>
          <w:rFonts w:eastAsia="Arial TUR;Arial"/>
          <w:sz w:val="22"/>
          <w:sz w:val="22"/>
          <w:szCs w:val="28"/>
          <w:rtl w:val="true"/>
        </w:rPr>
        <w:t xml:space="preserve"> </w:t>
      </w:r>
      <w:r>
        <w:rPr>
          <w:rStyle w:val="default"/>
          <w:sz w:val="22"/>
          <w:sz w:val="22"/>
          <w:szCs w:val="28"/>
          <w:rtl w:val="true"/>
        </w:rPr>
        <w:t>או</w:t>
      </w:r>
      <w:r>
        <w:rPr>
          <w:rStyle w:val="default"/>
          <w:rFonts w:eastAsia="Arial TUR;Arial"/>
          <w:sz w:val="22"/>
          <w:sz w:val="22"/>
          <w:szCs w:val="28"/>
          <w:rtl w:val="true"/>
        </w:rPr>
        <w:t xml:space="preserve"> </w:t>
      </w:r>
      <w:r>
        <w:rPr>
          <w:rStyle w:val="default"/>
          <w:sz w:val="22"/>
          <w:sz w:val="22"/>
          <w:szCs w:val="28"/>
          <w:rtl w:val="true"/>
        </w:rPr>
        <w:t>פוגעני</w:t>
      </w:r>
      <w:r>
        <w:rPr>
          <w:rStyle w:val="default"/>
          <w:rFonts w:eastAsia="Arial TUR;Arial"/>
          <w:sz w:val="22"/>
          <w:sz w:val="22"/>
          <w:szCs w:val="28"/>
          <w:rtl w:val="true"/>
        </w:rPr>
        <w:t xml:space="preserve"> </w:t>
      </w:r>
      <w:r>
        <w:rPr>
          <w:rStyle w:val="default"/>
          <w:sz w:val="22"/>
          <w:sz w:val="22"/>
          <w:szCs w:val="28"/>
          <w:rtl w:val="true"/>
        </w:rPr>
        <w:t>אחר</w:t>
      </w:r>
      <w:r>
        <w:rPr>
          <w:rStyle w:val="default"/>
          <w:rFonts w:cs="FrankRuehl"/>
          <w:sz w:val="22"/>
          <w:szCs w:val="28"/>
          <w:rtl w:val="true"/>
        </w:rPr>
        <w:t xml:space="preserve">". </w:t>
      </w:r>
    </w:p>
    <w:p>
      <w:pPr>
        <w:pStyle w:val="Ruller42"/>
        <w:ind w:end="0"/>
        <w:jc w:val="both"/>
        <w:rPr>
          <w:rStyle w:val="default"/>
          <w:rFonts w:cs="Miriam"/>
          <w:spacing w:val="0"/>
          <w:sz w:val="28"/>
          <w:szCs w:val="24"/>
        </w:rPr>
      </w:pPr>
      <w:r>
        <w:rPr>
          <w:rtl w:val="true"/>
        </w:rPr>
      </w:r>
    </w:p>
    <w:p>
      <w:pPr>
        <w:pStyle w:val="Ruller42"/>
        <w:ind w:end="0"/>
        <w:jc w:val="both"/>
        <w:rPr>
          <w:rFonts w:ascii="Times New Roman" w:hAnsi="Times New Roman"/>
          <w:spacing w:val="0"/>
          <w:sz w:val="28"/>
          <w:szCs w:val="24"/>
        </w:rPr>
      </w:pP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הערעור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לעניין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גזר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הדין</w:t>
      </w:r>
    </w:p>
    <w:p>
      <w:pPr>
        <w:pStyle w:val="Ruller42"/>
        <w:ind w:end="0"/>
        <w:jc w:val="both"/>
        <w:rPr>
          <w:rFonts w:ascii="Times New Roman" w:hAnsi="Times New Roman" w:cs="Times New Roman"/>
          <w:spacing w:val="0"/>
          <w:sz w:val="28"/>
          <w:szCs w:val="24"/>
        </w:rPr>
      </w:pPr>
      <w:r>
        <w:rPr>
          <w:rFonts w:cs="Times New Roman" w:ascii="Times New Roman" w:hAnsi="Times New Roman"/>
          <w:spacing w:val="0"/>
          <w:sz w:val="28"/>
          <w:szCs w:val="24"/>
          <w:rtl w:val="true"/>
        </w:rPr>
      </w:r>
    </w:p>
    <w:p>
      <w:pPr>
        <w:pStyle w:val="Ruller42"/>
        <w:ind w:end="0"/>
        <w:jc w:val="both"/>
        <w:rPr/>
      </w:pPr>
      <w:r>
        <w:rPr>
          <w:rFonts w:cs="Times New Roman" w:ascii="Times New Roman" w:hAnsi="Times New Roman"/>
        </w:rPr>
        <w:t>13</w:t>
      </w:r>
      <w:r>
        <w:rPr>
          <w:rFonts w:cs="Times New Roman" w:ascii="Times New Roman" w:hAnsi="Times New Roman"/>
          <w:rtl w:val="true"/>
        </w:rPr>
        <w:t>.</w:t>
        <w:tab/>
      </w:r>
      <w:r>
        <w:rPr>
          <w:rFonts w:ascii="Times New Roman" w:hAnsi="Times New Roman" w:cs="Times New Roman"/>
          <w:rtl w:val="true"/>
        </w:rPr>
        <w:t>אזכיר את נקודת המוצא ולפיה לא תתערב ערכאת הערעור בעונש שנגזר על ידי הערכאה הדיונית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אלא אם העונש חורג במידה רבה מרף הענישה הנוהג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ולא זה המקרה שבפנינו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המערער הורשע בעבירות שמעצם טיבן כרוך בהן סיכון לחיי אדם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ככלל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יש להחמיר עם מי שעושה שימוש בנשק חם </w:t>
      </w:r>
      <w:r>
        <w:rPr>
          <w:rFonts w:cs="Times New Roman" w:ascii="Times New Roman" w:hAnsi="Times New Roman"/>
          <w:rtl w:val="true"/>
        </w:rPr>
        <w:t>(</w:t>
      </w:r>
      <w:hyperlink r:id="rId32"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ע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"</w:t>
        </w:r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 xml:space="preserve">פ </w:t>
        </w:r>
        <w:r>
          <w:rPr>
            <w:rStyle w:val="Hyperlink"/>
            <w:rFonts w:cs="Times New Roman" w:ascii="Times New Roman" w:hAnsi="Times New Roman"/>
            <w:color w:val="0000FF"/>
            <w:u w:val="single"/>
          </w:rPr>
          <w:t>3573/08</w:t>
        </w:r>
      </w:hyperlink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עוואדרה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(</w:t>
      </w:r>
      <w:r>
        <w:rPr>
          <w:rFonts w:ascii="Times New Roman" w:hAnsi="Times New Roman" w:cs="Times New Roman"/>
          <w:rtl w:val="true"/>
        </w:rPr>
        <w:t>לא פורסם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cs="Times New Roman" w:ascii="Times New Roman" w:hAnsi="Times New Roman"/>
        </w:rPr>
        <w:t>13.4.2010</w:t>
      </w:r>
      <w:r>
        <w:rPr>
          <w:rFonts w:cs="Times New Roman" w:ascii="Times New Roman" w:hAnsi="Times New Roman"/>
          <w:rtl w:val="true"/>
        </w:rPr>
        <w:t xml:space="preserve">)), </w:t>
      </w:r>
      <w:r>
        <w:rPr>
          <w:rFonts w:ascii="Times New Roman" w:hAnsi="Times New Roman" w:cs="Times New Roman"/>
          <w:rtl w:val="true"/>
        </w:rPr>
        <w:t>ובמיוחד כאשר השימוש בנשק חם נעשה באזור מגורים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מה שעלול לגרום לפגיעה בעוברי אורח תמימים</w:t>
      </w:r>
      <w:r>
        <w:rPr>
          <w:rFonts w:cs="Times New Roman" w:ascii="Times New Roman" w:hAnsi="Times New Roman"/>
          <w:rtl w:val="true"/>
        </w:rPr>
        <w:t xml:space="preserve">. </w:t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2"/>
        <w:ind w:end="0"/>
        <w:jc w:val="both"/>
        <w:rPr/>
      </w:pPr>
      <w:r>
        <w:rPr>
          <w:rFonts w:cs="Times New Roman" w:ascii="Times New Roman" w:hAnsi="Times New Roman"/>
          <w:rtl w:val="true"/>
        </w:rPr>
        <w:tab/>
      </w:r>
      <w:r>
        <w:rPr>
          <w:rFonts w:ascii="Times New Roman" w:hAnsi="Times New Roman" w:cs="Times New Roman"/>
          <w:rtl w:val="true"/>
        </w:rPr>
        <w:t xml:space="preserve">לכך יש להוסיף כי לחובת המערער עבר פלילי הכולל הרשעה קודמת משנת </w:t>
      </w:r>
      <w:r>
        <w:rPr>
          <w:rFonts w:cs="Times New Roman" w:ascii="Times New Roman" w:hAnsi="Times New Roman"/>
        </w:rPr>
        <w:t>2001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בעבירות של סיכון חיי אדם בנתיב תחבורה בירי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והשתתפות בהתפרעות לפי </w:t>
      </w:r>
      <w:hyperlink r:id="rId33"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 xml:space="preserve">סעיף </w:t>
        </w:r>
        <w:r>
          <w:rPr>
            <w:rStyle w:val="Hyperlink"/>
            <w:rFonts w:cs="Times New Roman" w:ascii="Times New Roman" w:hAnsi="Times New Roman"/>
            <w:color w:val="0000FF"/>
            <w:u w:val="single"/>
          </w:rPr>
          <w:t>152</w:t>
        </w:r>
      </w:hyperlink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לחוק</w:t>
      </w:r>
      <w:r>
        <w:rPr>
          <w:rFonts w:cs="Times New Roman" w:ascii="Times New Roman" w:hAnsi="Times New Roman"/>
          <w:rtl w:val="true"/>
        </w:rPr>
        <w:t xml:space="preserve">; </w:t>
      </w:r>
      <w:r>
        <w:rPr>
          <w:rFonts w:ascii="Times New Roman" w:hAnsi="Times New Roman" w:cs="Times New Roman"/>
          <w:rtl w:val="true"/>
        </w:rPr>
        <w:t xml:space="preserve">וכן הרשעה קודמת משנת </w:t>
      </w:r>
      <w:r>
        <w:rPr>
          <w:rFonts w:cs="Times New Roman" w:ascii="Times New Roman" w:hAnsi="Times New Roman"/>
        </w:rPr>
        <w:t>2009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בעבירה של התנהגות פרועה במקום ציבורי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בנוסף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יש לזקוף לחובתו של המערער את העובדה שלא מסר למשטרה עד עצם היום הזה את האקדח בו ירה</w:t>
      </w:r>
      <w:r>
        <w:rPr>
          <w:rFonts w:cs="Times New Roman" w:ascii="Times New Roman" w:hAnsi="Times New Roman"/>
          <w:rtl w:val="true"/>
        </w:rPr>
        <w:t xml:space="preserve">. </w:t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14</w:t>
      </w:r>
      <w:r>
        <w:rPr>
          <w:rFonts w:cs="Times New Roman" w:ascii="Times New Roman" w:hAnsi="Times New Roman"/>
          <w:rtl w:val="true"/>
        </w:rPr>
        <w:t>.</w:t>
        <w:tab/>
      </w:r>
      <w:r>
        <w:rPr>
          <w:rFonts w:ascii="Times New Roman" w:hAnsi="Times New Roman" w:cs="Times New Roman"/>
          <w:rtl w:val="true"/>
        </w:rPr>
        <w:t>סופו של דבר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שאציע לחבריי לדחות את הערעור על שני ראשיו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הן לעניין הכרעת הדין והן לעניין גזר הדין</w:t>
      </w:r>
      <w:r>
        <w:rPr>
          <w:rFonts w:cs="Times New Roman" w:ascii="Times New Roman" w:hAnsi="Times New Roman"/>
          <w:rtl w:val="true"/>
        </w:rPr>
        <w:t>.</w:t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2"/>
        <w:ind w:end="0"/>
        <w:jc w:val="en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</w:rPr>
        <w:t>ש ו פ ט</w:t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2"/>
        <w:ind w:end="0"/>
        <w:jc w:val="both"/>
        <w:rPr/>
      </w:pP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</w:rPr>
        <w:t>השופט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u w:val="single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</w:rPr>
        <w:t>א</w:t>
      </w:r>
      <w:r>
        <w:rPr>
          <w:rFonts w:cs="Miriam" w:ascii="Times New Roman" w:hAnsi="Times New Roman"/>
          <w:spacing w:val="0"/>
          <w:sz w:val="28"/>
          <w:szCs w:val="24"/>
          <w:u w:val="single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</w:rPr>
        <w:t>רובינשטיין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>:</w:t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  <w:tab/>
      </w:r>
      <w:r>
        <w:rPr>
          <w:rFonts w:ascii="Times New Roman" w:hAnsi="Times New Roman" w:cs="Times New Roman"/>
          <w:rtl w:val="true"/>
        </w:rPr>
        <w:t>אני מסכים</w:t>
      </w:r>
      <w:r>
        <w:rPr>
          <w:rFonts w:cs="Times New Roman" w:ascii="Times New Roman" w:hAnsi="Times New Roman"/>
          <w:rtl w:val="true"/>
        </w:rPr>
        <w:t>.</w:t>
      </w:r>
    </w:p>
    <w:p>
      <w:pPr>
        <w:pStyle w:val="Ruller42"/>
        <w:ind w:end="0"/>
        <w:jc w:val="en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</w:rPr>
        <w:t>ש ו פ ט</w:t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2"/>
        <w:ind w:end="0"/>
        <w:jc w:val="both"/>
        <w:rPr/>
      </w:pP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</w:rPr>
        <w:t>השופט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u w:val="single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</w:rPr>
        <w:t>ס</w:t>
      </w:r>
      <w:r>
        <w:rPr>
          <w:rFonts w:cs="Miriam" w:ascii="Times New Roman" w:hAnsi="Times New Roman"/>
          <w:spacing w:val="0"/>
          <w:sz w:val="28"/>
          <w:szCs w:val="24"/>
          <w:u w:val="single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</w:rPr>
        <w:t>ג</w:t>
      </w:r>
      <w:r>
        <w:rPr>
          <w:rFonts w:cs="Miriam" w:ascii="Times New Roman" w:hAnsi="Times New Roman"/>
          <w:spacing w:val="0"/>
          <w:sz w:val="28"/>
          <w:szCs w:val="24"/>
          <w:u w:val="single"/>
          <w:rtl w:val="true"/>
        </w:rPr>
        <w:t>'</w:t>
      </w: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</w:rPr>
        <w:t>ובראן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>:</w:t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  <w:tab/>
      </w:r>
      <w:r>
        <w:rPr>
          <w:rFonts w:ascii="Times New Roman" w:hAnsi="Times New Roman" w:cs="Times New Roman"/>
          <w:rtl w:val="true"/>
        </w:rPr>
        <w:t>אני מסכים</w:t>
      </w:r>
      <w:r>
        <w:rPr>
          <w:rFonts w:cs="Times New Roman" w:ascii="Times New Roman" w:hAnsi="Times New Roman"/>
          <w:rtl w:val="true"/>
        </w:rPr>
        <w:t>.</w:t>
      </w:r>
    </w:p>
    <w:p>
      <w:pPr>
        <w:pStyle w:val="Ruller42"/>
        <w:ind w:end="0"/>
        <w:jc w:val="en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</w:rPr>
        <w:t>ש ו פ ט</w:t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2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  <w:tab/>
      </w:r>
      <w:r>
        <w:rPr>
          <w:rFonts w:ascii="Times New Roman" w:hAnsi="Times New Roman" w:cs="Times New Roman"/>
          <w:rtl w:val="true"/>
        </w:rPr>
        <w:t>הוחלט כאמור בפסק דינו של השופט י</w:t>
      </w:r>
      <w:r>
        <w:rPr>
          <w:rFonts w:cs="Times New Roman" w:ascii="Times New Roman" w:hAnsi="Times New Roman"/>
          <w:rtl w:val="true"/>
        </w:rPr>
        <w:t xml:space="preserve">' </w:t>
      </w:r>
      <w:r>
        <w:rPr>
          <w:rFonts w:ascii="Times New Roman" w:hAnsi="Times New Roman" w:cs="Times New Roman"/>
          <w:rtl w:val="true"/>
        </w:rPr>
        <w:t>עמית</w:t>
      </w:r>
      <w:r>
        <w:rPr>
          <w:rFonts w:cs="Times New Roman" w:ascii="Times New Roman" w:hAnsi="Times New Roman"/>
          <w:rtl w:val="true"/>
        </w:rPr>
        <w:t>.</w:t>
      </w:r>
    </w:p>
    <w:p>
      <w:pPr>
        <w:pStyle w:val="Ruller42"/>
        <w:ind w:end="0"/>
        <w:jc w:val="both"/>
        <w:rPr>
          <w:rFonts w:ascii="Times New Roman" w:hAnsi="Times New Roman" w:cs="Times New Roman"/>
          <w:lang w:val="en-IL" w:eastAsia="en-IL"/>
        </w:rPr>
      </w:pPr>
      <w:r>
        <w:rPr>
          <w:rFonts w:cs="Times New Roman" w:ascii="Times New Roman" w:hAnsi="Times New Roman"/>
          <w:rtl w:val="true"/>
          <w:lang w:val="en-IL" w:eastAsia="en-IL"/>
        </w:rPr>
      </w:r>
    </w:p>
    <w:p>
      <w:pPr>
        <w:pStyle w:val="Ruller42"/>
        <w:ind w:end="0"/>
        <w:jc w:val="both"/>
        <w:rPr>
          <w:lang w:val="en-IL" w:eastAsia="en-IL"/>
        </w:rPr>
      </w:pPr>
      <w:r>
        <w:rPr>
          <w:rFonts w:eastAsia="Arial TUR;Arial" w:cs="Arial TUR;Arial"/>
          <w:rtl w:val="true"/>
          <w:lang w:val="en-IL" w:eastAsia="en-IL"/>
        </w:rPr>
        <w:t xml:space="preserve"> </w:t>
      </w:r>
      <w:r>
        <w:rPr>
          <w:rtl w:val="true"/>
          <w:lang w:val="en-IL" w:eastAsia="en-IL"/>
        </w:rPr>
        <w:t>ניתן</w:t>
      </w:r>
      <w:r>
        <w:rPr>
          <w:rFonts w:eastAsia="Arial TUR;Arial" w:cs="Arial TUR;Arial"/>
          <w:rtl w:val="true"/>
          <w:lang w:val="en-IL" w:eastAsia="en-IL"/>
        </w:rPr>
        <w:t xml:space="preserve"> </w:t>
      </w:r>
      <w:r>
        <w:rPr>
          <w:rtl w:val="true"/>
          <w:lang w:val="en-IL" w:eastAsia="en-IL"/>
        </w:rPr>
        <w:t>היום</w:t>
      </w:r>
      <w:r>
        <w:rPr>
          <w:rtl w:val="true"/>
          <w:lang w:val="en-IL" w:eastAsia="en-IL"/>
        </w:rPr>
        <w:t xml:space="preserve">, </w:t>
      </w:r>
      <w:r>
        <w:rPr>
          <w:rtl w:val="true"/>
          <w:lang w:val="en-IL" w:eastAsia="en-IL"/>
        </w:rPr>
        <w:t>כ</w:t>
      </w:r>
      <w:r>
        <w:rPr>
          <w:rtl w:val="true"/>
          <w:lang w:val="en-IL" w:eastAsia="en-IL"/>
        </w:rPr>
        <w:t>"</w:t>
      </w:r>
      <w:r>
        <w:rPr>
          <w:rtl w:val="true"/>
          <w:lang w:val="en-IL" w:eastAsia="en-IL"/>
        </w:rPr>
        <w:t>ה</w:t>
      </w:r>
      <w:r>
        <w:rPr>
          <w:rFonts w:eastAsia="Arial TUR;Arial" w:cs="Arial TUR;Arial"/>
          <w:rtl w:val="true"/>
          <w:lang w:val="en-IL" w:eastAsia="en-IL"/>
        </w:rPr>
        <w:t xml:space="preserve"> </w:t>
      </w:r>
      <w:r>
        <w:rPr>
          <w:rtl w:val="true"/>
          <w:lang w:val="en-IL" w:eastAsia="en-IL"/>
        </w:rPr>
        <w:t>באדר</w:t>
      </w:r>
      <w:r>
        <w:rPr>
          <w:rFonts w:eastAsia="Arial TUR;Arial" w:cs="Arial TUR;Arial"/>
          <w:rtl w:val="true"/>
          <w:lang w:val="en-IL" w:eastAsia="en-IL"/>
        </w:rPr>
        <w:t xml:space="preserve"> </w:t>
      </w:r>
      <w:r>
        <w:rPr>
          <w:rtl w:val="true"/>
          <w:lang w:val="en-IL" w:eastAsia="en-IL"/>
        </w:rPr>
        <w:t>התשע</w:t>
      </w:r>
      <w:r>
        <w:rPr>
          <w:rtl w:val="true"/>
          <w:lang w:val="en-IL" w:eastAsia="en-IL"/>
        </w:rPr>
        <w:t>"</w:t>
      </w:r>
      <w:r>
        <w:rPr>
          <w:rtl w:val="true"/>
          <w:lang w:val="en-IL" w:eastAsia="en-IL"/>
        </w:rPr>
        <w:t>ב</w:t>
      </w:r>
      <w:r>
        <w:rPr>
          <w:rFonts w:eastAsia="Arial TUR;Arial" w:cs="Arial TUR;Arial"/>
          <w:rtl w:val="true"/>
          <w:lang w:val="en-IL" w:eastAsia="en-IL"/>
        </w:rPr>
        <w:t xml:space="preserve"> </w:t>
      </w:r>
      <w:r>
        <w:rPr>
          <w:rtl w:val="true"/>
          <w:lang w:val="en-IL" w:eastAsia="en-IL"/>
        </w:rPr>
        <w:t>(</w:t>
      </w:r>
      <w:r>
        <w:rPr>
          <w:lang w:val="en-IL" w:eastAsia="en-IL"/>
        </w:rPr>
        <w:t>19.3.2012</w:t>
      </w:r>
      <w:r>
        <w:rPr>
          <w:rtl w:val="true"/>
          <w:lang w:val="en-IL" w:eastAsia="en-IL"/>
        </w:rPr>
        <w:t xml:space="preserve">). </w:t>
      </w:r>
    </w:p>
    <w:p>
      <w:pPr>
        <w:pStyle w:val="Ruller42"/>
        <w:ind w:end="0"/>
        <w:jc w:val="both"/>
        <w:rPr>
          <w:lang w:val="en-IL" w:eastAsia="en-IL"/>
        </w:rPr>
      </w:pPr>
      <w:r>
        <w:rPr>
          <w:rtl w:val="true"/>
          <w:lang w:val="en-IL" w:eastAsia="en-IL"/>
        </w:rPr>
      </w:r>
    </w:p>
    <w:p>
      <w:pPr>
        <w:pStyle w:val="Ruller42"/>
        <w:ind w:end="0"/>
        <w:jc w:val="both"/>
        <w:rPr>
          <w:lang w:val="en-IL" w:eastAsia="en-IL"/>
        </w:rPr>
      </w:pPr>
      <w:r>
        <w:rPr>
          <w:rtl w:val="true"/>
          <w:lang w:val="en-IL" w:eastAsia="en-IL"/>
        </w:rPr>
      </w:r>
    </w:p>
    <w:p>
      <w:pPr>
        <w:pStyle w:val="Ruller42"/>
        <w:keepNext w:val="true"/>
        <w:ind w:end="0"/>
        <w:jc w:val="start"/>
        <w:rPr>
          <w:rFonts w:ascii="David" w:hAnsi="David" w:cs="David"/>
          <w:color w:val="000000"/>
          <w:szCs w:val="22"/>
          <w:lang w:val="en-IL" w:eastAsia="en-IL"/>
        </w:rPr>
      </w:pPr>
      <w:r>
        <w:rPr>
          <w:rFonts w:cs="David" w:ascii="David" w:hAnsi="David"/>
          <w:color w:val="000000"/>
          <w:szCs w:val="22"/>
          <w:rtl w:val="true"/>
          <w:lang w:val="en-IL" w:eastAsia="en-IL"/>
        </w:rPr>
      </w:r>
    </w:p>
    <w:p>
      <w:pPr>
        <w:pStyle w:val="Ruller42"/>
        <w:keepNext w:val="true"/>
        <w:ind w:end="0"/>
        <w:jc w:val="start"/>
        <w:rPr>
          <w:rFonts w:ascii="David" w:hAnsi="David" w:cs="David"/>
          <w:color w:val="000000"/>
          <w:szCs w:val="22"/>
          <w:lang w:val="en-IL" w:eastAsia="en-IL"/>
        </w:rPr>
      </w:pPr>
      <w:r>
        <w:rPr>
          <w:rFonts w:ascii="David" w:hAnsi="David" w:cs="David"/>
          <w:color w:val="000000"/>
          <w:szCs w:val="22"/>
          <w:rtl w:val="true"/>
          <w:lang w:val="en-IL" w:eastAsia="en-IL"/>
        </w:rPr>
        <w:t>א</w:t>
      </w:r>
      <w:r>
        <w:rPr>
          <w:rFonts w:cs="David" w:ascii="David" w:hAnsi="David"/>
          <w:color w:val="000000"/>
          <w:szCs w:val="22"/>
          <w:rtl w:val="true"/>
          <w:lang w:val="en-IL" w:eastAsia="en-IL"/>
        </w:rPr>
        <w:t xml:space="preserve">' </w:t>
      </w:r>
      <w:r>
        <w:rPr>
          <w:rFonts w:ascii="David" w:hAnsi="David" w:cs="David"/>
          <w:color w:val="000000"/>
          <w:szCs w:val="22"/>
          <w:rtl w:val="true"/>
          <w:lang w:val="en-IL" w:eastAsia="en-IL"/>
        </w:rPr>
        <w:t xml:space="preserve">רובינשטיין </w:t>
      </w:r>
      <w:r>
        <w:rPr>
          <w:rFonts w:cs="David" w:ascii="David" w:hAnsi="David"/>
          <w:color w:val="000000"/>
          <w:szCs w:val="22"/>
          <w:lang w:val="en-IL" w:eastAsia="en-IL"/>
        </w:rPr>
        <w:t>54678313-6022/10</w:t>
      </w:r>
    </w:p>
    <w:p>
      <w:pPr>
        <w:pStyle w:val="Ruller42"/>
        <w:ind w:end="0"/>
        <w:jc w:val="center"/>
        <w:rPr>
          <w:lang w:val="en-IL" w:eastAsia="en-IL"/>
        </w:rPr>
      </w:pPr>
      <w:r>
        <w:rPr>
          <w:rtl w:val="true"/>
          <w:lang w:val="en-IL" w:eastAsia="en-IL"/>
        </w:rPr>
        <w:t>ש</w:t>
      </w:r>
      <w:r>
        <w:rPr>
          <w:rFonts w:eastAsia="Arial TUR;Arial" w:cs="Arial TUR;Arial"/>
          <w:rtl w:val="true"/>
          <w:lang w:val="en-IL" w:eastAsia="en-IL"/>
        </w:rPr>
        <w:t xml:space="preserve"> </w:t>
      </w:r>
      <w:r>
        <w:rPr>
          <w:rtl w:val="true"/>
          <w:lang w:val="en-IL" w:eastAsia="en-IL"/>
        </w:rPr>
        <w:t>ו</w:t>
      </w:r>
      <w:r>
        <w:rPr>
          <w:rFonts w:eastAsia="Arial TUR;Arial" w:cs="Arial TUR;Arial"/>
          <w:rtl w:val="true"/>
          <w:lang w:val="en-IL" w:eastAsia="en-IL"/>
        </w:rPr>
        <w:t xml:space="preserve"> </w:t>
      </w:r>
      <w:r>
        <w:rPr>
          <w:rtl w:val="true"/>
          <w:lang w:val="en-IL" w:eastAsia="en-IL"/>
        </w:rPr>
        <w:t>פ</w:t>
      </w:r>
      <w:r>
        <w:rPr>
          <w:rFonts w:eastAsia="Arial TUR;Arial" w:cs="Arial TUR;Arial"/>
          <w:rtl w:val="true"/>
          <w:lang w:val="en-IL" w:eastAsia="en-IL"/>
        </w:rPr>
        <w:t xml:space="preserve"> </w:t>
      </w:r>
      <w:r>
        <w:rPr>
          <w:rtl w:val="true"/>
          <w:lang w:val="en-IL" w:eastAsia="en-IL"/>
        </w:rPr>
        <w:t>ט                               </w:t>
      </w:r>
      <w:r>
        <w:rPr>
          <w:rFonts w:eastAsia="Arial TUR;Arial" w:cs="Arial TUR;Arial"/>
          <w:rtl w:val="true"/>
          <w:lang w:val="en-IL" w:eastAsia="en-IL"/>
        </w:rPr>
        <w:t xml:space="preserve"> </w:t>
      </w:r>
      <w:r>
        <w:rPr>
          <w:rtl w:val="true"/>
          <w:lang w:val="en-IL" w:eastAsia="en-IL"/>
        </w:rPr>
        <w:t>ש</w:t>
      </w:r>
      <w:r>
        <w:rPr>
          <w:rFonts w:eastAsia="Arial TUR;Arial" w:cs="Arial TUR;Arial"/>
          <w:rtl w:val="true"/>
          <w:lang w:val="en-IL" w:eastAsia="en-IL"/>
        </w:rPr>
        <w:t xml:space="preserve"> </w:t>
      </w:r>
      <w:r>
        <w:rPr>
          <w:rtl w:val="true"/>
          <w:lang w:val="en-IL" w:eastAsia="en-IL"/>
        </w:rPr>
        <w:t>ו</w:t>
      </w:r>
      <w:r>
        <w:rPr>
          <w:rFonts w:eastAsia="Arial TUR;Arial" w:cs="Arial TUR;Arial"/>
          <w:rtl w:val="true"/>
          <w:lang w:val="en-IL" w:eastAsia="en-IL"/>
        </w:rPr>
        <w:t xml:space="preserve"> </w:t>
      </w:r>
      <w:r>
        <w:rPr>
          <w:rtl w:val="true"/>
          <w:lang w:val="en-IL" w:eastAsia="en-IL"/>
        </w:rPr>
        <w:t>פ</w:t>
      </w:r>
      <w:r>
        <w:rPr>
          <w:rFonts w:eastAsia="Arial TUR;Arial" w:cs="Arial TUR;Arial"/>
          <w:rtl w:val="true"/>
          <w:lang w:val="en-IL" w:eastAsia="en-IL"/>
        </w:rPr>
        <w:t xml:space="preserve"> </w:t>
      </w:r>
      <w:r>
        <w:rPr>
          <w:rtl w:val="true"/>
          <w:lang w:val="en-IL" w:eastAsia="en-IL"/>
        </w:rPr>
        <w:t>ט                                </w:t>
      </w:r>
      <w:r>
        <w:rPr>
          <w:rFonts w:eastAsia="Arial TUR;Arial" w:cs="Arial TUR;Arial"/>
          <w:rtl w:val="true"/>
          <w:lang w:val="en-IL" w:eastAsia="en-IL"/>
        </w:rPr>
        <w:t xml:space="preserve"> </w:t>
      </w:r>
      <w:r>
        <w:rPr>
          <w:rtl w:val="true"/>
          <w:lang w:val="en-IL" w:eastAsia="en-IL"/>
        </w:rPr>
        <w:t>ש</w:t>
      </w:r>
      <w:r>
        <w:rPr>
          <w:rFonts w:eastAsia="Arial TUR;Arial" w:cs="Arial TUR;Arial"/>
          <w:rtl w:val="true"/>
          <w:lang w:val="en-IL" w:eastAsia="en-IL"/>
        </w:rPr>
        <w:t xml:space="preserve"> </w:t>
      </w:r>
      <w:r>
        <w:rPr>
          <w:rtl w:val="true"/>
          <w:lang w:val="en-IL" w:eastAsia="en-IL"/>
        </w:rPr>
        <w:t>ו</w:t>
      </w:r>
      <w:r>
        <w:rPr>
          <w:rFonts w:eastAsia="Arial TUR;Arial" w:cs="Arial TUR;Arial"/>
          <w:rtl w:val="true"/>
          <w:lang w:val="en-IL" w:eastAsia="en-IL"/>
        </w:rPr>
        <w:t xml:space="preserve"> </w:t>
      </w:r>
      <w:r>
        <w:rPr>
          <w:rtl w:val="true"/>
          <w:lang w:val="en-IL" w:eastAsia="en-IL"/>
        </w:rPr>
        <w:t>פ</w:t>
      </w:r>
      <w:r>
        <w:rPr>
          <w:rFonts w:eastAsia="Arial TUR;Arial" w:cs="Arial TUR;Arial"/>
          <w:rtl w:val="true"/>
          <w:lang w:val="en-IL" w:eastAsia="en-IL"/>
        </w:rPr>
        <w:t xml:space="preserve"> </w:t>
      </w:r>
      <w:r>
        <w:rPr>
          <w:rtl w:val="true"/>
          <w:lang w:val="en-IL" w:eastAsia="en-IL"/>
        </w:rPr>
        <w:t>ט</w:t>
      </w:r>
    </w:p>
    <w:p>
      <w:pPr>
        <w:pStyle w:val="Ruller42"/>
        <w:ind w:end="0"/>
        <w:jc w:val="both"/>
        <w:rPr>
          <w:color w:val="FFFFFF"/>
          <w:sz w:val="2"/>
          <w:szCs w:val="2"/>
          <w:lang w:val="en-IL" w:eastAsia="en-IL"/>
        </w:rPr>
      </w:pPr>
      <w:r>
        <w:rPr>
          <w:color w:val="FFFFFF"/>
          <w:sz w:val="2"/>
          <w:szCs w:val="2"/>
          <w:rtl w:val="true"/>
          <w:lang w:val="en-IL" w:eastAsia="en-IL"/>
        </w:rPr>
      </w:r>
    </w:p>
    <w:p>
      <w:pPr>
        <w:pStyle w:val="Ruller42"/>
        <w:ind w:end="0"/>
        <w:jc w:val="both"/>
        <w:rPr>
          <w:color w:val="FFFFFF"/>
          <w:sz w:val="2"/>
          <w:szCs w:val="2"/>
          <w:lang w:val="en-IL" w:eastAsia="en-IL"/>
        </w:rPr>
      </w:pPr>
      <w:r>
        <w:rPr>
          <w:color w:val="FFFFFF"/>
          <w:sz w:val="2"/>
          <w:szCs w:val="2"/>
          <w:lang w:val="en-IL" w:eastAsia="en-IL"/>
        </w:rPr>
        <w:t>5129371</w:t>
      </w:r>
    </w:p>
    <w:p>
      <w:pPr>
        <w:pStyle w:val="Ruller42"/>
        <w:ind w:end="0"/>
        <w:jc w:val="both"/>
        <w:rPr>
          <w:lang w:val="en-IL" w:eastAsia="en-IL"/>
        </w:rPr>
      </w:pPr>
      <w:r>
        <w:rPr>
          <w:color w:val="FFFFFF"/>
          <w:sz w:val="2"/>
          <w:szCs w:val="2"/>
          <w:lang w:val="en-IL" w:eastAsia="en-IL"/>
        </w:rPr>
        <w:t>54678313</w:t>
      </w:r>
    </w:p>
    <w:p>
      <w:pPr>
        <w:pStyle w:val="Ruller42"/>
        <w:ind w:end="0"/>
        <w:jc w:val="both"/>
        <w:rPr>
          <w:lang w:val="en-IL" w:eastAsia="en-IL"/>
        </w:rPr>
      </w:pPr>
      <w:r>
        <w:rPr>
          <w:rtl w:val="true"/>
          <w:lang w:val="en-IL" w:eastAsia="en-IL"/>
        </w:rPr>
      </w:r>
    </w:p>
    <w:p>
      <w:pPr>
        <w:pStyle w:val="Ruller42"/>
        <w:ind w:end="0"/>
        <w:jc w:val="both"/>
        <w:rPr>
          <w:rFonts w:ascii="Times New Roman" w:hAnsi="Times New Roman" w:cs="Times New Roman"/>
          <w:lang w:val="en-IL" w:eastAsia="en-IL"/>
        </w:rPr>
      </w:pPr>
      <w:r>
        <w:rPr>
          <w:rFonts w:cs="Times New Roman" w:ascii="Times New Roman" w:hAnsi="Times New Roman"/>
          <w:rtl w:val="true"/>
          <w:lang w:val="en-IL" w:eastAsia="en-IL"/>
        </w:rPr>
      </w:r>
    </w:p>
    <w:p>
      <w:pPr>
        <w:pStyle w:val="Normal"/>
        <w:ind w:end="0"/>
        <w:jc w:val="start"/>
        <w:rPr>
          <w:szCs w:val="16"/>
        </w:rPr>
      </w:pPr>
      <w:r>
        <w:rPr>
          <w:szCs w:val="16"/>
          <w:rtl w:val="true"/>
        </w:rPr>
        <w:t>_________________________</w:t>
      </w:r>
    </w:p>
    <w:p>
      <w:pPr>
        <w:pStyle w:val="Ruller381"/>
        <w:ind w:end="0"/>
        <w:jc w:val="start"/>
        <w:rPr/>
      </w:pPr>
      <w:r>
        <w:rPr>
          <w:rtl w:val="true"/>
        </w:rPr>
        <w:t>העותק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כפוף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לשינויי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עריכה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וניסוח</w:t>
      </w:r>
      <w:r>
        <w:rPr>
          <w:rtl w:val="true"/>
        </w:rPr>
        <w:t>.</w:t>
      </w:r>
      <w:r>
        <w:rPr>
          <w:sz w:val="16"/>
          <w:rtl w:val="true"/>
        </w:rPr>
        <w:t xml:space="preserve"> </w:t>
      </w:r>
      <w:bookmarkStart w:id="19" w:name="FileName"/>
      <w:r>
        <w:rPr>
          <w:sz w:val="16"/>
        </w:rPr>
        <w:t>10060220</w:t>
      </w:r>
      <w:r>
        <w:rPr>
          <w:sz w:val="16"/>
          <w:rtl w:val="true"/>
        </w:rPr>
        <w:t>_</w:t>
      </w:r>
      <w:r>
        <w:rPr>
          <w:sz w:val="16"/>
        </w:rPr>
        <w:t>E02.doc</w:t>
      </w:r>
      <w:bookmarkEnd w:id="19"/>
      <w:r>
        <w:rPr>
          <w:sz w:val="16"/>
          <w:rtl w:val="true"/>
        </w:rPr>
        <w:t xml:space="preserve"> </w:t>
      </w:r>
      <w:r>
        <w:rPr>
          <w:sz w:val="16"/>
          <w:sz w:val="16"/>
          <w:rtl w:val="true"/>
        </w:rPr>
        <w:t>עכב</w:t>
      </w:r>
    </w:p>
    <w:p>
      <w:pPr>
        <w:pStyle w:val="Ruller381"/>
        <w:ind w:end="0"/>
        <w:jc w:val="start"/>
        <w:rPr/>
      </w:pPr>
      <w:r>
        <w:rPr>
          <w:rtl w:val="true"/>
        </w:rPr>
        <w:t>מרכז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מידע</w:t>
      </w:r>
      <w:r>
        <w:rPr>
          <w:rtl w:val="true"/>
        </w:rPr>
        <w:t xml:space="preserve">, </w:t>
      </w:r>
      <w:r>
        <w:rPr>
          <w:rtl w:val="true"/>
        </w:rPr>
        <w:t>טל</w:t>
      </w:r>
      <w:r>
        <w:rPr>
          <w:rtl w:val="true"/>
        </w:rPr>
        <w:t xml:space="preserve">' </w:t>
      </w:r>
      <w:r>
        <w:rPr/>
        <w:t>077-2703333</w:t>
      </w:r>
      <w:r>
        <w:rPr>
          <w:rtl w:val="true"/>
        </w:rPr>
        <w:t xml:space="preserve"> ; </w:t>
      </w:r>
      <w:r>
        <w:rPr>
          <w:rtl w:val="true"/>
        </w:rPr>
        <w:t>אתר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אינטרנט</w:t>
      </w:r>
      <w:r>
        <w:rPr>
          <w:rtl w:val="true"/>
        </w:rPr>
        <w:t xml:space="preserve">, </w:t>
      </w:r>
      <w:hyperlink r:id="rId34">
        <w:r>
          <w:rPr>
            <w:rStyle w:val="Hyperlink"/>
            <w:sz w:val="16"/>
          </w:rPr>
          <w:t>www.court.gov.il</w:t>
        </w:r>
      </w:hyperlink>
    </w:p>
    <w:p>
      <w:pPr>
        <w:pStyle w:val="Ruller381"/>
        <w:ind w:end="0"/>
        <w:jc w:val="start"/>
        <w:rPr/>
      </w:pPr>
      <w:r>
        <w:rPr>
          <w:color w:val="000000"/>
          <w:rtl w:val="true"/>
        </w:rPr>
        <w:t>נוסח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מסמך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זה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כפוף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לשינויי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ניסוח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ועריכה</w:t>
      </w:r>
    </w:p>
    <w:p>
      <w:pPr>
        <w:pStyle w:val="Ruller381"/>
        <w:ind w:end="0"/>
        <w:jc w:val="start"/>
        <w:rPr/>
      </w:pPr>
      <w:r>
        <w:rPr>
          <w:rtl w:val="true"/>
        </w:rPr>
      </w:r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hyperlink r:id="rId35">
        <w:r>
          <w:rPr>
            <w:rStyle w:val="Hyperlink"/>
            <w:color w:val="0000FF"/>
            <w:szCs w:val="24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פסיקה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, </w:t>
        </w:r>
        <w:r>
          <w:rPr>
            <w:rStyle w:val="Hyperlink"/>
            <w:color w:val="0000FF"/>
            <w:szCs w:val="24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כאן</w:t>
        </w:r>
      </w:hyperlink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r>
        <w:rPr>
          <w:color w:val="0000FF"/>
          <w:szCs w:val="24"/>
          <w:u w:val="single"/>
          <w:rtl w:val="true"/>
        </w:rPr>
      </w:r>
    </w:p>
    <w:p>
      <w:pPr>
        <w:pStyle w:val="Normal"/>
        <w:overflowPunct w:val="true"/>
        <w:autoSpaceDE w:val="true"/>
        <w:bidi w:val="0"/>
        <w:jc w:val="center"/>
        <w:rPr>
          <w:color w:val="0000FF"/>
          <w:sz w:val="24"/>
          <w:szCs w:val="24"/>
          <w:u w:val="single"/>
        </w:rPr>
      </w:pPr>
      <w:r>
        <w:rPr>
          <w:color w:val="0000FF"/>
          <w:sz w:val="24"/>
          <w:szCs w:val="24"/>
          <w:u w:val="single"/>
        </w:rPr>
      </w:r>
    </w:p>
    <w:sectPr>
      <w:headerReference w:type="default" r:id="rId36"/>
      <w:footerReference w:type="default" r:id="rId37"/>
      <w:type w:val="nextPage"/>
      <w:pgSz w:w="11906" w:h="16838"/>
      <w:pgMar w:left="1800" w:right="1800" w:gutter="0" w:header="720" w:top="1701" w:footer="720" w:bottom="1440"/>
      <w:pgNumType w:start="1"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 TUR">
    <w:altName w:val="Arial"/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FrankRuehl">
    <w:charset w:val="b1" w:characterSet="windows-1255"/>
    <w:family w:val="auto"/>
    <w:pitch w:val="variable"/>
  </w:font>
  <w:font w:name="David">
    <w:charset w:val="b1" w:characterSet="windows-1255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  <w:sz w:val="24"/>
      </w:rPr>
    </w:pPr>
    <w:r>
      <w:rPr>
        <w:rFonts w:cs="FrankRuehl" w:ascii="FrankRuehl" w:hAnsi="FrankRuehl"/>
        <w:sz w:val="24"/>
        <w:rtl w:val="true"/>
      </w:rPr>
      <w:fldChar w:fldCharType="begin"/>
    </w:r>
    <w:r>
      <w:rPr>
        <w:rtl w:val="true"/>
        <w:sz w:val="24"/>
        <w:rFonts w:cs="FrankRuehl" w:ascii="FrankRuehl" w:hAnsi="FrankRuehl"/>
      </w:rPr>
      <w:instrText xml:space="preserve"> PAGE </w:instrText>
    </w:r>
    <w:r>
      <w:rPr>
        <w:rtl w:val="true"/>
        <w:sz w:val="24"/>
        <w:rFonts w:cs="FrankRuehl" w:ascii="FrankRuehl" w:hAnsi="FrankRuehl"/>
      </w:rPr>
      <w:fldChar w:fldCharType="separate"/>
    </w:r>
    <w:r>
      <w:rPr>
        <w:rtl w:val="true"/>
        <w:sz w:val="24"/>
        <w:rFonts w:cs="FrankRuehl" w:ascii="FrankRuehl" w:hAnsi="FrankRuehl"/>
      </w:rPr>
      <w:t>12</w:t>
    </w:r>
    <w:r>
      <w:rPr>
        <w:rtl w:val="true"/>
        <w:sz w:val="24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  <w:sz w:val="24"/>
      </w:rPr>
    </w:pPr>
    <w:r>
      <w:rPr>
        <w:rFonts w:cs="FrankRuehl" w:ascii="FrankRuehl" w:hAnsi="FrankRuehl"/>
        <w:color w:val="000000"/>
        <w:sz w:val="24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4153"/>
        <w:tab w:val="clear" w:pos="8306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 </w:t>
    </w:r>
    <w:r>
      <w:rPr>
        <w:rFonts w:cs="David" w:ascii="David" w:hAnsi="David"/>
        <w:color w:val="000000"/>
        <w:sz w:val="22"/>
        <w:szCs w:val="22"/>
      </w:rPr>
      <w:t>6022/10</w:t>
    </w:r>
    <w:r>
      <w:rPr>
        <w:rFonts w:cs="David" w:ascii="David" w:hAnsi="David"/>
        <w:color w:val="000000"/>
        <w:sz w:val="22"/>
        <w:szCs w:val="22"/>
        <w:rtl w:val="true"/>
      </w:rPr>
      <w:t xml:space="preserve"> </w:t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מוחמד שלעאטה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</w:t>
    </w:r>
  </w:p>
</w:hdr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0"/>
      <w:szCs w:val="24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Ruller41">
    <w:name w:val="Ruller4 תו1"/>
    <w:basedOn w:val="DefaultParagraphFont"/>
    <w:qFormat/>
    <w:rPr>
      <w:rFonts w:ascii="Arial TUR;Arial" w:hAnsi="Arial TUR;Arial" w:cs="FrankRuehl"/>
      <w:spacing w:val="10"/>
      <w:sz w:val="22"/>
      <w:szCs w:val="28"/>
      <w:lang w:val="en-US" w:bidi="he-IL"/>
    </w:rPr>
  </w:style>
  <w:style w:type="character" w:styleId="Delete">
    <w:name w:val="Delete"/>
    <w:basedOn w:val="DefaultParagraphFont"/>
    <w:qFormat/>
    <w:rPr>
      <w:strike/>
    </w:rPr>
  </w:style>
  <w:style w:type="character" w:styleId="Hand">
    <w:name w:val="Hand"/>
    <w:basedOn w:val="DefaultParagraphFont"/>
    <w:qFormat/>
    <w:rPr>
      <w:rFonts w:cs="Guttman Yad"/>
    </w:rPr>
  </w:style>
  <w:style w:type="character" w:styleId="Ruller3">
    <w:name w:val="Ruller 3 תו"/>
    <w:basedOn w:val="DefaultParagraphFont"/>
    <w:qFormat/>
    <w:rPr>
      <w:rFonts w:cs="FrankRuehl"/>
      <w:sz w:val="22"/>
      <w:szCs w:val="28"/>
      <w:lang w:val="en-US" w:bidi="he-IL"/>
    </w:rPr>
  </w:style>
  <w:style w:type="character" w:styleId="BodyRuller">
    <w:name w:val="Body Ruller תו"/>
    <w:basedOn w:val="Ruller3"/>
    <w:qFormat/>
    <w:rPr>
      <w:rFonts w:cs="David"/>
    </w:rPr>
  </w:style>
  <w:style w:type="character" w:styleId="Ruller38">
    <w:name w:val="סגנון Ruller 3 + (מורכב) ‏8 נק תו"/>
    <w:basedOn w:val="BodyRuller"/>
    <w:qFormat/>
    <w:rPr>
      <w:szCs w:val="16"/>
    </w:rPr>
  </w:style>
  <w:style w:type="character" w:styleId="default">
    <w:name w:val="default"/>
    <w:basedOn w:val="DefaultParagraphFont"/>
    <w:qFormat/>
    <w:rPr>
      <w:rFonts w:ascii="Times New Roman" w:hAnsi="Times New Roman" w:cs="Times New Roman"/>
      <w:sz w:val="26"/>
      <w:szCs w:val="26"/>
    </w:rPr>
  </w:style>
  <w:style w:type="character" w:styleId="Ruller4">
    <w:name w:val="Ruller4 תו"/>
    <w:basedOn w:val="DefaultParagraphFont"/>
    <w:qFormat/>
    <w:rPr>
      <w:rFonts w:ascii="Arial TUR;Arial" w:hAnsi="Arial TUR;Arial" w:cs="FrankRuehl"/>
      <w:spacing w:val="10"/>
      <w:sz w:val="22"/>
      <w:szCs w:val="28"/>
      <w:lang w:val="en-US" w:bidi="he-IL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Ruller31">
    <w:name w:val="Ruller 3"/>
    <w:basedOn w:val="Normal"/>
    <w:qFormat/>
    <w:pPr>
      <w:tabs>
        <w:tab w:val="clear" w:pos="720"/>
        <w:tab w:val="left" w:pos="3210" w:leader="none"/>
        <w:tab w:val="left" w:pos="6753" w:leader="none"/>
      </w:tabs>
      <w:spacing w:lineRule="auto" w:line="360"/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Pskdinhead">
    <w:name w:val="Pskdin 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 Number"/>
    <w:basedOn w:val="Normal"/>
    <w:qFormat/>
    <w:pPr>
      <w:spacing w:lineRule="auto" w:line="360"/>
      <w:ind w:hanging="0" w:start="0" w:end="0"/>
      <w:jc w:val="end"/>
    </w:pPr>
    <w:rPr>
      <w:bCs/>
    </w:rPr>
  </w:style>
  <w:style w:type="paragraph" w:styleId="FirstpagestylePsakdin">
    <w:name w:val="First page style Psak din"/>
    <w:basedOn w:val="Ruller31"/>
    <w:qFormat/>
    <w:pPr>
      <w:tabs>
        <w:tab w:val="clear" w:pos="3210"/>
        <w:tab w:val="left" w:pos="3209" w:leader="none"/>
        <w:tab w:val="left" w:pos="6753" w:leader="none"/>
      </w:tabs>
      <w:ind w:hanging="0" w:start="0" w:end="0"/>
      <w:jc w:val="start"/>
    </w:pPr>
    <w:rPr>
      <w:bCs/>
    </w:rPr>
  </w:style>
  <w:style w:type="paragraph" w:styleId="TyutaDate">
    <w:name w:val="Tyuta 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 Head"/>
    <w:basedOn w:val="Normal"/>
    <w:qFormat/>
    <w:pPr>
      <w:spacing w:lineRule="auto" w:line="360"/>
      <w:ind w:hanging="0" w:start="0" w:end="0"/>
      <w:jc w:val="center"/>
    </w:pPr>
    <w:rPr>
      <w:bCs/>
      <w:spacing w:val="30"/>
      <w:szCs w:val="28"/>
      <w:u w:val="single"/>
    </w:rPr>
  </w:style>
  <w:style w:type="paragraph" w:styleId="TfutzaList">
    <w:name w:val="Tfutza List"/>
    <w:basedOn w:val="Normal"/>
    <w:qFormat/>
    <w:pPr>
      <w:ind w:hanging="0" w:start="0" w:end="0"/>
      <w:jc w:val="start"/>
    </w:pPr>
    <w:rPr>
      <w:i/>
      <w:iCs/>
    </w:rPr>
  </w:style>
  <w:style w:type="paragraph" w:styleId="Ruller42">
    <w:name w:val="Ruller4"/>
    <w:basedOn w:val="Normal"/>
    <w:qFormat/>
    <w:pPr>
      <w:tabs>
        <w:tab w:val="clear" w:pos="720"/>
        <w:tab w:val="left" w:pos="800" w:leader="none"/>
      </w:tabs>
      <w:spacing w:lineRule="auto" w:line="360"/>
      <w:ind w:hanging="0" w:start="0" w:end="0"/>
      <w:jc w:val="both"/>
    </w:pPr>
    <w:rPr>
      <w:rFonts w:ascii="Arial TUR;Arial" w:hAnsi="Arial TUR;Arial" w:cs="FrankRuehl"/>
      <w:spacing w:val="10"/>
      <w:sz w:val="22"/>
      <w:szCs w:val="28"/>
    </w:rPr>
  </w:style>
  <w:style w:type="paragraph" w:styleId="Ruller5">
    <w:name w:val="Ruller5"/>
    <w:basedOn w:val="Normal"/>
    <w:qFormat/>
    <w:pPr>
      <w:ind w:hanging="0" w:start="1642" w:end="1282"/>
      <w:jc w:val="both"/>
    </w:pPr>
    <w:rPr>
      <w:rFonts w:ascii="Arial TUR;Arial" w:hAnsi="Arial TUR;Arial" w:cs="FrankRuehl"/>
      <w:spacing w:val="10"/>
      <w:sz w:val="22"/>
      <w:szCs w:val="28"/>
    </w:rPr>
  </w:style>
  <w:style w:type="paragraph" w:styleId="Ruller6">
    <w:name w:val="Ruller6"/>
    <w:basedOn w:val="Normal"/>
    <w:qFormat/>
    <w:pPr>
      <w:tabs>
        <w:tab w:val="clear" w:pos="720"/>
        <w:tab w:val="left" w:pos="794" w:leader="none"/>
        <w:tab w:val="left" w:pos="2268" w:leader="none"/>
        <w:tab w:val="left" w:pos="5783" w:leader="none"/>
        <w:tab w:val="left" w:pos="7371" w:leader="none"/>
      </w:tabs>
      <w:ind w:hanging="0" w:start="0" w:end="0"/>
      <w:jc w:val="start"/>
    </w:pPr>
    <w:rPr>
      <w:rFonts w:ascii="Arial TUR;Arial" w:hAnsi="Arial TUR;Arial" w:cs="DavidFix;Times New Roman"/>
      <w:spacing w:val="10"/>
      <w:sz w:val="22"/>
      <w:szCs w:val="20"/>
    </w:rPr>
  </w:style>
  <w:style w:type="paragraph" w:styleId="WriterName">
    <w:name w:val="Writer Name"/>
    <w:basedOn w:val="Ruller42"/>
    <w:next w:val="Ruller42"/>
    <w:qFormat/>
    <w:pPr>
      <w:ind w:hanging="0" w:start="0" w:end="0"/>
      <w:jc w:val="both"/>
    </w:pPr>
    <w:rPr>
      <w:rFonts w:cs="David"/>
      <w:b/>
      <w:bCs/>
      <w:u w:val="single"/>
    </w:rPr>
  </w:style>
  <w:style w:type="paragraph" w:styleId="2">
    <w:name w:val="ñâðåï2"/>
    <w:basedOn w:val="Normal"/>
    <w:qFormat/>
    <w:pPr>
      <w:overflowPunct w:val="true"/>
      <w:ind w:hanging="0" w:start="0" w:end="0"/>
      <w:jc w:val="start"/>
    </w:pPr>
    <w:rPr>
      <w:rFonts w:cs="Times New Roman"/>
    </w:rPr>
  </w:style>
  <w:style w:type="paragraph" w:styleId="Casenameintextbody">
    <w:name w:val="Case name in text body"/>
    <w:basedOn w:val="Normal"/>
    <w:qFormat/>
    <w:pPr>
      <w:overflowPunct w:val="true"/>
      <w:ind w:hanging="0" w:start="0" w:end="0"/>
      <w:jc w:val="end"/>
    </w:pPr>
    <w:rPr>
      <w:rFonts w:cs="Times New Roman"/>
      <w:b/>
      <w:bCs/>
      <w:u w:val="single"/>
    </w:rPr>
  </w:style>
  <w:style w:type="paragraph" w:styleId="precasestyle">
    <w:name w:val="pre_case style"/>
    <w:basedOn w:val="Normal"/>
    <w:qFormat/>
    <w:pPr>
      <w:tabs>
        <w:tab w:val="clear" w:pos="720"/>
        <w:tab w:val="left" w:pos="2552" w:leader="none"/>
      </w:tabs>
      <w:overflowPunct w:val="true"/>
      <w:ind w:hanging="0" w:start="0" w:end="2549"/>
      <w:jc w:val="start"/>
    </w:pPr>
    <w:rPr>
      <w:rFonts w:cs="Times New Roman"/>
    </w:rPr>
  </w:style>
  <w:style w:type="paragraph" w:styleId="BodyRuller1">
    <w:name w:val="Body Ruller"/>
    <w:basedOn w:val="Normal"/>
    <w:qFormat/>
    <w:pPr>
      <w:ind w:hanging="0" w:start="0" w:end="0"/>
      <w:jc w:val="start"/>
    </w:pPr>
    <w:rPr>
      <w:sz w:val="22"/>
      <w:szCs w:val="28"/>
    </w:rPr>
  </w:style>
  <w:style w:type="paragraph" w:styleId="Ruller381">
    <w:name w:val="סגנון Ruller 3 + (מורכב) ‏8 נק"/>
    <w:basedOn w:val="BodyRuller1"/>
    <w:qFormat/>
    <w:pPr>
      <w:ind w:hanging="0" w:start="0" w:end="0"/>
      <w:jc w:val="start"/>
    </w:pPr>
    <w:rPr>
      <w:szCs w:val="16"/>
    </w:rPr>
  </w:style>
  <w:style w:type="paragraph" w:styleId="FileNumber1">
    <w:name w:val="סגנון File Number + ימין"/>
    <w:basedOn w:val="FileNumber"/>
    <w:qFormat/>
    <w:pPr>
      <w:ind w:hanging="0" w:start="0" w:end="0"/>
      <w:jc w:val="start"/>
    </w:pPr>
    <w:rPr>
      <w:szCs w:val="28"/>
    </w:rPr>
  </w:style>
  <w:style w:type="paragraph" w:styleId="BODYVERDICT">
    <w:name w:val="BODY VERDICT"/>
    <w:basedOn w:val="Normal"/>
    <w:qFormat/>
    <w:pPr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4853939" TargetMode="External"/><Relationship Id="rId3" Type="http://schemas.openxmlformats.org/officeDocument/2006/relationships/hyperlink" Target="http://www.nevo.co.il/law/70301" TargetMode="External"/><Relationship Id="rId4" Type="http://schemas.openxmlformats.org/officeDocument/2006/relationships/hyperlink" Target="http://www.nevo.co.il/law/70301/144.a" TargetMode="External"/><Relationship Id="rId5" Type="http://schemas.openxmlformats.org/officeDocument/2006/relationships/hyperlink" Target="http://www.nevo.co.il/law/70301/144.b" TargetMode="External"/><Relationship Id="rId6" Type="http://schemas.openxmlformats.org/officeDocument/2006/relationships/hyperlink" Target="http://www.nevo.co.il/law/70301/152" TargetMode="External"/><Relationship Id="rId7" Type="http://schemas.openxmlformats.org/officeDocument/2006/relationships/hyperlink" Target="http://www.nevo.co.il/law/70301/216.a.1" TargetMode="External"/><Relationship Id="rId8" Type="http://schemas.openxmlformats.org/officeDocument/2006/relationships/hyperlink" Target="http://www.nevo.co.il/law/70301/329.a.2" TargetMode="External"/><Relationship Id="rId9" Type="http://schemas.openxmlformats.org/officeDocument/2006/relationships/hyperlink" Target="http://www.nevo.co.il/law/70301/332.3" TargetMode="External"/><Relationship Id="rId10" Type="http://schemas.openxmlformats.org/officeDocument/2006/relationships/hyperlink" Target="http://www.nevo.co.il/law/70301/340a" TargetMode="External"/><Relationship Id="rId11" Type="http://schemas.openxmlformats.org/officeDocument/2006/relationships/hyperlink" Target="http://www.nevo.co.il/law/70301/413e" TargetMode="External"/><Relationship Id="rId12" Type="http://schemas.openxmlformats.org/officeDocument/2006/relationships/hyperlink" Target="http://www.nevo.co.il/law/74903" TargetMode="External"/><Relationship Id="rId13" Type="http://schemas.openxmlformats.org/officeDocument/2006/relationships/hyperlink" Target="http://www.nevo.co.il/case/4853939" TargetMode="External"/><Relationship Id="rId14" Type="http://schemas.openxmlformats.org/officeDocument/2006/relationships/hyperlink" Target="http://www.nevo.co.il/law/70301/144.a" TargetMode="External"/><Relationship Id="rId15" Type="http://schemas.openxmlformats.org/officeDocument/2006/relationships/hyperlink" Target="http://www.nevo.co.il/law/70301/144.b" TargetMode="External"/><Relationship Id="rId16" Type="http://schemas.openxmlformats.org/officeDocument/2006/relationships/hyperlink" Target="http://www.nevo.co.il/law/70301" TargetMode="External"/><Relationship Id="rId17" Type="http://schemas.openxmlformats.org/officeDocument/2006/relationships/hyperlink" Target="http://www.nevo.co.il/law/70301/340a" TargetMode="External"/><Relationship Id="rId18" Type="http://schemas.openxmlformats.org/officeDocument/2006/relationships/hyperlink" Target="http://www.nevo.co.il/law/70301/329.a.2" TargetMode="External"/><Relationship Id="rId19" Type="http://schemas.openxmlformats.org/officeDocument/2006/relationships/hyperlink" Target="http://www.nevo.co.il/law/70301/413e" TargetMode="External"/><Relationship Id="rId20" Type="http://schemas.openxmlformats.org/officeDocument/2006/relationships/hyperlink" Target="http://www.nevo.co.il/law/70301/216.a.1" TargetMode="External"/><Relationship Id="rId21" Type="http://schemas.openxmlformats.org/officeDocument/2006/relationships/hyperlink" Target="http://www.nevo.co.il/law/70301/332.3" TargetMode="External"/><Relationship Id="rId22" Type="http://schemas.openxmlformats.org/officeDocument/2006/relationships/hyperlink" Target="http://www.nevo.co.il/law/70301/144.a" TargetMode="External"/><Relationship Id="rId23" Type="http://schemas.openxmlformats.org/officeDocument/2006/relationships/hyperlink" Target="http://www.nevo.co.il/law/70301/144.b" TargetMode="External"/><Relationship Id="rId24" Type="http://schemas.openxmlformats.org/officeDocument/2006/relationships/hyperlink" Target="http://www.nevo.co.il/law/70301/340a" TargetMode="External"/><Relationship Id="rId25" Type="http://schemas.openxmlformats.org/officeDocument/2006/relationships/hyperlink" Target="http://www.nevo.co.il/law/70301/329.a.2" TargetMode="External"/><Relationship Id="rId26" Type="http://schemas.openxmlformats.org/officeDocument/2006/relationships/hyperlink" Target="http://www.nevo.co.il/law/70301/413e" TargetMode="External"/><Relationship Id="rId27" Type="http://schemas.openxmlformats.org/officeDocument/2006/relationships/hyperlink" Target="http://www.nevo.co.il/case/4706376" TargetMode="External"/><Relationship Id="rId28" Type="http://schemas.openxmlformats.org/officeDocument/2006/relationships/hyperlink" Target="http://www.nevo.co.il/case/5573732" TargetMode="External"/><Relationship Id="rId29" Type="http://schemas.openxmlformats.org/officeDocument/2006/relationships/hyperlink" Target="http://www.nevo.co.il/law/74903" TargetMode="External"/><Relationship Id="rId30" Type="http://schemas.openxmlformats.org/officeDocument/2006/relationships/hyperlink" Target="http://www.nevo.co.il/law/70301/329.a.2" TargetMode="External"/><Relationship Id="rId31" Type="http://schemas.openxmlformats.org/officeDocument/2006/relationships/hyperlink" Target="http://www.nevo.co.il/law/70301" TargetMode="External"/><Relationship Id="rId32" Type="http://schemas.openxmlformats.org/officeDocument/2006/relationships/hyperlink" Target="http://www.nevo.co.il/case/5699762" TargetMode="External"/><Relationship Id="rId33" Type="http://schemas.openxmlformats.org/officeDocument/2006/relationships/hyperlink" Target="http://www.nevo.co.il/law/70301/152" TargetMode="External"/><Relationship Id="rId34" Type="http://schemas.openxmlformats.org/officeDocument/2006/relationships/hyperlink" Target="http://www.court.gov.il/" TargetMode="External"/><Relationship Id="rId35" Type="http://schemas.openxmlformats.org/officeDocument/2006/relationships/hyperlink" Target="http://www.nevo.co.il/advertisements/nevo-100.doc" TargetMode="External"/><Relationship Id="rId36" Type="http://schemas.openxmlformats.org/officeDocument/2006/relationships/header" Target="header1.xml"/><Relationship Id="rId37" Type="http://schemas.openxmlformats.org/officeDocument/2006/relationships/footer" Target="footer1.xml"/><Relationship Id="rId38" Type="http://schemas.openxmlformats.org/officeDocument/2006/relationships/fontTable" Target="fontTable.xml"/><Relationship Id="rId39" Type="http://schemas.openxmlformats.org/officeDocument/2006/relationships/settings" Target="settings.xml"/><Relationship Id="rId40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10060220.E02.doc</Template>
  <TotalTime>0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2014-12-28T11:34:00Z</dcterms:created>
  <dc:creator> </dc:creator>
  <dc:description/>
  <cp:keywords/>
  <dc:language>en-IL</dc:language>
  <cp:lastModifiedBy>hofit</cp:lastModifiedBy>
  <cp:lastPrinted>2012-03-08T15:21:00Z</cp:lastPrinted>
  <dcterms:modified xsi:type="dcterms:W3CDTF">2014-12-28T11:34:00Z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מוחמד שלעאטה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מדינת ישראל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NOTES1">
    <vt:lpwstr>ProcID=&amp;FileKey=mechozi/ME-09-12-24376-699</vt:lpwstr>
  </property>
  <property fmtid="{D5CDD505-2E9C-101B-9397-08002B2CF9AE}" pid="9" name="CASENOTES2">
    <vt:lpwstr>ProcID=&amp;FileKey=mechozi/ME-09-12-24376-103</vt:lpwstr>
  </property>
  <property fmtid="{D5CDD505-2E9C-101B-9397-08002B2CF9AE}" pid="10" name="CASENOTES3">
    <vt:lpwstr>ProcID=&amp;FileKey=mechozi/ME-09-12-24376-310</vt:lpwstr>
  </property>
  <property fmtid="{D5CDD505-2E9C-101B-9397-08002B2CF9AE}" pid="11" name="CASENOTES4">
    <vt:lpwstr>ProcID=&amp;FileKey=mechozi/ME-09-12-24376-341</vt:lpwstr>
  </property>
  <property fmtid="{D5CDD505-2E9C-101B-9397-08002B2CF9AE}" pid="12" name="CASENOTES5">
    <vt:lpwstr>ProcID=&amp;FileKey=mechozi/ME-09-12-24376-923</vt:lpwstr>
  </property>
  <property fmtid="{D5CDD505-2E9C-101B-9397-08002B2CF9AE}" pid="13" name="CASENOTES6">
    <vt:lpwstr>ProcID=213&amp;PartA=182&amp;PartC=18</vt:lpwstr>
  </property>
  <property fmtid="{D5CDD505-2E9C-101B-9397-08002B2CF9AE}" pid="14" name="CASESLISTTMP1">
    <vt:lpwstr>4853939:2;6045465;4706376;5573732;5699762</vt:lpwstr>
  </property>
  <property fmtid="{D5CDD505-2E9C-101B-9397-08002B2CF9AE}" pid="15" name="CITY">
    <vt:lpwstr/>
  </property>
  <property fmtid="{D5CDD505-2E9C-101B-9397-08002B2CF9AE}" pid="16" name="DATE">
    <vt:lpwstr>20120319</vt:lpwstr>
  </property>
  <property fmtid="{D5CDD505-2E9C-101B-9397-08002B2CF9AE}" pid="17" name="DELEMATA">
    <vt:lpwstr/>
  </property>
  <property fmtid="{D5CDD505-2E9C-101B-9397-08002B2CF9AE}" pid="18" name="ISABSTRACT">
    <vt:lpwstr>Y</vt:lpwstr>
  </property>
  <property fmtid="{D5CDD505-2E9C-101B-9397-08002B2CF9AE}" pid="19" name="JUDGE">
    <vt:lpwstr>א' רובינשטיין;ס' ג'ובראן;י' עמית</vt:lpwstr>
  </property>
  <property fmtid="{D5CDD505-2E9C-101B-9397-08002B2CF9AE}" pid="20" name="LAWLISTTMP1">
    <vt:lpwstr>70301/144.a:2;144.b;340a;329.a.2;413e;216.a.1;332.3;152</vt:lpwstr>
  </property>
  <property fmtid="{D5CDD505-2E9C-101B-9397-08002B2CF9AE}" pid="21" name="LAWLISTTMP2">
    <vt:lpwstr>74903</vt:lpwstr>
  </property>
  <property fmtid="{D5CDD505-2E9C-101B-9397-08002B2CF9AE}" pid="22" name="LAWYER">
    <vt:lpwstr>איילת קדוש;איברהים כנאענה</vt:lpwstr>
  </property>
  <property fmtid="{D5CDD505-2E9C-101B-9397-08002B2CF9AE}" pid="23" name="LINKK1">
    <vt:lpwstr>http://www.nevo.co.il/Psika_word/mechozi/ME-09-12-24376-699.doc;להחלטה במחוזי (10-02-2010)#תפ 24376-12-09 מדינת ישראל נ' מוחמד שלאעטה#שופטים: אליקים אברהם#עו''ד: גב' שרון אייל, כנעאנה</vt:lpwstr>
  </property>
  <property fmtid="{D5CDD505-2E9C-101B-9397-08002B2CF9AE}" pid="24" name="LINKK10">
    <vt:lpwstr>http://www.nevo.co.il/Psika_word/mechozi/ME-09-12-24376-341.doc;להכרעת-דין במחוזי (03-06-2010)#תפ 24376-12-09 מדינת ישראל נ' מוחמד שלאעטה #שופטים: אליקים אברהם#עו''ד: עינב איטסקו, כנאענה</vt:lpwstr>
  </property>
  <property fmtid="{D5CDD505-2E9C-101B-9397-08002B2CF9AE}" pid="25" name="LINKK11">
    <vt:lpwstr>http://www.nevo.co.il/Psika_word/mechozi/ME-09-12-24376-923.doc;לגזר-דין במחוזי (30-06-2010)#תפ 24376-12-09 מדינת ישראל נ' מוחמד שלאעטה #שופטים: אליקים אברהם#עו''ד: ערן בר אור, כנאענה</vt:lpwstr>
  </property>
  <property fmtid="{D5CDD505-2E9C-101B-9397-08002B2CF9AE}" pid="26" name="LINKK12">
    <vt:lpwstr>http://www.nevo.co.il/Psika_word/elyon/10060220-d01.doc;להחלטה בעליון (26-09-2011)#עפ 6022/10 מוחמד שלעאטה נ' מדינת ישראל#שופטים: גיא שני</vt:lpwstr>
  </property>
  <property fmtid="{D5CDD505-2E9C-101B-9397-08002B2CF9AE}" pid="27" name="LINKK2">
    <vt:lpwstr>http://www.nevo.co.il/Psika_word/mechozi/ME-09-12-24376-103.doc;להחלטה במחוזי (24-02-2010)#תפ 24376-12-09 מדינת ישראל נ' מוחמד שלאעטה #שופטים: אליקים אברהם#עו''ד: שרון אייל, כנאענה</vt:lpwstr>
  </property>
  <property fmtid="{D5CDD505-2E9C-101B-9397-08002B2CF9AE}" pid="28" name="LINKK3">
    <vt:lpwstr>http://www.nevo.co.il/Psika_word/mechozi/ME-09-12-24376-310.doc;להחלטה במחוזי (16-03-2010)#תפ 24376-12-09 מדינת ישראל נ' מוחמד שלאעטה#שופטים: אליקים אברהם#עו''ד: אייל, כנאענה</vt:lpwstr>
  </property>
  <property fmtid="{D5CDD505-2E9C-101B-9397-08002B2CF9AE}" pid="29" name="LINKK4">
    <vt:lpwstr>http://www.nevo.co.il/Psika_word/mechozi/ME-09-12-24376-341.doc;להכרעת-דין במחוזי (03-06-2010)#תפ 24376-12-09 מדינת ישראל נ' מוחמד שלאעטה #שופטים: אליקים אברהם#עו''ד: עינב איטסקו, כנאענה</vt:lpwstr>
  </property>
  <property fmtid="{D5CDD505-2E9C-101B-9397-08002B2CF9AE}" pid="30" name="LINKK5">
    <vt:lpwstr>http://www.nevo.co.il/Psika_word/mechozi/ME-09-12-24376-923.doc;לגזר-דין במחוזי (30-06-2010)#תפ 24376-12-09 מדינת ישראל נ' מוחמד שלאעטה #שופטים: אליקים אברהם#עו''ד: ערן בר אור, כנאענה</vt:lpwstr>
  </property>
  <property fmtid="{D5CDD505-2E9C-101B-9397-08002B2CF9AE}" pid="31" name="LINKK6">
    <vt:lpwstr>http://www.nevo.co.il/Psika_word/elyon/10060220-d01.doc;להחלטה בעליון (26-09-2011)#עפ 6022/10 מוחמד שלעאטה נ' מדינת ישראל#שופטים: גיא שני</vt:lpwstr>
  </property>
  <property fmtid="{D5CDD505-2E9C-101B-9397-08002B2CF9AE}" pid="32" name="LINKK7">
    <vt:lpwstr>http://www.nevo.co.il/Psika_word/mechozi/ME-09-12-24376-699.doc;להחלטה במחוזי (10-02-2010)#תפ 24376-12-09 מדינת ישראל נ' מוחמד שלאעטה#שופטים: אליקים אברהם#עו''ד: גב' שרון אייל, כנעאנה</vt:lpwstr>
  </property>
  <property fmtid="{D5CDD505-2E9C-101B-9397-08002B2CF9AE}" pid="33" name="LINKK8">
    <vt:lpwstr>http://www.nevo.co.il/Psika_word/mechozi/ME-09-12-24376-103.doc;להחלטה במחוזי (24-02-2010)#תפ 24376-12-09 מדינת ישראל נ' מוחמד שלאעטה #שופטים: אליקים אברהם#עו''ד: שרון אייל, כנאענה</vt:lpwstr>
  </property>
  <property fmtid="{D5CDD505-2E9C-101B-9397-08002B2CF9AE}" pid="34" name="LINKK9">
    <vt:lpwstr>http://www.nevo.co.il/Psika_word/mechozi/ME-09-12-24376-310.doc;להחלטה במחוזי (16-03-2010)#תפ 24376-12-09 מדינת ישראל נ' מוחמד שלאעטה#שופטים: אליקים אברהם#עו''ד: אייל, כנאענה</vt:lpwstr>
  </property>
  <property fmtid="{D5CDD505-2E9C-101B-9397-08002B2CF9AE}" pid="35" name="METAKZER">
    <vt:lpwstr>פאני</vt:lpwstr>
  </property>
  <property fmtid="{D5CDD505-2E9C-101B-9397-08002B2CF9AE}" pid="36" name="NEWPARTA">
    <vt:lpwstr/>
  </property>
  <property fmtid="{D5CDD505-2E9C-101B-9397-08002B2CF9AE}" pid="37" name="NEWPARTB">
    <vt:lpwstr/>
  </property>
  <property fmtid="{D5CDD505-2E9C-101B-9397-08002B2CF9AE}" pid="38" name="NEWPARTC">
    <vt:lpwstr/>
  </property>
  <property fmtid="{D5CDD505-2E9C-101B-9397-08002B2CF9AE}" pid="39" name="NEWPROC">
    <vt:lpwstr/>
  </property>
  <property fmtid="{D5CDD505-2E9C-101B-9397-08002B2CF9AE}" pid="40" name="NOSE11">
    <vt:lpwstr>ראיות</vt:lpwstr>
  </property>
  <property fmtid="{D5CDD505-2E9C-101B-9397-08002B2CF9AE}" pid="41" name="NOSE110">
    <vt:lpwstr/>
  </property>
  <property fmtid="{D5CDD505-2E9C-101B-9397-08002B2CF9AE}" pid="42" name="NOSE12">
    <vt:lpwstr>דיון פלילי</vt:lpwstr>
  </property>
  <property fmtid="{D5CDD505-2E9C-101B-9397-08002B2CF9AE}" pid="43" name="NOSE13">
    <vt:lpwstr>עונשין</vt:lpwstr>
  </property>
  <property fmtid="{D5CDD505-2E9C-101B-9397-08002B2CF9AE}" pid="44" name="NOSE14">
    <vt:lpwstr>עונשין</vt:lpwstr>
  </property>
  <property fmtid="{D5CDD505-2E9C-101B-9397-08002B2CF9AE}" pid="45" name="NOSE15">
    <vt:lpwstr/>
  </property>
  <property fmtid="{D5CDD505-2E9C-101B-9397-08002B2CF9AE}" pid="46" name="NOSE16">
    <vt:lpwstr/>
  </property>
  <property fmtid="{D5CDD505-2E9C-101B-9397-08002B2CF9AE}" pid="47" name="NOSE17">
    <vt:lpwstr/>
  </property>
  <property fmtid="{D5CDD505-2E9C-101B-9397-08002B2CF9AE}" pid="48" name="NOSE18">
    <vt:lpwstr/>
  </property>
  <property fmtid="{D5CDD505-2E9C-101B-9397-08002B2CF9AE}" pid="49" name="NOSE19">
    <vt:lpwstr/>
  </property>
  <property fmtid="{D5CDD505-2E9C-101B-9397-08002B2CF9AE}" pid="50" name="NOSE21">
    <vt:lpwstr>מהימנות</vt:lpwstr>
  </property>
  <property fmtid="{D5CDD505-2E9C-101B-9397-08002B2CF9AE}" pid="51" name="NOSE210">
    <vt:lpwstr/>
  </property>
  <property fmtid="{D5CDD505-2E9C-101B-9397-08002B2CF9AE}" pid="52" name="NOSE22">
    <vt:lpwstr>ערעור</vt:lpwstr>
  </property>
  <property fmtid="{D5CDD505-2E9C-101B-9397-08002B2CF9AE}" pid="53" name="NOSE23">
    <vt:lpwstr>עבירות</vt:lpwstr>
  </property>
  <property fmtid="{D5CDD505-2E9C-101B-9397-08002B2CF9AE}" pid="54" name="NOSE24">
    <vt:lpwstr>ענישה</vt:lpwstr>
  </property>
  <property fmtid="{D5CDD505-2E9C-101B-9397-08002B2CF9AE}" pid="55" name="NOSE25">
    <vt:lpwstr/>
  </property>
  <property fmtid="{D5CDD505-2E9C-101B-9397-08002B2CF9AE}" pid="56" name="NOSE26">
    <vt:lpwstr/>
  </property>
  <property fmtid="{D5CDD505-2E9C-101B-9397-08002B2CF9AE}" pid="57" name="NOSE27">
    <vt:lpwstr/>
  </property>
  <property fmtid="{D5CDD505-2E9C-101B-9397-08002B2CF9AE}" pid="58" name="NOSE28">
    <vt:lpwstr/>
  </property>
  <property fmtid="{D5CDD505-2E9C-101B-9397-08002B2CF9AE}" pid="59" name="NOSE29">
    <vt:lpwstr/>
  </property>
  <property fmtid="{D5CDD505-2E9C-101B-9397-08002B2CF9AE}" pid="60" name="NOSE31">
    <vt:lpwstr>התערבות ערכאת ערעור</vt:lpwstr>
  </property>
  <property fmtid="{D5CDD505-2E9C-101B-9397-08002B2CF9AE}" pid="61" name="NOSE310">
    <vt:lpwstr/>
  </property>
  <property fmtid="{D5CDD505-2E9C-101B-9397-08002B2CF9AE}" pid="62" name="NOSE32">
    <vt:lpwstr>אי-התערבות בממצאים עובדתיים</vt:lpwstr>
  </property>
  <property fmtid="{D5CDD505-2E9C-101B-9397-08002B2CF9AE}" pid="63" name="NOSE33">
    <vt:lpwstr>חבלה בכוונה מחמירה</vt:lpwstr>
  </property>
  <property fmtid="{D5CDD505-2E9C-101B-9397-08002B2CF9AE}" pid="64" name="NOSE34">
    <vt:lpwstr>התערבות ערכאת הערעור</vt:lpwstr>
  </property>
  <property fmtid="{D5CDD505-2E9C-101B-9397-08002B2CF9AE}" pid="65" name="NOSE35">
    <vt:lpwstr/>
  </property>
  <property fmtid="{D5CDD505-2E9C-101B-9397-08002B2CF9AE}" pid="66" name="NOSE36">
    <vt:lpwstr/>
  </property>
  <property fmtid="{D5CDD505-2E9C-101B-9397-08002B2CF9AE}" pid="67" name="NOSE37">
    <vt:lpwstr/>
  </property>
  <property fmtid="{D5CDD505-2E9C-101B-9397-08002B2CF9AE}" pid="68" name="NOSE38">
    <vt:lpwstr/>
  </property>
  <property fmtid="{D5CDD505-2E9C-101B-9397-08002B2CF9AE}" pid="69" name="NOSE39">
    <vt:lpwstr/>
  </property>
  <property fmtid="{D5CDD505-2E9C-101B-9397-08002B2CF9AE}" pid="70" name="PADIMAIL">
    <vt:lpwstr>YES</vt:lpwstr>
  </property>
  <property fmtid="{D5CDD505-2E9C-101B-9397-08002B2CF9AE}" pid="71" name="PAGE">
    <vt:lpwstr/>
  </property>
  <property fmtid="{D5CDD505-2E9C-101B-9397-08002B2CF9AE}" pid="72" name="PART">
    <vt:lpwstr/>
  </property>
  <property fmtid="{D5CDD505-2E9C-101B-9397-08002B2CF9AE}" pid="73" name="PROCESS">
    <vt:lpwstr>עפ</vt:lpwstr>
  </property>
  <property fmtid="{D5CDD505-2E9C-101B-9397-08002B2CF9AE}" pid="74" name="PROCNUM">
    <vt:lpwstr>6022</vt:lpwstr>
  </property>
  <property fmtid="{D5CDD505-2E9C-101B-9397-08002B2CF9AE}" pid="75" name="PROCYEAR">
    <vt:lpwstr>10</vt:lpwstr>
  </property>
  <property fmtid="{D5CDD505-2E9C-101B-9397-08002B2CF9AE}" pid="76" name="PSAKDIN">
    <vt:lpwstr>פסק-דין</vt:lpwstr>
  </property>
  <property fmtid="{D5CDD505-2E9C-101B-9397-08002B2CF9AE}" pid="77" name="PadiDate">
    <vt:lpwstr>20120320</vt:lpwstr>
  </property>
  <property fmtid="{D5CDD505-2E9C-101B-9397-08002B2CF9AE}" pid="78" name="TYPE">
    <vt:lpwstr>1</vt:lpwstr>
  </property>
  <property fmtid="{D5CDD505-2E9C-101B-9397-08002B2CF9AE}" pid="79" name="TYPE_ABS_DATE">
    <vt:lpwstr>410120120319</vt:lpwstr>
  </property>
  <property fmtid="{D5CDD505-2E9C-101B-9397-08002B2CF9AE}" pid="80" name="TYPE_N_DATE">
    <vt:lpwstr>41020120319</vt:lpwstr>
  </property>
  <property fmtid="{D5CDD505-2E9C-101B-9397-08002B2CF9AE}" pid="81" name="VOLUME">
    <vt:lpwstr/>
  </property>
  <property fmtid="{D5CDD505-2E9C-101B-9397-08002B2CF9AE}" pid="82" name="WORDNUMPAGES">
    <vt:lpwstr>10</vt:lpwstr>
  </property>
</Properties>
</file>