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sz w:val="22"/>
                <w:sz w:val="22"/>
                <w:szCs w:val="30"/>
                <w:rtl w:val="true"/>
              </w:rPr>
              <w:t>בבית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המשפט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העליון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בשבתו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כבית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משפט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לערעורים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6204/13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ארז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יהושע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סופר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28.7.13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47694-08-11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חיימוביץ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ז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בשב</w:t>
            </w:r>
            <w:bookmarkEnd w:id="5"/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8.1.2014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שמעון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תורג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מן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חיים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שוייצר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auto" w:line="36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7" w:name="LawTable"/>
      <w:bookmarkStart w:id="8" w:name="LawTable"/>
      <w:bookmarkEnd w:id="8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ד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448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498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bookmarkStart w:id="9" w:name="ABSTRACT_START"/>
      <w:bookmarkEnd w:id="9"/>
      <w:r>
        <w:rPr>
          <w:rFonts w:ascii="Times New Roman" w:hAnsi="Times New Roman" w:cs="Times New Roman"/>
          <w:spacing w:val="0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נדחה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שהושת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הרשעתו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בהצתה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טענת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פער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ראוי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לעונשו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שותפו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ופסק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להתערב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בהכרעת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הערכאה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הדיונית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לחרוג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מהמתחם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עונשין – ענישה – מתחם הענישה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עונשין – ענישה – התערבות ערכאת הערעור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עונשין – ענישה – תסקיר שירות מבחן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שיקום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בתי</w:t>
      </w:r>
      <w:r>
        <w:rPr>
          <w:rFonts w:cs="Times New Roman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Cs w:val="26"/>
          <w:rtl w:val="true"/>
        </w:rPr>
        <w:t>משפט – ערעור – התערבות במידת העונש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הושת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הרשעתו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בהצתה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12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מאסר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cs="Times New Roman" w:ascii="Times New Roman" w:hAnsi="Times New Roman"/>
          <w:spacing w:val="0"/>
          <w:szCs w:val="26"/>
        </w:rPr>
        <w:t>6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תנאי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פיצוי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למתלוננים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בסך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1,500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ח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הפעלת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התחייבות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כספית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קודם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הרקע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זריקת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בקבוק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תבערה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תושב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אופקים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ידע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ערבי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טוען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לעניין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הפער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שותפו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לפרשה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Cs w:val="26"/>
          <w:rtl w:val="true"/>
        </w:rPr>
        <w:t>להלן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Cs w:val="26"/>
          <w:rtl w:val="true"/>
        </w:rPr>
        <w:t>שוקר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) - </w:t>
      </w:r>
      <w:r>
        <w:rPr>
          <w:rFonts w:cs="Times New Roman" w:ascii="Times New Roman" w:hAnsi="Times New Roman"/>
          <w:spacing w:val="0"/>
          <w:szCs w:val="26"/>
        </w:rPr>
        <w:t>5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בעבודות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שירות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כן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טוען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לעניין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ההולם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12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</w:t>
      </w:r>
      <w:r>
        <w:rPr>
          <w:rFonts w:cs="Times New Roman" w:ascii="Times New Roman" w:hAnsi="Times New Roman"/>
          <w:spacing w:val="0"/>
          <w:szCs w:val="26"/>
          <w:rtl w:val="true"/>
        </w:rPr>
        <w:t>-</w:t>
      </w:r>
      <w:r>
        <w:rPr>
          <w:rFonts w:cs="Times New Roman" w:ascii="Times New Roman" w:hAnsi="Times New Roman"/>
          <w:spacing w:val="0"/>
          <w:szCs w:val="26"/>
        </w:rPr>
        <w:t>36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בפועל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ולחילופין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הכרעתו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לחרוג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לקולה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מהמתחם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בית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המשפט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Cs w:val="26"/>
          <w:rtl w:val="true"/>
        </w:rPr>
        <w:t>מפי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השופט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</w:t>
      </w:r>
      <w:r>
        <w:rPr>
          <w:rFonts w:cs="Times New Roman" w:ascii="Times New Roman" w:hAnsi="Times New Roman"/>
          <w:spacing w:val="0"/>
          <w:szCs w:val="26"/>
          <w:rtl w:val="true"/>
        </w:rPr>
        <w:t>'</w:t>
      </w:r>
      <w:r>
        <w:rPr>
          <w:rFonts w:ascii="Times New Roman" w:hAnsi="Times New Roman" w:cs="Times New Roman"/>
          <w:spacing w:val="0"/>
          <w:szCs w:val="26"/>
          <w:rtl w:val="true"/>
        </w:rPr>
        <w:t>ובראן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ובהסכמת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השופטים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מלצר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וברק</w:t>
      </w:r>
      <w:r>
        <w:rPr>
          <w:rFonts w:cs="Times New Roman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Cs w:val="26"/>
          <w:rtl w:val="true"/>
        </w:rPr>
        <w:t>ארז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ופסק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cs="Times New Roman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ascii="Times New Roman" w:hAnsi="Times New Roman" w:cs="Times New Roman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מתערבת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בחומרת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שקבעה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הערכאה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הדיונית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אלא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חריגים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הדברים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נכונים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לאחר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כניסתו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לתוקף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תיקון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113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לחוק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העונשין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נמנה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אותם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המצדיקים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התערבות</w:t>
      </w:r>
      <w:r>
        <w:rPr>
          <w:rFonts w:cs="Times New Roman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טענת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פער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ראוי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שוקר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נדחתה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חלקו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שוקר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בעבירה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כלל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אספקת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המצת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שהכין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בקבוק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התבערה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נהג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ברכב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לבית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אליו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התכוון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להשליך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הבקבוק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והשליכו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הבית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המדרג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ההבחנה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השניים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התייחס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לחלקו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העובדתי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שוקר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לעומת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מרכזיותו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בהן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הורשעו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השניים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בעניינו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שוקר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ההכרעה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כללה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התייחסות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עצמם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וחומרתם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לסעיף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לפיו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הורשע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טענת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חמור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מעשה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נדחתה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עמד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למעשה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תוצאותיה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בנוסף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ניתח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הפסיקה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הסתמך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לעניין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הנוהגת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כך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שניתן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להבחין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מדוע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נגזרו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השונים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ובאילו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נסיבות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דנן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ואינו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נוטה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לקולה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התייחס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השיקום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לתסקיר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המבחן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הלכה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בגדר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המלצה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בלבד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עבור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ואינו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מחייב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אותו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שוקל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אחרים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מלבד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התסקיר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בענייננו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הביאו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לקבל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המלצת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המבחן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השיקום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תיקון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113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שקל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נסיבותיו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האישיות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סבר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השיקום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מצדיקים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חריגה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סבר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תובא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בחשבון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תמונת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המצב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החיובית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יותר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שעמדה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בפני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נוכח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התסקירים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החיוביים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שקדמו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לתסקיר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שהוגש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בפניו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הצדקה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לחריגה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כזו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/>
          <w:spacing w:val="0"/>
          <w:szCs w:val="26"/>
          <w:rtl w:val="true"/>
        </w:rPr>
      </w:r>
      <w:bookmarkStart w:id="10" w:name="ABSTRACT_END"/>
      <w:bookmarkStart w:id="11" w:name="ABSTRACT_END"/>
      <w:bookmarkEnd w:id="11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2" w:name="PsakDin"/>
            <w:bookmarkStart w:id="13" w:name="secretary"/>
            <w:bookmarkStart w:id="14" w:name="BeginProtocol"/>
            <w:bookmarkEnd w:id="12"/>
            <w:bookmarkEnd w:id="13"/>
            <w:bookmarkEnd w:id="14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5" w:name="Writer_Name"/>
      <w:bookmarkStart w:id="16" w:name="Writer_Name"/>
      <w:bookmarkEnd w:id="16"/>
    </w:p>
    <w:p>
      <w:pPr>
        <w:pStyle w:val="BODYVERDICT"/>
        <w:ind w:end="0"/>
        <w:jc w:val="start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ובראן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  <w:bookmarkStart w:id="17" w:name="Start_Write"/>
      <w:bookmarkStart w:id="18" w:name="Start_Write"/>
      <w:bookmarkEnd w:id="18"/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ערעור על גזר דינו של בית המשפט המחוזי בבאר שבע </w:t>
      </w:r>
      <w:r>
        <w:rPr>
          <w:rtl w:val="true"/>
        </w:rPr>
        <w:t>(</w:t>
      </w:r>
      <w:r>
        <w:rPr>
          <w:rtl w:val="true"/>
        </w:rPr>
        <w:t xml:space="preserve">השופטת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ט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חיימוביץ</w:t>
      </w:r>
      <w:r>
        <w:rPr>
          <w:rtl w:val="true"/>
        </w:rPr>
        <w:t xml:space="preserve">) </w:t>
      </w:r>
      <w:r>
        <w:rPr>
          <w:rtl w:val="true"/>
        </w:rPr>
        <w:t>ב</w:t>
      </w:r>
      <w:hyperlink r:id="rId7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47694-08-11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 xml:space="preserve">מיום </w:t>
      </w:r>
      <w:r>
        <w:rPr/>
        <w:t>28.7.2013</w:t>
      </w:r>
      <w:r>
        <w:rPr>
          <w:rtl w:val="true"/>
        </w:rPr>
        <w:t xml:space="preserve">, </w:t>
      </w:r>
      <w:r>
        <w:rPr>
          <w:rtl w:val="true"/>
        </w:rPr>
        <w:t>במסגרתו הושת על המערער עונש של שנים עשר חודשי מאסר</w:t>
      </w:r>
      <w:r>
        <w:rPr>
          <w:rtl w:val="true"/>
        </w:rPr>
        <w:t xml:space="preserve">; </w:t>
      </w:r>
      <w:r>
        <w:rPr>
          <w:rtl w:val="true"/>
        </w:rPr>
        <w:t>שישה חודשי מאסר על תנאי</w:t>
      </w:r>
      <w:r>
        <w:rPr>
          <w:rtl w:val="true"/>
        </w:rPr>
        <w:t xml:space="preserve">, </w:t>
      </w:r>
      <w:r>
        <w:rPr>
          <w:rtl w:val="true"/>
        </w:rPr>
        <w:t>למשך שלוש שנים משחרורו</w:t>
      </w:r>
      <w:r>
        <w:rPr>
          <w:rtl w:val="true"/>
        </w:rPr>
        <w:t xml:space="preserve">, </w:t>
      </w:r>
      <w:r>
        <w:rPr>
          <w:rtl w:val="true"/>
        </w:rPr>
        <w:t>שלא יעבור את העבירה בה הורשע או כל עבירת אלימות מסוג פשע</w:t>
      </w:r>
      <w:r>
        <w:rPr>
          <w:rtl w:val="true"/>
        </w:rPr>
        <w:t xml:space="preserve">; </w:t>
      </w:r>
      <w:r>
        <w:rPr>
          <w:rtl w:val="true"/>
        </w:rPr>
        <w:t xml:space="preserve">פיצוי למתלוננים בסך </w:t>
      </w:r>
      <w:r>
        <w:rPr/>
        <w:t>1,500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; </w:t>
      </w:r>
      <w:r>
        <w:rPr>
          <w:rtl w:val="true"/>
        </w:rPr>
        <w:t>כן הופעלה התחייבות כספית מגזר דין קודם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spacing w:lineRule="auto" w:line="480"/>
        <w:ind w:hanging="0" w:start="0"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כתב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האישום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כתב האישום המתוקן מיום </w:t>
      </w:r>
      <w:r>
        <w:rPr/>
        <w:t>27.2.2012</w:t>
      </w:r>
      <w:r>
        <w:rPr>
          <w:rtl w:val="true"/>
        </w:rPr>
        <w:t xml:space="preserve">, </w:t>
      </w:r>
      <w:r>
        <w:rPr>
          <w:rtl w:val="true"/>
        </w:rPr>
        <w:t xml:space="preserve">מתאר אירוע שהתרחש ביום </w:t>
      </w:r>
      <w:r>
        <w:rPr/>
        <w:t>23.8.2011</w:t>
      </w:r>
      <w:r>
        <w:rPr>
          <w:rtl w:val="true"/>
        </w:rPr>
        <w:t xml:space="preserve">, </w:t>
      </w:r>
      <w:r>
        <w:rPr>
          <w:rtl w:val="true"/>
        </w:rPr>
        <w:t xml:space="preserve">החל מהשעה </w:t>
      </w:r>
      <w:r>
        <w:rPr/>
        <w:t>20:15</w:t>
      </w:r>
      <w:r>
        <w:rPr>
          <w:rtl w:val="true"/>
        </w:rPr>
        <w:t xml:space="preserve">. </w:t>
      </w:r>
      <w:r>
        <w:rPr>
          <w:rtl w:val="true"/>
        </w:rPr>
        <w:t>סמוך לשעה זו הכין המערער בביתו בקבוק תבערה מזכוכית שהכיל בנזין</w:t>
      </w:r>
      <w:r>
        <w:rPr>
          <w:rtl w:val="true"/>
        </w:rPr>
        <w:t xml:space="preserve">, </w:t>
      </w:r>
      <w:r>
        <w:rPr>
          <w:rtl w:val="true"/>
        </w:rPr>
        <w:t>ובפיית הבקבוק בד</w:t>
      </w:r>
      <w:r>
        <w:rPr>
          <w:rtl w:val="true"/>
        </w:rPr>
        <w:t xml:space="preserve">, </w:t>
      </w:r>
      <w:r>
        <w:rPr>
          <w:rtl w:val="true"/>
        </w:rPr>
        <w:t>וזאת לצורך השלכתו לעבר ביתו של תושב אופקים</w:t>
      </w:r>
      <w:r>
        <w:rPr>
          <w:rtl w:val="true"/>
        </w:rPr>
        <w:t xml:space="preserve">, </w:t>
      </w:r>
      <w:r>
        <w:rPr>
          <w:rtl w:val="true"/>
        </w:rPr>
        <w:t>שהמערער ידע כי הוא ערבי</w:t>
      </w:r>
      <w:r>
        <w:rPr>
          <w:rtl w:val="true"/>
        </w:rPr>
        <w:t xml:space="preserve">. </w:t>
      </w:r>
      <w:r>
        <w:rPr>
          <w:rtl w:val="true"/>
        </w:rPr>
        <w:t>המערער הניח את הבקבוק ברכבו</w:t>
      </w:r>
      <w:r>
        <w:rPr>
          <w:rtl w:val="true"/>
        </w:rPr>
        <w:t xml:space="preserve">, </w:t>
      </w:r>
      <w:r>
        <w:rPr>
          <w:rtl w:val="true"/>
        </w:rPr>
        <w:t xml:space="preserve">ומאוחר יותר נסע יחד עם נהוראי שוקר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שוקר</w:t>
      </w:r>
      <w:r>
        <w:rPr>
          <w:rtl w:val="true"/>
        </w:rPr>
        <w:t xml:space="preserve">) </w:t>
      </w:r>
      <w:r>
        <w:rPr>
          <w:rtl w:val="true"/>
        </w:rPr>
        <w:t>ואדם נוסף</w:t>
      </w:r>
      <w:r>
        <w:rPr>
          <w:rtl w:val="true"/>
        </w:rPr>
        <w:t xml:space="preserve">, </w:t>
      </w:r>
      <w:r>
        <w:rPr>
          <w:rtl w:val="true"/>
        </w:rPr>
        <w:t>לעבר ביתו של אותו תושב</w:t>
      </w:r>
      <w:r>
        <w:rPr>
          <w:rtl w:val="true"/>
        </w:rPr>
        <w:t xml:space="preserve">. </w:t>
      </w:r>
      <w:r>
        <w:rPr>
          <w:rtl w:val="true"/>
        </w:rPr>
        <w:t>במהלך הנסיעה הורידו את האדם הנוסף</w:t>
      </w:r>
      <w:r>
        <w:rPr>
          <w:rtl w:val="true"/>
        </w:rPr>
        <w:t xml:space="preserve">, </w:t>
      </w:r>
      <w:r>
        <w:rPr>
          <w:rtl w:val="true"/>
        </w:rPr>
        <w:t>ולאחר מכן הגיעו לבית שאליו נסעו</w:t>
      </w:r>
      <w:r>
        <w:rPr>
          <w:rtl w:val="true"/>
        </w:rPr>
        <w:t xml:space="preserve">. </w:t>
      </w:r>
      <w:r>
        <w:rPr>
          <w:rtl w:val="true"/>
        </w:rPr>
        <w:t>בהגיעם</w:t>
      </w:r>
      <w:r>
        <w:rPr>
          <w:rtl w:val="true"/>
        </w:rPr>
        <w:t xml:space="preserve">, </w:t>
      </w:r>
      <w:r>
        <w:rPr>
          <w:rtl w:val="true"/>
        </w:rPr>
        <w:t>לאחר חצות</w:t>
      </w:r>
      <w:r>
        <w:rPr>
          <w:rtl w:val="true"/>
        </w:rPr>
        <w:t xml:space="preserve">, </w:t>
      </w:r>
      <w:r>
        <w:rPr>
          <w:rtl w:val="true"/>
        </w:rPr>
        <w:t>המערער קיבל משוקר מצת</w:t>
      </w:r>
      <w:r>
        <w:rPr>
          <w:rtl w:val="true"/>
        </w:rPr>
        <w:t xml:space="preserve">, </w:t>
      </w:r>
      <w:r>
        <w:rPr>
          <w:rtl w:val="true"/>
        </w:rPr>
        <w:t>הצית את הבקבוק והשליכו לעבר גדר עטופה ברזנט שהקיפה את הבית</w:t>
      </w:r>
      <w:r>
        <w:rPr>
          <w:rtl w:val="true"/>
        </w:rPr>
        <w:t xml:space="preserve">. </w:t>
      </w:r>
      <w:r>
        <w:rPr>
          <w:rtl w:val="true"/>
        </w:rPr>
        <w:t>הבקבוק פגע בחלקה התחתון של הגדר</w:t>
      </w:r>
      <w:r>
        <w:rPr>
          <w:rtl w:val="true"/>
        </w:rPr>
        <w:t xml:space="preserve">, </w:t>
      </w:r>
      <w:r>
        <w:rPr>
          <w:rtl w:val="true"/>
        </w:rPr>
        <w:t>התפוצץ והצית חלק מהברזנט</w:t>
      </w:r>
      <w:r>
        <w:rPr>
          <w:rtl w:val="true"/>
        </w:rPr>
        <w:t xml:space="preserve">. </w:t>
      </w:r>
      <w:r>
        <w:rPr>
          <w:rtl w:val="true"/>
        </w:rPr>
        <w:t>דיירי הבית כיבו את השריפה</w:t>
      </w:r>
      <w:r>
        <w:rPr>
          <w:rtl w:val="true"/>
        </w:rPr>
        <w:t xml:space="preserve">. </w:t>
      </w:r>
      <w:r>
        <w:rPr>
          <w:rtl w:val="true"/>
        </w:rPr>
        <w:t>בגין מעשה זה הואשם המערער בעבירת הצתה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448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 ל</w:t>
      </w:r>
      <w:hyperlink r:id="rId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העונשין</w:t>
      </w:r>
      <w:r>
        <w:rPr>
          <w:rtl w:val="true"/>
        </w:rPr>
        <w:t>).</w:t>
      </w:r>
      <w:r>
        <w:rPr>
          <w:rFonts w:cs="Century" w:ascii="Century" w:hAnsi="Century"/>
          <w:sz w:val="22"/>
          <w:rtl w:val="true"/>
        </w:rPr>
        <w:t xml:space="preserve">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בית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המשפט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המחוזי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9.9.2012</w:t>
      </w:r>
      <w:r>
        <w:rPr>
          <w:rtl w:val="true"/>
        </w:rPr>
        <w:t xml:space="preserve">, </w:t>
      </w:r>
      <w:r>
        <w:rPr>
          <w:rtl w:val="true"/>
        </w:rPr>
        <w:t>בית המשפט המחוזי הרשיע את המערער על פי הודאתו במסגרת הסדר טיעון</w:t>
      </w:r>
      <w:r>
        <w:rPr>
          <w:rtl w:val="true"/>
        </w:rPr>
        <w:t xml:space="preserve">, </w:t>
      </w:r>
      <w:r>
        <w:rPr>
          <w:rtl w:val="true"/>
        </w:rPr>
        <w:t>בעבירה שיוחסה לו בכתב האישום המתוקן</w:t>
      </w:r>
      <w:r>
        <w:rPr>
          <w:rtl w:val="true"/>
        </w:rPr>
        <w:t xml:space="preserve">. </w:t>
      </w:r>
      <w:r>
        <w:rPr>
          <w:rtl w:val="true"/>
        </w:rPr>
        <w:t>לבקשת המערער</w:t>
      </w:r>
      <w:r>
        <w:rPr>
          <w:rtl w:val="true"/>
        </w:rPr>
        <w:t xml:space="preserve">, </w:t>
      </w:r>
      <w:r>
        <w:rPr>
          <w:rtl w:val="true"/>
        </w:rPr>
        <w:t>הורה בית המשפט על קבלת תסקיר שירות מבחן בעניינו</w:t>
      </w:r>
      <w:r>
        <w:rPr>
          <w:rtl w:val="true"/>
        </w:rPr>
        <w:t xml:space="preserve">. </w:t>
      </w:r>
      <w:r>
        <w:rPr>
          <w:rtl w:val="true"/>
        </w:rPr>
        <w:t>במספר תסקירי מבחן שנערכו התייחס שירות המבחן לרקע הקשה בו גדל המערער</w:t>
      </w:r>
      <w:r>
        <w:rPr>
          <w:rtl w:val="true"/>
        </w:rPr>
        <w:t xml:space="preserve">, </w:t>
      </w:r>
      <w:r>
        <w:rPr>
          <w:rtl w:val="true"/>
        </w:rPr>
        <w:t>ולכך שנראה כי המעשה בוצע על רקע רצונו למצוא מקור שייכות כלשהו</w:t>
      </w:r>
      <w:r>
        <w:rPr>
          <w:rtl w:val="true"/>
        </w:rPr>
        <w:t xml:space="preserve">. </w:t>
      </w:r>
      <w:r>
        <w:rPr>
          <w:rtl w:val="true"/>
        </w:rPr>
        <w:t>שירות המבחן התרשם מרצונו של המערער להשתלב בטיפול</w:t>
      </w:r>
      <w:r>
        <w:rPr>
          <w:rtl w:val="true"/>
        </w:rPr>
        <w:t xml:space="preserve">, </w:t>
      </w:r>
      <w:r>
        <w:rPr>
          <w:rtl w:val="true"/>
        </w:rPr>
        <w:t>והמליץ על עונש של שישה חודשי מאסר שירוצו בעבודות שירות וצו מבחן לשנה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28.7.2013</w:t>
      </w:r>
      <w:r>
        <w:rPr>
          <w:rtl w:val="true"/>
        </w:rPr>
        <w:t xml:space="preserve"> </w:t>
      </w:r>
      <w:r>
        <w:rPr>
          <w:rtl w:val="true"/>
        </w:rPr>
        <w:t>נגזר דינו של המערער</w:t>
      </w:r>
      <w:r>
        <w:rPr>
          <w:rtl w:val="true"/>
        </w:rPr>
        <w:t xml:space="preserve">. </w:t>
      </w:r>
      <w:r>
        <w:rPr>
          <w:rtl w:val="true"/>
        </w:rPr>
        <w:t>בגזר הדין</w:t>
      </w:r>
      <w:r>
        <w:rPr>
          <w:rtl w:val="true"/>
        </w:rPr>
        <w:t xml:space="preserve">, </w:t>
      </w:r>
      <w:r>
        <w:rPr>
          <w:rtl w:val="true"/>
        </w:rPr>
        <w:t>קבע בית המשפט המחוזי את מתחם הענישה לעבירה שביצע המערער בנסיבותיה</w:t>
      </w:r>
      <w:r>
        <w:rPr>
          <w:rtl w:val="true"/>
        </w:rPr>
        <w:t xml:space="preserve">, </w:t>
      </w:r>
      <w:r>
        <w:rPr>
          <w:rtl w:val="true"/>
        </w:rPr>
        <w:t xml:space="preserve">על פי הוראת תיקון </w:t>
      </w:r>
      <w:r>
        <w:rPr/>
        <w:t>113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10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. </w:t>
      </w:r>
      <w:r>
        <w:rPr>
          <w:rtl w:val="true"/>
        </w:rPr>
        <w:t>במסגרת זו דן הוא בערך החברתי של העבירה</w:t>
      </w:r>
      <w:r>
        <w:rPr>
          <w:rtl w:val="true"/>
        </w:rPr>
        <w:t xml:space="preserve">, </w:t>
      </w:r>
      <w:r>
        <w:rPr>
          <w:rtl w:val="true"/>
        </w:rPr>
        <w:t>בענישה הנוהגת</w:t>
      </w:r>
      <w:r>
        <w:rPr>
          <w:rtl w:val="true"/>
        </w:rPr>
        <w:t xml:space="preserve">, </w:t>
      </w:r>
      <w:r>
        <w:rPr>
          <w:rtl w:val="true"/>
        </w:rPr>
        <w:t>ובנסיבות העבירה</w:t>
      </w:r>
      <w:r>
        <w:rPr>
          <w:rtl w:val="true"/>
        </w:rPr>
        <w:t xml:space="preserve">. </w:t>
      </w:r>
      <w:r>
        <w:rPr>
          <w:rtl w:val="true"/>
        </w:rPr>
        <w:t xml:space="preserve">בית המשפט קבע כי מתחם הענישה ההולם בעניינה של העבירה שעבר המערער הוא בין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לבין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. </w:t>
      </w:r>
      <w:r>
        <w:rPr>
          <w:rtl w:val="true"/>
        </w:rPr>
        <w:t>לאחר מכן דן בנסיבותיו האישיות של המערער לאור תסקיר המבחן</w:t>
      </w:r>
      <w:r>
        <w:rPr>
          <w:rtl w:val="true"/>
        </w:rPr>
        <w:t xml:space="preserve">, </w:t>
      </w:r>
      <w:r>
        <w:rPr>
          <w:rtl w:val="true"/>
        </w:rPr>
        <w:t>ובכללן עברו הפלילי</w:t>
      </w:r>
      <w:r>
        <w:rPr>
          <w:rtl w:val="true"/>
        </w:rPr>
        <w:t xml:space="preserve">, </w:t>
      </w:r>
      <w:r>
        <w:rPr>
          <w:rtl w:val="true"/>
        </w:rPr>
        <w:t>נסיבות חייו והשתלבותו בהליך שיקומי</w:t>
      </w:r>
      <w:r>
        <w:rPr>
          <w:rtl w:val="true"/>
        </w:rPr>
        <w:t xml:space="preserve">. </w:t>
      </w:r>
      <w:r>
        <w:rPr>
          <w:rtl w:val="true"/>
        </w:rPr>
        <w:t>כן נדונה ההשוואה בין המערער לבין שוקר</w:t>
      </w:r>
      <w:r>
        <w:rPr>
          <w:rtl w:val="true"/>
        </w:rPr>
        <w:t xml:space="preserve">, </w:t>
      </w:r>
      <w:r>
        <w:rPr>
          <w:rtl w:val="true"/>
        </w:rPr>
        <w:t>לעניין חומרת המעשים והעונש</w:t>
      </w:r>
      <w:r>
        <w:rPr>
          <w:rtl w:val="true"/>
        </w:rPr>
        <w:t xml:space="preserve">.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נגזר דינו של המערער</w:t>
      </w:r>
      <w:r>
        <w:rPr>
          <w:rtl w:val="true"/>
        </w:rPr>
        <w:t xml:space="preserve">, </w:t>
      </w:r>
      <w:r>
        <w:rPr>
          <w:rtl w:val="true"/>
        </w:rPr>
        <w:t xml:space="preserve">כמפורט בפסקה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>.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טענות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המערער</w:t>
      </w:r>
    </w:p>
    <w:p>
      <w:pPr>
        <w:pStyle w:val="Ruller42"/>
        <w:numPr>
          <w:ilvl w:val="0"/>
          <w:numId w:val="0"/>
        </w:numPr>
        <w:spacing w:lineRule="auto" w:line="240"/>
        <w:ind w:hanging="0" w:start="0" w:end="0"/>
        <w:jc w:val="both"/>
        <w:rPr>
          <w:rFonts w:eastAsia="Garamond"/>
        </w:rPr>
      </w:pPr>
      <w:r>
        <w:rPr>
          <w:rFonts w:eastAsia="Garamond"/>
          <w:rtl w:val="true"/>
        </w:rPr>
        <w:t xml:space="preserve"> </w:t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Century"/>
          <w:sz w:val="22"/>
          <w:sz w:val="22"/>
          <w:rtl w:val="true"/>
        </w:rPr>
        <w:t>למערער שתי טענות עיקריות</w:t>
      </w:r>
      <w:r>
        <w:rPr>
          <w:rFonts w:cs="Century" w:ascii="Century" w:hAnsi="Century"/>
          <w:sz w:val="22"/>
          <w:rtl w:val="true"/>
        </w:rPr>
        <w:t xml:space="preserve">: </w:t>
      </w:r>
      <w:r>
        <w:rPr>
          <w:rFonts w:ascii="Century" w:hAnsi="Century" w:cs="Century"/>
          <w:sz w:val="22"/>
          <w:sz w:val="22"/>
          <w:rtl w:val="true"/>
        </w:rPr>
        <w:t>הראשונה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לעניין הפער בין העונש שנגזר עליו לבין העונש שנגזר על שוקר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השנייה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לעניין מתחם הענישה ההולם שקבע בית המשפט המחוזי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ולחילופין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הכרעתו שלא לחרוג לקולה מהמתחם בשל שיקולי שיקום</w:t>
      </w:r>
      <w:r>
        <w:rPr>
          <w:rFonts w:cs="Century" w:ascii="Century" w:hAnsi="Century"/>
          <w:sz w:val="22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Century"/>
          <w:sz w:val="22"/>
          <w:sz w:val="22"/>
          <w:rtl w:val="true"/>
        </w:rPr>
        <w:t>לעניין הפער בין העונשים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טען המערער כי ההבחנה שנערכה בין חלקם בביצוע העבירה היא מלאכותית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ובפועל חלקו של שוקר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>עליו נגזרו חמישה חודשי מאסר לריצוי בעבודות שירות</w:t>
      </w:r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בביצוע העבירה חמור בהרבה מזה של המערער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כן הוסיף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שבכתב האישום המקורי שניהם הואשמו באותה עבירה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לטענת המערער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שוקר הוא הגורם המרכזי בביצוע העבירה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שכן המצת שמסר למערער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הוא זה שאפשר את ביצועה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לטענתו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בית המשפט התייחס לעבירה הפחותה בחומרתה בה הואשם שוקר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>מתן אמצעים לביצוע פשע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לפי </w:t>
      </w:r>
      <w:hyperlink r:id="rId11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498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א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</w:t>
      </w:r>
      <w:hyperlink r:id="rId12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ולא נתן משקל לכך שחלקו של שוקר חמור בהרבה מזה של המערער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המערער טען כי יש לראות בו ובשוקר מבצעים בצוותא ואין בעצם השינוי בסעיף לפיו הואשם על ידי המשיבה כדי להוות בסיס להבחנה בין העונשים ההולמים למעשים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ועל כן היה מקום לגזור עליו עונש דומה לזה שנגזר על שוקר</w:t>
      </w:r>
      <w:r>
        <w:rPr>
          <w:rFonts w:cs="Century" w:ascii="Century" w:hAnsi="Century"/>
          <w:sz w:val="22"/>
          <w:rtl w:val="true"/>
        </w:rPr>
        <w:t xml:space="preserve">. 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>
          <w:rFonts w:ascii="Century" w:hAnsi="Century" w:cs="Century"/>
          <w:sz w:val="22"/>
        </w:rPr>
      </w:pPr>
      <w:r>
        <w:rPr>
          <w:rFonts w:eastAsia="Century" w:cs="Century" w:ascii="Century" w:hAnsi="Century"/>
          <w:sz w:val="22"/>
          <w:rtl w:val="true"/>
        </w:rPr>
        <w:t xml:space="preserve"> </w:t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Century"/>
          <w:sz w:val="22"/>
          <w:sz w:val="22"/>
          <w:rtl w:val="true"/>
        </w:rPr>
        <w:t>לעניין קביעת מתחם הענישה ההולם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טען המערער כי בית המשפט המחוזי לא שקל באופן מספק את נסיבות ביצוע העבירה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לטענתו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מדובר בנסיבות ביצוע המצויות ברף הנמוך ביותר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ועל כן היה מקום להקל בקביעת המתחם עצמו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ולקבוע את סיפו הנמוך במאסר שירוצה בעבודות שירות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לחילופין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טען שאם ייקבע כי מתחם הענישה הוא הולם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הרי שבית המשפט המחוזי לא התחשב כלל בשיקול השיקום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והיה עליו לחרוג לקולה מהמתחם בבואו לגזור את עונשו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לטענתו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שלושת התסקירים שנערכו לו עמדו על כך שיש לשלבו בתוכנית טיפולית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וציינו סיכויי שיקום משמעותיים בעבורו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המלצת שירות המבחן הייתה שלא להטיל על המערער מאסר בפועל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בשל ההשפעה השלילית האפשרית עליו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ולהעדיף מאסר שירוצה בעבודות שירות בליווי צו מבחן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לטענת המערער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ההחלטה שלא לחרוג לקולה ממתחם בשל שיקולי שיקום עומדת בניגוד למשקלו הרם של שיקול זה בגדרי תיקון </w:t>
      </w:r>
      <w:r>
        <w:rPr>
          <w:rFonts w:cs="Century" w:ascii="Century" w:hAnsi="Century"/>
          <w:sz w:val="22"/>
        </w:rPr>
        <w:t>113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</w:t>
      </w:r>
      <w:hyperlink r:id="rId13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Century" w:ascii="Century" w:hAnsi="Century"/>
          <w:sz w:val="22"/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 w:val="22"/>
          <w:szCs w:val="24"/>
        </w:rPr>
      </w:pPr>
      <w:r>
        <w:rPr>
          <w:rFonts w:cs="Miriam" w:ascii="Century" w:hAnsi="Century"/>
          <w:b/>
          <w:spacing w:val="0"/>
          <w:sz w:val="22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במהלך הדיון</w:t>
      </w:r>
      <w:r>
        <w:rPr>
          <w:rtl w:val="true"/>
        </w:rPr>
        <w:t xml:space="preserve">, </w:t>
      </w:r>
      <w:r>
        <w:rPr>
          <w:rtl w:val="true"/>
        </w:rPr>
        <w:t>חזר בא כוחו של המערער על נימוקי הערעור והדגיש כי נוכח הנימוקים שהיו בפני בית המשפט המחוזי</w:t>
      </w:r>
      <w:r>
        <w:rPr>
          <w:rtl w:val="true"/>
        </w:rPr>
        <w:t xml:space="preserve">, </w:t>
      </w:r>
      <w:r>
        <w:rPr>
          <w:rtl w:val="true"/>
        </w:rPr>
        <w:t>היה מקום לחרוג לקולה ממתחם הענישה שנקבע</w:t>
      </w:r>
      <w:r>
        <w:rPr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תשובת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המשיבה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המשיבה טענה בדיון</w:t>
      </w:r>
      <w:r>
        <w:rPr>
          <w:rtl w:val="true"/>
        </w:rPr>
        <w:t xml:space="preserve">, </w:t>
      </w:r>
      <w:r>
        <w:rPr>
          <w:rtl w:val="true"/>
        </w:rPr>
        <w:t>כי חלקו של שוקר קטן בהרבה מזה של המערער</w:t>
      </w:r>
      <w:r>
        <w:rPr>
          <w:rtl w:val="true"/>
        </w:rPr>
        <w:t xml:space="preserve">, </w:t>
      </w:r>
      <w:r>
        <w:rPr>
          <w:rtl w:val="true"/>
        </w:rPr>
        <w:t>ועל כן הפער בין העונשים</w:t>
      </w:r>
      <w:r>
        <w:rPr>
          <w:rtl w:val="true"/>
        </w:rPr>
        <w:t xml:space="preserve">, </w:t>
      </w:r>
      <w:r>
        <w:rPr>
          <w:rtl w:val="true"/>
        </w:rPr>
        <w:t>ראוי הוא</w:t>
      </w:r>
      <w:r>
        <w:rPr>
          <w:rtl w:val="true"/>
        </w:rPr>
        <w:t xml:space="preserve">. </w:t>
      </w:r>
      <w:r>
        <w:rPr>
          <w:rtl w:val="true"/>
        </w:rPr>
        <w:t>לעניין הטענה באשר למתחם הענישה</w:t>
      </w:r>
      <w:r>
        <w:rPr>
          <w:rtl w:val="true"/>
        </w:rPr>
        <w:t xml:space="preserve">, </w:t>
      </w:r>
      <w:r>
        <w:rPr>
          <w:rtl w:val="true"/>
        </w:rPr>
        <w:t>הציגה המשיבה פסיקה הקובעת כי מתחם ענישה בין שנתיים מאסר בפועל לארבע שנות מאסר בפועל בעבירות הצתה הוא מתחם שנוטה לקולה</w:t>
      </w:r>
      <w:r>
        <w:rPr>
          <w:rtl w:val="true"/>
        </w:rPr>
        <w:t xml:space="preserve">, </w:t>
      </w:r>
      <w:r>
        <w:rPr>
          <w:rtl w:val="true"/>
        </w:rPr>
        <w:t>ועל כן טענה כי הן המתחם והן העונש בגדרו</w:t>
      </w:r>
      <w:r>
        <w:rPr>
          <w:rtl w:val="true"/>
        </w:rPr>
        <w:t xml:space="preserve">, </w:t>
      </w:r>
      <w:r>
        <w:rPr>
          <w:rtl w:val="true"/>
        </w:rPr>
        <w:t>נוטים הם לקולה</w:t>
      </w:r>
      <w:r>
        <w:rPr>
          <w:rtl w:val="true"/>
        </w:rPr>
        <w:t xml:space="preserve">, </w:t>
      </w:r>
      <w:r>
        <w:rPr>
          <w:rtl w:val="true"/>
        </w:rPr>
        <w:t>ואין מקום לכל הקלה נוספת</w:t>
      </w:r>
      <w:r>
        <w:rPr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תסקיר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שירות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המבחן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5.1.2014</w:t>
      </w:r>
      <w:r>
        <w:rPr>
          <w:rtl w:val="true"/>
        </w:rPr>
        <w:t xml:space="preserve"> </w:t>
      </w:r>
      <w:r>
        <w:rPr>
          <w:rtl w:val="true"/>
        </w:rPr>
        <w:t>הוגש תסקיר משלים בעניינו של המערער</w:t>
      </w:r>
      <w:r>
        <w:rPr>
          <w:rtl w:val="true"/>
        </w:rPr>
        <w:t xml:space="preserve">. </w:t>
      </w:r>
      <w:r>
        <w:rPr>
          <w:rtl w:val="true"/>
        </w:rPr>
        <w:t>התסקיר העלה תמונת מצב לא ברורה</w:t>
      </w:r>
      <w:r>
        <w:rPr>
          <w:rtl w:val="true"/>
        </w:rPr>
        <w:t xml:space="preserve">, </w:t>
      </w:r>
      <w:r>
        <w:rPr>
          <w:rtl w:val="true"/>
        </w:rPr>
        <w:t>לפיה מחד גיסא</w:t>
      </w:r>
      <w:r>
        <w:rPr>
          <w:rtl w:val="true"/>
        </w:rPr>
        <w:t xml:space="preserve">, </w:t>
      </w:r>
      <w:r>
        <w:rPr>
          <w:rtl w:val="true"/>
        </w:rPr>
        <w:t>המערער ביקש להשתלב במסגרת הטיפולית והראה התקדמות במהלך הטיפול</w:t>
      </w:r>
      <w:r>
        <w:rPr>
          <w:rtl w:val="true"/>
        </w:rPr>
        <w:t xml:space="preserve">, </w:t>
      </w:r>
      <w:r>
        <w:rPr>
          <w:rtl w:val="true"/>
        </w:rPr>
        <w:t>ומאידך גיסא</w:t>
      </w:r>
      <w:r>
        <w:rPr>
          <w:rtl w:val="true"/>
        </w:rPr>
        <w:t xml:space="preserve">, </w:t>
      </w:r>
      <w:r>
        <w:rPr>
          <w:rtl w:val="true"/>
        </w:rPr>
        <w:t>מחוץ למסגרת זו המשיך להסתבך באירועים אלימים</w:t>
      </w:r>
      <w:r>
        <w:rPr>
          <w:rtl w:val="true"/>
        </w:rPr>
        <w:t xml:space="preserve">, </w:t>
      </w:r>
      <w:r>
        <w:rPr>
          <w:rtl w:val="true"/>
        </w:rPr>
        <w:t>בכללם אחד עם חבר בקבוצה הטיפולית</w:t>
      </w:r>
      <w:r>
        <w:rPr>
          <w:rtl w:val="true"/>
        </w:rPr>
        <w:t xml:space="preserve">, </w:t>
      </w:r>
      <w:r>
        <w:rPr>
          <w:rtl w:val="true"/>
        </w:rPr>
        <w:t>שהביא להפסקת השתתפותו בקבוצה</w:t>
      </w:r>
      <w:r>
        <w:rPr>
          <w:rtl w:val="true"/>
        </w:rPr>
        <w:t xml:space="preserve">. </w:t>
      </w:r>
      <w:r>
        <w:rPr>
          <w:rtl w:val="true"/>
        </w:rPr>
        <w:t>עוד צוין בתסקיר כי בעקבות אירועים אלה נחקר במשטרה</w:t>
      </w:r>
      <w:r>
        <w:rPr>
          <w:rtl w:val="true"/>
        </w:rPr>
        <w:t xml:space="preserve">, </w:t>
      </w:r>
      <w:r>
        <w:rPr>
          <w:rtl w:val="true"/>
        </w:rPr>
        <w:t>נפתחו לו תיקים פליליים</w:t>
      </w:r>
      <w:r>
        <w:rPr>
          <w:rtl w:val="true"/>
        </w:rPr>
        <w:t xml:space="preserve">, </w:t>
      </w:r>
      <w:r>
        <w:rPr>
          <w:rtl w:val="true"/>
        </w:rPr>
        <w:t>ובתיק אחד אף הוגש כתב אישום</w:t>
      </w:r>
      <w:r>
        <w:rPr>
          <w:rtl w:val="true"/>
        </w:rPr>
        <w:t xml:space="preserve">. </w:t>
      </w:r>
      <w:r>
        <w:rPr>
          <w:rtl w:val="true"/>
        </w:rPr>
        <w:t>נוכח האמור</w:t>
      </w:r>
      <w:r>
        <w:rPr>
          <w:rtl w:val="true"/>
        </w:rPr>
        <w:t xml:space="preserve">, </w:t>
      </w:r>
      <w:r>
        <w:rPr>
          <w:rtl w:val="true"/>
        </w:rPr>
        <w:t>לא בא שירות המבחן בהמלצה טיפולית בעניינו</w:t>
      </w:r>
      <w:r>
        <w:rPr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>
          <w:rFonts w:ascii="Garamond" w:hAnsi="Garamond" w:cs="Garamond"/>
          <w:sz w:val="24"/>
        </w:rPr>
      </w:pPr>
      <w:r>
        <w:rPr>
          <w:rFonts w:cs="Garamond" w:ascii="Garamond" w:hAnsi="Garamond"/>
          <w:sz w:val="24"/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דיון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והכרעה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לאחר שעיינתי בהודעת הערעור ובגזר הדין של בית המשפט המחוזי</w:t>
      </w:r>
      <w:r>
        <w:rPr>
          <w:rtl w:val="true"/>
        </w:rPr>
        <w:t xml:space="preserve">, </w:t>
      </w:r>
      <w:r>
        <w:rPr>
          <w:rtl w:val="true"/>
        </w:rPr>
        <w:t>ולאחר ששמעתי את טענות הצדדים</w:t>
      </w:r>
      <w:r>
        <w:rPr>
          <w:rtl w:val="true"/>
        </w:rPr>
        <w:t xml:space="preserve">, </w:t>
      </w:r>
      <w:r>
        <w:rPr>
          <w:rtl w:val="true"/>
        </w:rPr>
        <w:t>הגעתי לכלל מסקנה כי דין הערעור להידחות</w:t>
      </w:r>
      <w:r>
        <w:rPr>
          <w:rtl w:val="true"/>
        </w:rPr>
        <w:t xml:space="preserve">, </w:t>
      </w:r>
      <w:r>
        <w:rPr>
          <w:rtl w:val="true"/>
        </w:rPr>
        <w:t>וכך אמליץ לחבריי לעשות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spacing w:lineRule="auto" w:line="240"/>
        <w:ind w:hanging="0" w:start="0"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>אין ערכאת הערעור מתערבת בחומרת העונש שנקבע על ידי הערכאה הדיונית</w:t>
      </w:r>
      <w:r>
        <w:rPr>
          <w:rtl w:val="true"/>
        </w:rPr>
        <w:t xml:space="preserve">, </w:t>
      </w:r>
      <w:r>
        <w:rPr>
          <w:rtl w:val="true"/>
        </w:rPr>
        <w:t xml:space="preserve">אלא במקרים חריגים </w:t>
      </w:r>
      <w:r>
        <w:rPr>
          <w:rtl w:val="true"/>
        </w:rPr>
        <w:t>(</w:t>
      </w:r>
      <w:hyperlink r:id="rId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3091/08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טרייגר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29.1.2009</w:t>
      </w:r>
      <w:r>
        <w:rPr>
          <w:rFonts w:cs="Century" w:ascii="Century" w:hAnsi="Century"/>
          <w:rtl w:val="true"/>
        </w:rPr>
        <w:t xml:space="preserve">); </w:t>
      </w:r>
      <w:hyperlink r:id="rId15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7563/08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אבו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סביח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4.3.2009</w:t>
      </w:r>
      <w:r>
        <w:rPr>
          <w:rFonts w:cs="Century" w:ascii="Century" w:hAnsi="Century"/>
          <w:rtl w:val="true"/>
        </w:rPr>
        <w:t xml:space="preserve">); </w:t>
      </w:r>
      <w:hyperlink r:id="rId16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7439/08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פלוני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4.3.2009</w:t>
      </w:r>
      <w:r>
        <w:rPr>
          <w:rFonts w:cs="Century" w:ascii="Century" w:hAnsi="Century"/>
          <w:rtl w:val="true"/>
        </w:rPr>
        <w:t>)</w:t>
      </w:r>
      <w:r>
        <w:rPr>
          <w:rtl w:val="true"/>
        </w:rPr>
        <w:t xml:space="preserve">; </w:t>
      </w:r>
      <w:hyperlink r:id="rId17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''</w:t>
        </w:r>
        <w:r>
          <w:rPr>
            <w:rStyle w:val="Hyperlink"/>
            <w:rtl w:val="true"/>
          </w:rPr>
          <w:t xml:space="preserve">פ </w:t>
        </w:r>
        <w:r>
          <w:rPr>
            <w:rStyle w:val="Hyperlink"/>
          </w:rPr>
          <w:t>9437/08</w:t>
        </w:r>
      </w:hyperlink>
      <w:r>
        <w:rPr>
          <w:rtl w:val="true"/>
        </w:rPr>
        <w:t xml:space="preserve"> </w:t>
      </w:r>
      <w:r>
        <w:rPr>
          <w:rFonts w:cs="Miriam"/>
          <w:szCs w:val="24"/>
          <w:rtl w:val="true"/>
        </w:rPr>
        <w:t>אלגריסי</w:t>
      </w:r>
      <w:r>
        <w:rPr>
          <w:rFonts w:eastAsia="Garamond"/>
          <w:szCs w:val="24"/>
          <w:rtl w:val="true"/>
        </w:rPr>
        <w:t xml:space="preserve"> </w:t>
      </w:r>
      <w:r>
        <w:rPr>
          <w:rFonts w:cs="Miriam"/>
          <w:szCs w:val="24"/>
          <w:rtl w:val="true"/>
        </w:rPr>
        <w:t>נ</w:t>
      </w:r>
      <w:r>
        <w:rPr>
          <w:rFonts w:cs="Miriam"/>
          <w:szCs w:val="24"/>
          <w:rtl w:val="true"/>
        </w:rPr>
        <w:t xml:space="preserve">' </w:t>
      </w:r>
      <w:r>
        <w:rPr>
          <w:rFonts w:cs="Miriam"/>
          <w:szCs w:val="24"/>
          <w:rtl w:val="true"/>
        </w:rPr>
        <w:t>מדינת</w:t>
      </w:r>
      <w:r>
        <w:rPr>
          <w:rFonts w:eastAsia="Garamond"/>
          <w:szCs w:val="24"/>
          <w:rtl w:val="true"/>
        </w:rPr>
        <w:t xml:space="preserve"> </w:t>
      </w:r>
      <w:r>
        <w:rPr>
          <w:rFonts w:cs="Miriam"/>
          <w:szCs w:val="24"/>
          <w:rtl w:val="true"/>
        </w:rPr>
        <w:t>ישראל</w:t>
      </w:r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12.5.2009</w:t>
      </w:r>
      <w:r>
        <w:rPr>
          <w:rtl w:val="true"/>
        </w:rPr>
        <w:t xml:space="preserve">); </w:t>
      </w:r>
      <w:hyperlink r:id="rId1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5931/11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עבדולייב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22.10.2013</w:t>
      </w:r>
      <w:r>
        <w:rPr>
          <w:rFonts w:cs="Century" w:ascii="Century" w:hAnsi="Century"/>
          <w:sz w:val="22"/>
          <w:rtl w:val="true"/>
        </w:rPr>
        <w:t>)</w:t>
      </w:r>
      <w:r>
        <w:rPr>
          <w:rtl w:val="true"/>
        </w:rPr>
        <w:t xml:space="preserve">). </w:t>
      </w:r>
      <w:r>
        <w:rPr>
          <w:rtl w:val="true"/>
        </w:rPr>
        <w:t xml:space="preserve">הדברים נכונים גם לאחר כניסתו לתוקף של תיקון </w:t>
      </w:r>
      <w:r>
        <w:rPr/>
        <w:t>113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1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2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1846/13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עמאש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sz w:val="22"/>
          <w:sz w:val="22"/>
          <w:rtl w:val="true"/>
        </w:rPr>
        <w:t>פסקאו</w:t>
      </w:r>
      <w:r>
        <w:rPr>
          <w:rFonts w:ascii="Century" w:hAnsi="Century" w:cs="Century"/>
          <w:sz w:val="22"/>
          <w:sz w:val="22"/>
          <w:rtl w:val="true"/>
        </w:rPr>
        <w:t>ת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Century" w:ascii="Century" w:hAnsi="Century"/>
          <w:sz w:val="22"/>
        </w:rPr>
        <w:t>11-10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לפסק דינו של השופט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מלצר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1.12.2013</w:t>
      </w:r>
      <w:r>
        <w:rPr>
          <w:rFonts w:cs="Century" w:ascii="Century" w:hAnsi="Century"/>
          <w:sz w:val="22"/>
          <w:rtl w:val="true"/>
        </w:rPr>
        <w:t xml:space="preserve">)). </w:t>
      </w:r>
      <w:r>
        <w:rPr>
          <w:rtl w:val="true"/>
        </w:rPr>
        <w:t>מצאתי כי מקרה זה אינו נמנה עם אותם המקרים המצדיקים התערבות</w:t>
      </w:r>
      <w:r>
        <w:rPr>
          <w:rtl w:val="true"/>
        </w:rPr>
        <w:t xml:space="preserve">, </w:t>
      </w:r>
      <w:r>
        <w:rPr>
          <w:rtl w:val="true"/>
        </w:rPr>
        <w:t>כפי שיובהר להלן</w:t>
      </w:r>
      <w:r>
        <w:rPr>
          <w:rtl w:val="true"/>
        </w:rPr>
        <w:t>.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Fonts w:eastAsia="Garamond"/>
          <w:rtl w:val="true"/>
        </w:rPr>
        <w:t xml:space="preserve"> </w:t>
      </w:r>
      <w:r>
        <w:rPr>
          <w:rtl w:val="true"/>
        </w:rPr>
        <w:t>אין בידי לקבל את טענת המערער בדבר פער לא ראוי בין העונש שנגזר עליו לבין העונש שנגזר על שוקר</w:t>
      </w:r>
      <w:r>
        <w:rPr>
          <w:rtl w:val="true"/>
        </w:rPr>
        <w:t xml:space="preserve">. </w:t>
      </w:r>
      <w:r>
        <w:rPr>
          <w:rtl w:val="true"/>
        </w:rPr>
        <w:t>חלקו של שוקר בעבירה כלל את אספקת המצת למערער</w:t>
      </w:r>
      <w:r>
        <w:rPr>
          <w:rtl w:val="true"/>
        </w:rPr>
        <w:t xml:space="preserve">. </w:t>
      </w:r>
      <w:r>
        <w:rPr>
          <w:rtl w:val="true"/>
        </w:rPr>
        <w:t>המערער היה זה שהכין את בקבוק התבערה</w:t>
      </w:r>
      <w:r>
        <w:rPr>
          <w:rtl w:val="true"/>
        </w:rPr>
        <w:t xml:space="preserve">, </w:t>
      </w:r>
      <w:r>
        <w:rPr>
          <w:rtl w:val="true"/>
        </w:rPr>
        <w:t>נהג ברכב לבית אליו התכוון להשליך את הבקבוק</w:t>
      </w:r>
      <w:r>
        <w:rPr>
          <w:rtl w:val="true"/>
        </w:rPr>
        <w:t xml:space="preserve">, </w:t>
      </w:r>
      <w:r>
        <w:rPr>
          <w:rtl w:val="true"/>
        </w:rPr>
        <w:t>והשליכו בפועל אל עבר הבית</w:t>
      </w:r>
      <w:r>
        <w:rPr>
          <w:rtl w:val="true"/>
        </w:rPr>
        <w:t xml:space="preserve">. </w:t>
      </w:r>
      <w:r>
        <w:rPr>
          <w:rtl w:val="true"/>
        </w:rPr>
        <w:t>המדרג שנקבע בפועל הולם את ההבחנה בין השניים</w:t>
      </w:r>
      <w:r>
        <w:rPr>
          <w:rtl w:val="true"/>
        </w:rPr>
        <w:t xml:space="preserve">. </w:t>
      </w:r>
      <w:r>
        <w:rPr>
          <w:rtl w:val="true"/>
        </w:rPr>
        <w:t xml:space="preserve">המערער טען טענות אלו גם בבית המשפט המחוזי </w:t>
      </w:r>
      <w:r>
        <w:rPr>
          <w:rtl w:val="true"/>
        </w:rPr>
        <w:t>(</w:t>
      </w:r>
      <w:r>
        <w:rPr>
          <w:rtl w:val="true"/>
        </w:rPr>
        <w:t xml:space="preserve">פרוטוקול הדיון מיום </w:t>
      </w:r>
      <w:r>
        <w:rPr/>
        <w:t>18.6.2013</w:t>
      </w:r>
      <w:r>
        <w:rPr>
          <w:rtl w:val="true"/>
        </w:rPr>
        <w:t xml:space="preserve">, </w:t>
      </w:r>
      <w:r>
        <w:rPr>
          <w:rtl w:val="true"/>
        </w:rPr>
        <w:t>בעמ</w:t>
      </w:r>
      <w:r>
        <w:rPr>
          <w:rtl w:val="true"/>
        </w:rPr>
        <w:t xml:space="preserve">' </w:t>
      </w:r>
      <w:r>
        <w:rPr/>
        <w:t>20-19</w:t>
      </w:r>
      <w:r>
        <w:rPr>
          <w:rtl w:val="true"/>
        </w:rPr>
        <w:t xml:space="preserve">), </w:t>
      </w:r>
      <w:r>
        <w:rPr>
          <w:rtl w:val="true"/>
        </w:rPr>
        <w:t>ובית המשפט המחוזי התייחס בגזר דינו גם לחלקו העובדתי השולי של שוקר לעומת מרכזיותו של המערער</w:t>
      </w:r>
      <w:r>
        <w:rPr>
          <w:rtl w:val="true"/>
        </w:rPr>
        <w:t xml:space="preserve">, </w:t>
      </w:r>
      <w:r>
        <w:rPr>
          <w:rtl w:val="true"/>
        </w:rPr>
        <w:t xml:space="preserve">ולא רק לעבירות בהן הורשעו השניים </w:t>
      </w:r>
      <w:r>
        <w:rPr>
          <w:rtl w:val="true"/>
        </w:rPr>
        <w:t>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30-29</w:t>
      </w:r>
      <w:r>
        <w:rPr>
          <w:rtl w:val="true"/>
        </w:rPr>
        <w:t xml:space="preserve"> </w:t>
      </w:r>
      <w:r>
        <w:rPr>
          <w:rtl w:val="true"/>
        </w:rPr>
        <w:t>לגזר הדין</w:t>
      </w:r>
      <w:r>
        <w:rPr>
          <w:rtl w:val="true"/>
        </w:rPr>
        <w:t xml:space="preserve">). </w:t>
      </w:r>
      <w:r>
        <w:rPr>
          <w:rtl w:val="true"/>
        </w:rPr>
        <w:t>גם בפרוטוקול הדיון בעניינו של שוקר</w:t>
      </w:r>
      <w:r>
        <w:rPr>
          <w:rtl w:val="true"/>
        </w:rPr>
        <w:t xml:space="preserve">, </w:t>
      </w:r>
      <w:r>
        <w:rPr>
          <w:rtl w:val="true"/>
        </w:rPr>
        <w:t>שצורף על ידי המערער</w:t>
      </w:r>
      <w:r>
        <w:rPr>
          <w:rtl w:val="true"/>
        </w:rPr>
        <w:t xml:space="preserve">, </w:t>
      </w:r>
      <w:r>
        <w:rPr>
          <w:rtl w:val="true"/>
        </w:rPr>
        <w:t xml:space="preserve">נאמר על ידי בא כוח המשיבה כי </w:t>
      </w:r>
      <w:r>
        <w:rPr>
          <w:rtl w:val="true"/>
        </w:rPr>
        <w:t>"</w:t>
      </w:r>
      <w:r>
        <w:rPr>
          <w:rtl w:val="true"/>
        </w:rPr>
        <w:t xml:space="preserve">הנאשם העיקרי בפרשיה הינו האחר </w:t>
      </w:r>
      <w:r>
        <w:rPr>
          <w:rtl w:val="true"/>
        </w:rPr>
        <w:t>[</w:t>
      </w:r>
      <w:r>
        <w:rPr>
          <w:rtl w:val="true"/>
        </w:rPr>
        <w:t xml:space="preserve">המערער –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ס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ג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>''</w:t>
      </w:r>
      <w:r>
        <w:rPr>
          <w:rFonts w:cs="Century" w:ascii="Century" w:hAnsi="Century"/>
          <w:sz w:val="22"/>
          <w:rtl w:val="true"/>
        </w:rPr>
        <w:t>]</w:t>
      </w:r>
      <w:r>
        <w:rPr>
          <w:rtl w:val="true"/>
        </w:rPr>
        <w:t xml:space="preserve"> </w:t>
      </w:r>
      <w:r>
        <w:rPr>
          <w:rtl w:val="true"/>
        </w:rPr>
        <w:t>הואיל ועל פי חומר החקירה הנאשם שבפנינו הצטרף למעשה אך דקות ספורות לפני המעשה</w:t>
      </w:r>
      <w:r>
        <w:rPr>
          <w:rtl w:val="true"/>
        </w:rPr>
        <w:t xml:space="preserve">, </w:t>
      </w:r>
      <w:r>
        <w:rPr>
          <w:rtl w:val="true"/>
        </w:rPr>
        <w:t>כך שהנאשם לא היה שותף מראש לתכנון ולהכנה</w:t>
      </w:r>
      <w:r>
        <w:rPr>
          <w:rtl w:val="true"/>
        </w:rPr>
        <w:t xml:space="preserve">, </w:t>
      </w:r>
      <w:r>
        <w:rPr>
          <w:rtl w:val="true"/>
        </w:rPr>
        <w:t>ואף לא הוא אשר השליך את הבקבוק אלא חלקו בכך שמסר לאחר מצת להדלקת בקבוק התבערה</w:t>
      </w:r>
      <w:r>
        <w:rPr>
          <w:rtl w:val="true"/>
        </w:rPr>
        <w:t>" (</w:t>
      </w:r>
      <w:hyperlink r:id="rId21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47653-08-11</w:t>
        </w:r>
      </w:hyperlink>
      <w:r>
        <w:rPr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 xml:space="preserve">פרוטוקול הדיון מיום </w:t>
      </w:r>
      <w:r>
        <w:rPr/>
        <w:t>12.2.2013</w:t>
      </w:r>
      <w:r>
        <w:rPr>
          <w:rtl w:val="true"/>
        </w:rPr>
        <w:t xml:space="preserve">, </w:t>
      </w:r>
      <w:r>
        <w:rPr>
          <w:rtl w:val="true"/>
        </w:rPr>
        <w:t>בעמ</w:t>
      </w:r>
      <w:r>
        <w:rPr>
          <w:rtl w:val="true"/>
        </w:rPr>
        <w:t xml:space="preserve">' </w:t>
      </w:r>
      <w:r>
        <w:rPr/>
        <w:t>31</w:t>
      </w:r>
      <w:r>
        <w:rPr>
          <w:rtl w:val="true"/>
        </w:rPr>
        <w:t xml:space="preserve">, </w:t>
      </w:r>
      <w:r>
        <w:rPr>
          <w:rtl w:val="true"/>
        </w:rPr>
        <w:t xml:space="preserve">שורות </w:t>
      </w:r>
      <w:r>
        <w:rPr/>
        <w:t>4-1</w:t>
      </w:r>
      <w:r>
        <w:rPr>
          <w:rtl w:val="true"/>
        </w:rPr>
        <w:t xml:space="preserve">). </w:t>
      </w:r>
      <w:r>
        <w:rPr>
          <w:rtl w:val="true"/>
        </w:rPr>
        <w:t xml:space="preserve">דברים אלה באו לידי ביטוי גם בגזר דינו של שוקר </w:t>
      </w:r>
      <w:r>
        <w:rPr>
          <w:rtl w:val="true"/>
        </w:rPr>
        <w:t>(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עמ</w:t>
      </w:r>
      <w:r>
        <w:rPr>
          <w:rFonts w:cs="Century" w:ascii="Century" w:hAnsi="Century"/>
          <w:sz w:val="22"/>
          <w:rtl w:val="true"/>
        </w:rPr>
        <w:t xml:space="preserve">' </w:t>
      </w:r>
      <w:r>
        <w:rPr>
          <w:rFonts w:cs="Century" w:ascii="Century" w:hAnsi="Century"/>
          <w:sz w:val="22"/>
        </w:rPr>
        <w:t>32</w:t>
      </w:r>
      <w:r>
        <w:rPr>
          <w:rtl w:val="true"/>
        </w:rPr>
        <w:t xml:space="preserve">, </w:t>
      </w:r>
      <w:r>
        <w:rPr>
          <w:rtl w:val="true"/>
        </w:rPr>
        <w:t xml:space="preserve">שורות </w:t>
      </w:r>
      <w:r>
        <w:rPr/>
        <w:t>9-7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גם בעניינו של שוקר עצמו ההכרעה כללה התייחסות למעשים עצמם וחומרתם</w:t>
      </w:r>
      <w:r>
        <w:rPr>
          <w:rtl w:val="true"/>
        </w:rPr>
        <w:t xml:space="preserve">, </w:t>
      </w:r>
      <w:r>
        <w:rPr>
          <w:rtl w:val="true"/>
        </w:rPr>
        <w:t>ולא רק לסעיף לפיו הורשע</w:t>
      </w:r>
      <w:r>
        <w:rPr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גם את טענתו של המערער כי מתחם הענישה חמור בנסיבות מעשה העבירה</w:t>
      </w:r>
      <w:r>
        <w:rPr>
          <w:rtl w:val="true"/>
        </w:rPr>
        <w:t xml:space="preserve">, </w:t>
      </w:r>
      <w:r>
        <w:rPr>
          <w:rtl w:val="true"/>
        </w:rPr>
        <w:t>אין לקבל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בית המשפט המחוזי לא התחשב בנסיבות העבירה בעת שבנה את מתחם הענישה</w:t>
      </w:r>
      <w:r>
        <w:rPr>
          <w:rtl w:val="true"/>
        </w:rPr>
        <w:t xml:space="preserve">. </w:t>
      </w:r>
      <w:r>
        <w:rPr>
          <w:rtl w:val="true"/>
        </w:rPr>
        <w:t>לא כך הדבר</w:t>
      </w:r>
      <w:r>
        <w:rPr>
          <w:rtl w:val="true"/>
        </w:rPr>
        <w:t xml:space="preserve">. </w:t>
      </w:r>
      <w:r>
        <w:rPr>
          <w:rtl w:val="true"/>
        </w:rPr>
        <w:t>בית המשפט המחוזי עמד על המניע למעשה העבירה</w:t>
      </w:r>
      <w:r>
        <w:rPr>
          <w:rtl w:val="true"/>
        </w:rPr>
        <w:t xml:space="preserve">, </w:t>
      </w:r>
      <w:r>
        <w:rPr>
          <w:rtl w:val="true"/>
        </w:rPr>
        <w:t xml:space="preserve">וכן על תוצאותיה </w:t>
      </w:r>
      <w:r>
        <w:rPr>
          <w:rtl w:val="true"/>
        </w:rPr>
        <w:t>(</w:t>
      </w:r>
      <w:r>
        <w:rPr>
          <w:rtl w:val="true"/>
        </w:rPr>
        <w:t>בעמ</w:t>
      </w:r>
      <w:r>
        <w:rPr>
          <w:rtl w:val="true"/>
        </w:rPr>
        <w:t xml:space="preserve">' </w:t>
      </w:r>
      <w:r>
        <w:rPr/>
        <w:t>29</w:t>
      </w:r>
      <w:r>
        <w:rPr>
          <w:rtl w:val="true"/>
        </w:rPr>
        <w:t xml:space="preserve">, </w:t>
      </w:r>
      <w:r>
        <w:rPr>
          <w:rtl w:val="true"/>
        </w:rPr>
        <w:t>שורו</w:t>
      </w:r>
      <w:r>
        <w:rPr>
          <w:rtl w:val="true"/>
        </w:rPr>
        <w:t>ת</w:t>
      </w:r>
      <w:r>
        <w:rPr>
          <w:rtl w:val="true"/>
        </w:rPr>
        <w:t xml:space="preserve"> </w:t>
      </w:r>
      <w:r>
        <w:rPr/>
        <w:t>17-12</w:t>
      </w:r>
      <w:r>
        <w:rPr>
          <w:rtl w:val="true"/>
        </w:rPr>
        <w:t xml:space="preserve"> </w:t>
      </w:r>
      <w:r>
        <w:rPr>
          <w:rtl w:val="true"/>
        </w:rPr>
        <w:t>לגזר הדין</w:t>
      </w:r>
      <w:r>
        <w:rPr>
          <w:rtl w:val="true"/>
        </w:rPr>
        <w:t xml:space="preserve">).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ניתח בית המשפט באופן מקיף את הפסיקה עליה הסתמך לעניין הענישה הנוהגת</w:t>
      </w:r>
      <w:r>
        <w:rPr>
          <w:rtl w:val="true"/>
        </w:rPr>
        <w:t xml:space="preserve">, </w:t>
      </w:r>
      <w:r>
        <w:rPr>
          <w:rtl w:val="true"/>
        </w:rPr>
        <w:t>כך שניתן להבחין מדוע נגזרו העונשים במקרים השונים</w:t>
      </w:r>
      <w:r>
        <w:rPr>
          <w:rtl w:val="true"/>
        </w:rPr>
        <w:t xml:space="preserve">, </w:t>
      </w:r>
      <w:r>
        <w:rPr>
          <w:rtl w:val="true"/>
        </w:rPr>
        <w:t>ובאילו נסיבות</w:t>
      </w:r>
      <w:r>
        <w:rPr>
          <w:rtl w:val="true"/>
        </w:rPr>
        <w:t xml:space="preserve">. </w:t>
      </w:r>
      <w:r>
        <w:rPr>
          <w:rtl w:val="true"/>
        </w:rPr>
        <w:t>באשר ל</w:t>
      </w:r>
      <w:hyperlink r:id="rId2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9427/11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אנידג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ר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16.2.2012</w:t>
      </w:r>
      <w:r>
        <w:rPr>
          <w:rFonts w:cs="Century" w:ascii="Century" w:hAnsi="Century"/>
          <w:sz w:val="22"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>אשר המערער טען לגביו כי הוא קובע רף ענישה נמוך יותר</w:t>
      </w:r>
      <w:r>
        <w:rPr>
          <w:rtl w:val="true"/>
        </w:rPr>
        <w:t xml:space="preserve">, </w:t>
      </w:r>
      <w:r>
        <w:rPr>
          <w:rtl w:val="true"/>
        </w:rPr>
        <w:t>מצאתי לציין כי נסיבותיהם האישיות של המשיבים שם היו שונות משל המערער בענייננו – עברם הפלילי היה נקי</w:t>
      </w:r>
      <w:r>
        <w:rPr>
          <w:rtl w:val="true"/>
        </w:rPr>
        <w:t xml:space="preserve">, </w:t>
      </w:r>
      <w:r>
        <w:rPr>
          <w:rtl w:val="true"/>
        </w:rPr>
        <w:t>הם היו צעירים ממנו והמלצות שירות המבחן לגביהם היו חיוביות מאוד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שלטעמי</w:t>
      </w:r>
      <w:r>
        <w:rPr>
          <w:rtl w:val="true"/>
        </w:rPr>
        <w:t xml:space="preserve">, </w:t>
      </w:r>
      <w:r>
        <w:rPr>
          <w:rtl w:val="true"/>
        </w:rPr>
        <w:t>מתחם הענישה שקבע בית המשפט המחוזי בנסיבות העבירה לפנינו – הולם הוא</w:t>
      </w:r>
      <w:r>
        <w:rPr>
          <w:rtl w:val="true"/>
        </w:rPr>
        <w:t xml:space="preserve">. </w:t>
      </w:r>
      <w:r>
        <w:rPr>
          <w:rtl w:val="true"/>
        </w:rPr>
        <w:t>כן אין בידי לקבל את טענת המשיבה כי המתחם שנקבע נוטה לקולה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ב</w:t>
      </w:r>
      <w:hyperlink r:id="rId2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7887/12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שאול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24.4.2013</w:t>
      </w:r>
      <w:r>
        <w:rPr>
          <w:rFonts w:cs="Century" w:ascii="Century" w:hAnsi="Century"/>
          <w:sz w:val="22"/>
          <w:rtl w:val="true"/>
        </w:rPr>
        <w:t>) (</w:t>
      </w:r>
      <w:r>
        <w:rPr>
          <w:rFonts w:ascii="Century" w:hAnsi="Century" w:cs="Century"/>
          <w:sz w:val="22"/>
          <w:sz w:val="22"/>
          <w:rtl w:val="true"/>
        </w:rPr>
        <w:t>להלן</w:t>
      </w:r>
      <w:r>
        <w:rPr>
          <w:rFonts w:cs="Century" w:ascii="Century" w:hAnsi="Century"/>
          <w:sz w:val="22"/>
          <w:rtl w:val="true"/>
        </w:rPr>
        <w:t xml:space="preserve">: </w:t>
      </w:r>
      <w:r>
        <w:rPr>
          <w:rFonts w:ascii="Century" w:hAnsi="Century" w:cs="Century"/>
          <w:sz w:val="22"/>
          <w:sz w:val="22"/>
          <w:rtl w:val="true"/>
        </w:rPr>
        <w:t xml:space="preserve">עניין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שאול</w:t>
      </w:r>
      <w:r>
        <w:rPr>
          <w:rFonts w:cs="Century" w:ascii="Century" w:hAnsi="Century"/>
          <w:sz w:val="22"/>
          <w:rtl w:val="true"/>
        </w:rPr>
        <w:t xml:space="preserve">), </w:t>
      </w:r>
      <w:r>
        <w:rPr>
          <w:rFonts w:ascii="Century" w:hAnsi="Century" w:cs="Century"/>
          <w:sz w:val="22"/>
          <w:sz w:val="22"/>
          <w:rtl w:val="true"/>
        </w:rPr>
        <w:t>שהציגה המשיבה בדיון לפנינו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נקבע מתחם חמור יותר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ובית משפט זה סבר כי המתחם </w:t>
      </w:r>
      <w:r>
        <w:rPr>
          <w:rFonts w:cs="Century" w:ascii="Century" w:hAnsi="Century"/>
          <w:sz w:val="22"/>
          <w:rtl w:val="true"/>
        </w:rPr>
        <w:t>"</w:t>
      </w:r>
      <w:r>
        <w:rPr>
          <w:rFonts w:ascii="Century" w:hAnsi="Century" w:cs="Century"/>
          <w:sz w:val="22"/>
          <w:sz w:val="22"/>
          <w:rtl w:val="true"/>
        </w:rPr>
        <w:t>מתאים ואולי אף נוטה לקולא</w:t>
      </w:r>
      <w:r>
        <w:rPr>
          <w:rFonts w:cs="Century" w:ascii="Century" w:hAnsi="Century"/>
          <w:sz w:val="22"/>
          <w:rtl w:val="true"/>
        </w:rPr>
        <w:t>" (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בפסקה </w:t>
      </w:r>
      <w:r>
        <w:rPr>
          <w:rFonts w:cs="Century" w:ascii="Century" w:hAnsi="Century"/>
          <w:sz w:val="22"/>
        </w:rPr>
        <w:t>8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לפסק דינה של המשנה לנשיא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נאור</w:t>
      </w:r>
      <w:r>
        <w:rPr>
          <w:rFonts w:cs="Century" w:ascii="Century" w:hAnsi="Century"/>
          <w:sz w:val="22"/>
          <w:rtl w:val="true"/>
        </w:rPr>
        <w:t xml:space="preserve">). </w:t>
      </w:r>
      <w:r>
        <w:rPr>
          <w:rFonts w:ascii="Century" w:hAnsi="Century" w:cs="Century"/>
          <w:sz w:val="22"/>
          <w:sz w:val="22"/>
          <w:rtl w:val="true"/>
        </w:rPr>
        <w:t xml:space="preserve">אלא שעניין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שאול</w:t>
      </w:r>
      <w:r>
        <w:rPr>
          <w:rFonts w:ascii="Century" w:hAnsi="Century" w:cs="Century"/>
          <w:sz w:val="22"/>
          <w:sz w:val="22"/>
          <w:rtl w:val="true"/>
        </w:rPr>
        <w:t xml:space="preserve"> עסק בנסיבות חמורות יותר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המעשים שם נעשו במסגרת סכסוך מתמשך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וההצתה גרמה לנזקים משמעותיים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 xml:space="preserve">נוכח תיקון </w:t>
      </w:r>
      <w:r>
        <w:rPr>
          <w:rFonts w:cs="Century" w:ascii="Century" w:hAnsi="Century"/>
          <w:sz w:val="22"/>
        </w:rPr>
        <w:t>113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</w:t>
      </w:r>
      <w:hyperlink r:id="rId24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והדגש בו על נסיבות מעשה העבירה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לא ראיתי לנכון ללמוד מעניין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שאול</w:t>
      </w:r>
      <w:r>
        <w:rPr>
          <w:rFonts w:ascii="Century" w:hAnsi="Century" w:cs="Century"/>
          <w:sz w:val="22"/>
          <w:sz w:val="22"/>
          <w:rtl w:val="true"/>
        </w:rPr>
        <w:t xml:space="preserve"> לענייננו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>וראו לעניין זה</w:t>
      </w:r>
      <w:r>
        <w:rPr>
          <w:rFonts w:cs="Century" w:ascii="Century" w:hAnsi="Century"/>
          <w:sz w:val="22"/>
          <w:rtl w:val="true"/>
        </w:rPr>
        <w:t>:</w:t>
      </w:r>
      <w:r>
        <w:rPr>
          <w:rtl w:val="true"/>
        </w:rPr>
        <w:t xml:space="preserve"> </w:t>
      </w:r>
      <w:hyperlink r:id="rId2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1127/13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גברזגיי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sz w:val="22"/>
          <w:sz w:val="22"/>
          <w:rtl w:val="true"/>
        </w:rPr>
        <w:t xml:space="preserve">פסקה </w:t>
      </w:r>
      <w:r>
        <w:rPr>
          <w:rFonts w:cs="Century" w:ascii="Century" w:hAnsi="Century"/>
          <w:sz w:val="22"/>
        </w:rPr>
        <w:t>25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לפסק דיני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והאסמכתאות שם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15.1.2014</w:t>
      </w:r>
      <w:r>
        <w:rPr>
          <w:rFonts w:cs="Century" w:ascii="Century" w:hAnsi="Century"/>
          <w:sz w:val="22"/>
          <w:rtl w:val="true"/>
        </w:rPr>
        <w:t>))</w:t>
      </w:r>
      <w:r>
        <w:rPr>
          <w:rtl w:val="true"/>
        </w:rPr>
        <w:t>.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איני מקבל גם את הטענה להיעדר התייחסות בית המשפט המחוזי לשיקולי השיקום של המערער</w:t>
      </w:r>
      <w:r>
        <w:rPr>
          <w:rtl w:val="true"/>
        </w:rPr>
        <w:t xml:space="preserve">. </w:t>
      </w:r>
      <w:r>
        <w:rPr>
          <w:rtl w:val="true"/>
        </w:rPr>
        <w:t>באשר לתסקיר המבחן</w:t>
      </w:r>
      <w:r>
        <w:rPr>
          <w:rtl w:val="true"/>
        </w:rPr>
        <w:t xml:space="preserve">, </w:t>
      </w:r>
      <w:r>
        <w:rPr>
          <w:rtl w:val="true"/>
        </w:rPr>
        <w:t>הלכה היא כי הוא בגדר המלצה בלבד עבור בית המשפט</w:t>
      </w:r>
      <w:r>
        <w:rPr>
          <w:rtl w:val="true"/>
        </w:rPr>
        <w:t xml:space="preserve">, </w:t>
      </w:r>
      <w:r>
        <w:rPr>
          <w:rtl w:val="true"/>
        </w:rPr>
        <w:t xml:space="preserve">ואינו מחייב אותו </w:t>
      </w:r>
      <w:r>
        <w:rPr>
          <w:rtl w:val="true"/>
        </w:rPr>
        <w:t>(</w:t>
      </w:r>
      <w:hyperlink r:id="rId2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2015/13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פלוני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sz w:val="22"/>
          <w:sz w:val="22"/>
          <w:rtl w:val="true"/>
        </w:rPr>
        <w:t xml:space="preserve">פסקה </w:t>
      </w:r>
      <w:r>
        <w:rPr>
          <w:rFonts w:cs="Century" w:ascii="Century" w:hAnsi="Century"/>
          <w:sz w:val="22"/>
        </w:rPr>
        <w:t>10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לפסק דינו של השופט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סולברג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10.8.2013</w:t>
      </w:r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והאסמכתאות שם</w:t>
      </w:r>
      <w:r>
        <w:rPr>
          <w:rFonts w:cs="Century" w:ascii="Century" w:hAnsi="Century"/>
          <w:sz w:val="22"/>
          <w:rtl w:val="true"/>
        </w:rPr>
        <w:t xml:space="preserve">). </w:t>
      </w:r>
      <w:r>
        <w:rPr>
          <w:rFonts w:ascii="Century" w:hAnsi="Century" w:cs="Century"/>
          <w:sz w:val="22"/>
          <w:sz w:val="22"/>
          <w:rtl w:val="true"/>
        </w:rPr>
        <w:t>בית המשפט שוקל גם שיקולים אחרים מלבד התסקיר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בענייננו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שיקולים אלה הביאו את בית המשפט המחוזי שלא לקבל את המלצת שירות המבחן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 xml:space="preserve">באשר לשיקולי השיקום במסגרת תיקון </w:t>
      </w:r>
      <w:r>
        <w:rPr>
          <w:rFonts w:cs="Century" w:ascii="Century" w:hAnsi="Century"/>
          <w:sz w:val="22"/>
        </w:rPr>
        <w:t>113</w:t>
      </w:r>
      <w:r>
        <w:rPr>
          <w:rFonts w:cs="Century" w:ascii="Century" w:hAnsi="Century"/>
          <w:sz w:val="22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 xml:space="preserve">בית המשפט המחוזי שקל את נסיבותיו האישיות של המערער </w:t>
      </w:r>
      <w:r>
        <w:rPr>
          <w:rtl w:val="true"/>
        </w:rPr>
        <w:t>(</w:t>
      </w:r>
      <w:r>
        <w:rPr>
          <w:rtl w:val="true"/>
        </w:rPr>
        <w:t>בעמ</w:t>
      </w:r>
      <w:r>
        <w:rPr>
          <w:rtl w:val="true"/>
        </w:rPr>
        <w:t xml:space="preserve">' </w:t>
      </w:r>
      <w:r>
        <w:rPr/>
        <w:t>30-29</w:t>
      </w:r>
      <w:r>
        <w:rPr>
          <w:rtl w:val="true"/>
        </w:rPr>
        <w:t xml:space="preserve"> </w:t>
      </w:r>
      <w:r>
        <w:rPr>
          <w:rtl w:val="true"/>
        </w:rPr>
        <w:t>לגזר הדין</w:t>
      </w:r>
      <w:r>
        <w:rPr>
          <w:rtl w:val="true"/>
        </w:rPr>
        <w:t xml:space="preserve">). </w:t>
      </w:r>
      <w:hyperlink r:id="rId2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</w:t>
        </w:r>
        <w:r>
          <w:rPr>
            <w:rStyle w:val="Hyperlink"/>
            <w:color w:val="0000FF"/>
            <w:u w:val="single"/>
            <w:rtl w:val="true"/>
          </w:rPr>
          <w:t>ד</w:t>
        </w:r>
      </w:hyperlink>
      <w:r>
        <w:rPr>
          <w:rtl w:val="true"/>
        </w:rPr>
        <w:t xml:space="preserve"> ל</w:t>
      </w:r>
      <w:hyperlink r:id="rId28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 קובע כי אם בית המשפט </w:t>
      </w:r>
      <w:r>
        <w:rPr>
          <w:rtl w:val="true"/>
        </w:rPr>
        <w:t>"</w:t>
      </w:r>
      <w:r>
        <w:rPr>
          <w:rtl w:val="true"/>
        </w:rPr>
        <w:t>מצא כי הנאשם השתקם או כי יש סיכוי של ממש שישתקם</w:t>
      </w:r>
      <w:r>
        <w:rPr>
          <w:rtl w:val="true"/>
        </w:rPr>
        <w:t xml:space="preserve">"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רשאי</w:t>
      </w:r>
      <w:r>
        <w:rPr>
          <w:rFonts w:ascii="Century" w:hAnsi="Century" w:cs="Century"/>
          <w:sz w:val="22"/>
          <w:sz w:val="22"/>
          <w:rtl w:val="true"/>
        </w:rPr>
        <w:t xml:space="preserve"> הוא לחרוג לקולה ממתחם הענישה ההולם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בעניינו של המערער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בית המשפט המחוזי לא סבר ששיקולי השיקום מצדיקים חריגה ממתחם הענישה</w:t>
      </w:r>
      <w:r>
        <w:rPr>
          <w:rtl w:val="true"/>
        </w:rPr>
        <w:t xml:space="preserve">. </w:t>
      </w:r>
      <w:r>
        <w:rPr>
          <w:rtl w:val="true"/>
        </w:rPr>
        <w:t>גם אנו</w:t>
      </w:r>
      <w:r>
        <w:rPr>
          <w:rtl w:val="true"/>
        </w:rPr>
        <w:t xml:space="preserve">, </w:t>
      </w:r>
      <w:r>
        <w:rPr>
          <w:rtl w:val="true"/>
        </w:rPr>
        <w:t>אף אם תובא בחשבון את תמונת המצב החיובית יותר שעמדה בפני בית המשפט המחוזי</w:t>
      </w:r>
      <w:r>
        <w:rPr>
          <w:rtl w:val="true"/>
        </w:rPr>
        <w:t xml:space="preserve">, </w:t>
      </w:r>
      <w:r>
        <w:rPr>
          <w:rtl w:val="true"/>
        </w:rPr>
        <w:t>נוכח התסקירים החיוביים שקדמו לתסקיר שהוגש לנו</w:t>
      </w:r>
      <w:r>
        <w:rPr>
          <w:rtl w:val="true"/>
        </w:rPr>
        <w:t xml:space="preserve">, </w:t>
      </w:r>
      <w:r>
        <w:rPr>
          <w:rtl w:val="true"/>
        </w:rPr>
        <w:t>לא מצאתי כי יש הצדקה לחריגה כזו</w:t>
      </w:r>
      <w:r>
        <w:rPr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אשר על כן</w:t>
      </w:r>
      <w:r>
        <w:rPr>
          <w:rtl w:val="true"/>
        </w:rPr>
        <w:t xml:space="preserve">, </w:t>
      </w:r>
      <w:r>
        <w:rPr>
          <w:rtl w:val="true"/>
        </w:rPr>
        <w:t>אמליץ לחבריי לדחות את הערעור</w:t>
      </w:r>
      <w:r>
        <w:rPr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</w:p>
        </w:tc>
      </w:tr>
    </w:tbl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240"/>
        <w:ind w:end="0"/>
        <w:jc w:val="both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ח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מלצר</w:t>
      </w:r>
      <w:r>
        <w:rPr>
          <w:rtl w:val="true"/>
        </w:rPr>
        <w:t>: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</w:p>
        </w:tc>
      </w:tr>
    </w:tbl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ד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ברק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-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ארז</w:t>
      </w:r>
      <w:r>
        <w:rPr>
          <w:rtl w:val="true"/>
        </w:rPr>
        <w:t>: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מסכימה</w:t>
      </w:r>
      <w:r>
        <w:rPr>
          <w:rtl w:val="true"/>
        </w:rPr>
        <w:t>.</w:t>
      </w:r>
    </w:p>
    <w:p>
      <w:pPr>
        <w:pStyle w:val="Ruller41"/>
        <w:spacing w:lineRule="auto" w:line="24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גנאי</w:t>
      </w:r>
      <w:r>
        <w:rPr>
          <w:rtl w:val="true"/>
        </w:rPr>
        <w:t xml:space="preserve">. </w:t>
      </w: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>להשלכתו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 </w:t>
      </w:r>
      <w:r>
        <w:rPr>
          <w:rtl w:val="true"/>
        </w:rPr>
        <w:t>בקבוק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תבערה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מגורים</w:t>
      </w:r>
      <w:r>
        <w:rPr>
          <w:rtl w:val="true"/>
        </w:rPr>
        <w:t xml:space="preserve">, </w:t>
      </w:r>
      <w:r>
        <w:rPr>
          <w:rtl w:val="true"/>
        </w:rPr>
        <w:t>עלולות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תוצאות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שומה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ונוקב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: </w:t>
      </w:r>
      <w:hyperlink r:id="rId2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2337/13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קואסמה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בפסקה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(</w:t>
      </w:r>
      <w:r>
        <w:rPr/>
        <w:t>16.9.2013</w:t>
      </w:r>
      <w:r>
        <w:rPr>
          <w:rtl w:val="true"/>
        </w:rPr>
        <w:t xml:space="preserve">)). </w:t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tl w:val="true"/>
        </w:rPr>
        <w:t xml:space="preserve">, </w:t>
      </w:r>
      <w:r>
        <w:rPr>
          <w:rtl w:val="true"/>
        </w:rPr>
        <w:t>והמערער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הרקע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גזעני</w:t>
      </w:r>
      <w:r>
        <w:rPr>
          <w:rtl w:val="true"/>
        </w:rPr>
        <w:t xml:space="preserve">, </w:t>
      </w:r>
      <w:r>
        <w:rPr>
          <w:rtl w:val="true"/>
        </w:rPr>
        <w:t>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שמוסיפה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נקיטת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מחמירה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העניין</w:t>
      </w:r>
      <w:r>
        <w:rPr>
          <w:rtl w:val="true"/>
        </w:rPr>
        <w:t xml:space="preserve">, </w:t>
      </w:r>
      <w:r>
        <w:rPr>
          <w:rtl w:val="true"/>
        </w:rPr>
        <w:t>ממילא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מוצתה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עמו</w:t>
      </w:r>
      <w:r>
        <w:rPr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</w:t>
      </w:r>
      <w:hyperlink r:id="rId30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5813/02</w:t>
        </w:r>
      </w:hyperlink>
      <w:r>
        <w:rPr>
          <w:sz w:val="28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אמויאל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sz w:val="28"/>
          <w:rtl w:val="true"/>
        </w:rPr>
        <w:t>(</w:t>
      </w:r>
      <w:r>
        <w:rPr>
          <w:sz w:val="28"/>
        </w:rPr>
        <w:t>6.3.2003</w:t>
      </w:r>
      <w:r>
        <w:rPr>
          <w:sz w:val="28"/>
          <w:rtl w:val="true"/>
        </w:rPr>
        <w:t xml:space="preserve">) </w:t>
      </w:r>
      <w:r>
        <w:rPr>
          <w:sz w:val="28"/>
          <w:sz w:val="28"/>
          <w:rtl w:val="true"/>
        </w:rPr>
        <w:t>כבר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התריע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והבהיר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נדרש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מרתיע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משמעי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הנוגע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לעבירות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להצית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אש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הגזענות</w:t>
      </w:r>
      <w:r>
        <w:rPr>
          <w:sz w:val="28"/>
          <w:rtl w:val="true"/>
        </w:rPr>
        <w:t xml:space="preserve">". </w:t>
      </w:r>
      <w:r>
        <w:rPr>
          <w:sz w:val="28"/>
          <w:sz w:val="28"/>
          <w:rtl w:val="true"/>
        </w:rPr>
        <w:t>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להוסיף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בענייננו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אש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הגזענות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תרתי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משמע</w:t>
      </w:r>
      <w:r>
        <w:rPr>
          <w:sz w:val="28"/>
          <w:rtl w:val="true"/>
        </w:rPr>
        <w:t>.</w:t>
      </w:r>
    </w:p>
    <w:p>
      <w:pPr>
        <w:pStyle w:val="Ruller41"/>
        <w:spacing w:lineRule="auto" w:line="240"/>
        <w:ind w:end="0"/>
        <w:jc w:val="both"/>
        <w:rPr>
          <w:sz w:val="28"/>
        </w:rPr>
      </w:pPr>
      <w:r>
        <w:rPr>
          <w:sz w:val="28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</w:tr>
    </w:tbl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לפיכך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</w:t>
      </w:r>
      <w:r>
        <w:rPr>
          <w:rtl w:val="true"/>
        </w:rPr>
        <w:t xml:space="preserve">'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ובראן</w:t>
      </w:r>
      <w:r>
        <w:rPr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  <w:tab/>
      </w:r>
      <w:r>
        <w:rPr>
          <w:rtl w:val="true"/>
        </w:rPr>
        <w:t xml:space="preserve">ההחלטה על עיכוב ביצוע העונש מיום </w:t>
      </w:r>
      <w:r>
        <w:rPr/>
        <w:t>15.9.2013</w:t>
      </w:r>
      <w:r>
        <w:rPr>
          <w:rtl w:val="true"/>
        </w:rPr>
        <w:t xml:space="preserve"> </w:t>
      </w:r>
      <w:r>
        <w:rPr>
          <w:rtl w:val="true"/>
        </w:rPr>
        <w:t>מבוטלת בזאת</w:t>
      </w:r>
      <w:r>
        <w:rPr>
          <w:rtl w:val="true"/>
        </w:rPr>
        <w:t xml:space="preserve">. </w:t>
      </w:r>
      <w:r>
        <w:rPr>
          <w:rtl w:val="true"/>
        </w:rPr>
        <w:t xml:space="preserve">המערער יתייצב לשאת בעונש המאסר בפועל שהוטל עליו ביום </w:t>
      </w:r>
      <w:r>
        <w:rPr/>
        <w:t>23.2.2014</w:t>
      </w:r>
      <w:r>
        <w:rPr>
          <w:rtl w:val="true"/>
        </w:rPr>
        <w:t xml:space="preserve"> </w:t>
      </w:r>
      <w:r>
        <w:rPr>
          <w:rtl w:val="true"/>
        </w:rPr>
        <w:t xml:space="preserve">עד השעה </w:t>
      </w:r>
      <w:r>
        <w:rPr/>
        <w:t>10:00</w:t>
      </w:r>
      <w:r>
        <w:rPr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ר דקל</w:t>
      </w:r>
      <w:r>
        <w:rPr>
          <w:rtl w:val="true"/>
        </w:rPr>
        <w:t xml:space="preserve">, </w:t>
      </w:r>
      <w:r>
        <w:rPr>
          <w:rtl w:val="true"/>
        </w:rPr>
        <w:t>או על פי החלטת שירות בתי הסוהר</w:t>
      </w:r>
      <w:r>
        <w:rPr>
          <w:rtl w:val="true"/>
        </w:rPr>
        <w:t xml:space="preserve">, </w:t>
      </w:r>
      <w:r>
        <w:rPr>
          <w:rtl w:val="true"/>
        </w:rPr>
        <w:t>כשברשותו תעודת זהות או דרכון</w:t>
      </w:r>
      <w:r>
        <w:rPr>
          <w:rtl w:val="true"/>
        </w:rPr>
        <w:t xml:space="preserve">. </w:t>
      </w:r>
      <w:r>
        <w:rPr>
          <w:rtl w:val="true"/>
        </w:rPr>
        <w:t>על המערער לתאם את הכניסה למאסר</w:t>
      </w:r>
      <w:r>
        <w:rPr>
          <w:rtl w:val="true"/>
        </w:rPr>
        <w:t xml:space="preserve">, </w:t>
      </w:r>
      <w:r>
        <w:rPr>
          <w:rtl w:val="true"/>
        </w:rPr>
        <w:t>כולל האפשרות למיון מוקדם</w:t>
      </w:r>
      <w:r>
        <w:rPr>
          <w:rtl w:val="true"/>
        </w:rPr>
        <w:t xml:space="preserve">, </w:t>
      </w:r>
      <w:r>
        <w:rPr>
          <w:rtl w:val="true"/>
        </w:rPr>
        <w:t>עם ענף אבחון ומיון של שירות בתי הסוהר</w:t>
      </w:r>
      <w:r>
        <w:rPr>
          <w:rtl w:val="true"/>
        </w:rPr>
        <w:t xml:space="preserve">, </w:t>
      </w:r>
      <w:r>
        <w:rPr>
          <w:rtl w:val="true"/>
        </w:rPr>
        <w:t>בטלפונים</w:t>
      </w:r>
      <w:r>
        <w:rPr>
          <w:rtl w:val="true"/>
        </w:rPr>
        <w:t xml:space="preserve">: </w:t>
      </w:r>
      <w:r>
        <w:rPr/>
        <w:t>08-9787377</w:t>
      </w:r>
      <w:r>
        <w:rPr>
          <w:rtl w:val="true"/>
        </w:rPr>
        <w:t xml:space="preserve"> </w:t>
      </w:r>
      <w:r>
        <w:rPr>
          <w:rtl w:val="true"/>
        </w:rPr>
        <w:t xml:space="preserve">או  </w:t>
      </w:r>
      <w:r>
        <w:rPr/>
        <w:t>08-9787336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בשבט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28.1.2014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</w:tr>
    </w:tbl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9" w:name="FileName"/>
      <w:r>
        <w:rPr>
          <w:sz w:val="16"/>
        </w:rPr>
        <w:t>13062040</w:t>
      </w:r>
      <w:r>
        <w:rPr>
          <w:sz w:val="16"/>
          <w:rtl w:val="true"/>
        </w:rPr>
        <w:t>_</w:t>
      </w:r>
      <w:r>
        <w:rPr>
          <w:sz w:val="16"/>
        </w:rPr>
        <w:t>H02.doc</w:t>
      </w:r>
      <w:r>
        <w:rPr>
          <w:sz w:val="16"/>
          <w:rtl w:val="true"/>
        </w:rPr>
        <w:t xml:space="preserve">   </w:t>
      </w:r>
      <w:bookmarkEnd w:id="19"/>
      <w:r>
        <w:rPr>
          <w:sz w:val="16"/>
          <w:sz w:val="16"/>
          <w:rtl w:val="true"/>
        </w:rPr>
        <w:t>שצ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31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ס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>ג</w:t>
      </w:r>
      <w:r>
        <w:rPr>
          <w:rFonts w:cs="David" w:ascii="David" w:hAnsi="David"/>
          <w:color w:val="000000"/>
          <w:szCs w:val="22"/>
          <w:rtl w:val="true"/>
        </w:rPr>
        <w:t>'</w:t>
      </w:r>
      <w:r>
        <w:rPr>
          <w:rFonts w:ascii="David" w:hAnsi="David"/>
          <w:color w:val="000000"/>
          <w:szCs w:val="22"/>
          <w:rtl w:val="true"/>
        </w:rPr>
        <w:t xml:space="preserve">ובראן </w:t>
      </w:r>
      <w:r>
        <w:rPr>
          <w:rFonts w:cs="David" w:ascii="David" w:hAnsi="David"/>
          <w:color w:val="000000"/>
          <w:szCs w:val="22"/>
        </w:rPr>
        <w:t>54678313-6204/13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32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33"/>
      <w:footerReference w:type="default" r:id="rId34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10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6204/13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יהושע סופר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>
        <w:lang w:val="en-US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lang w:val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47694&amp;NEWPARTB=08&amp;NEWPARTC=11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40d" TargetMode="External"/><Relationship Id="rId5" Type="http://schemas.openxmlformats.org/officeDocument/2006/relationships/hyperlink" Target="http://www.nevo.co.il/law/70301/448.a" TargetMode="External"/><Relationship Id="rId6" Type="http://schemas.openxmlformats.org/officeDocument/2006/relationships/hyperlink" Target="http://www.nevo.co.il/law/70301/498.a" TargetMode="External"/><Relationship Id="rId7" Type="http://schemas.openxmlformats.org/officeDocument/2006/relationships/hyperlink" Target="http://www.nevo.co.il/links/psika/?NEWPROC=&#1514;&#1508;&amp;NEWPARTA=47694&amp;NEWPARTB=08&amp;NEWPARTC=11" TargetMode="External"/><Relationship Id="rId8" Type="http://schemas.openxmlformats.org/officeDocument/2006/relationships/hyperlink" Target="http://www.nevo.co.il/law/70301/448.a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0301/498.a" TargetMode="External"/><Relationship Id="rId12" Type="http://schemas.openxmlformats.org/officeDocument/2006/relationships/hyperlink" Target="http://www.nevo.co.il/law/70301" TargetMode="External"/><Relationship Id="rId13" Type="http://schemas.openxmlformats.org/officeDocument/2006/relationships/hyperlink" Target="http://www.nevo.co.il/law/70301" TargetMode="External"/><Relationship Id="rId14" Type="http://schemas.openxmlformats.org/officeDocument/2006/relationships/hyperlink" Target="http://www.nevo.co.il/links/psika/?link=&#1506;&#1508;%203091/08" TargetMode="External"/><Relationship Id="rId15" Type="http://schemas.openxmlformats.org/officeDocument/2006/relationships/hyperlink" Target="http://www.nevo.co.il/links/psika/?link=&#1506;&#1508;%207563/08" TargetMode="External"/><Relationship Id="rId16" Type="http://schemas.openxmlformats.org/officeDocument/2006/relationships/hyperlink" Target="http://www.nevo.co.il/links/psika/?link=&#1506;&#1508;%207439/08" TargetMode="External"/><Relationship Id="rId17" Type="http://schemas.openxmlformats.org/officeDocument/2006/relationships/hyperlink" Target="http://www.nevo.co.il/psika_word/elyon/08094370-h04.doc" TargetMode="External"/><Relationship Id="rId18" Type="http://schemas.openxmlformats.org/officeDocument/2006/relationships/hyperlink" Target="http://www.nevo.co.il/links/psika/?link=&#1506;&#1508;%205931/11" TargetMode="External"/><Relationship Id="rId19" Type="http://schemas.openxmlformats.org/officeDocument/2006/relationships/hyperlink" Target="http://www.nevo.co.il/law/70301" TargetMode="External"/><Relationship Id="rId20" Type="http://schemas.openxmlformats.org/officeDocument/2006/relationships/hyperlink" Target="http://www.nevo.co.il/links/psika/?link=&#1506;&#1508;%201846/13" TargetMode="External"/><Relationship Id="rId21" Type="http://schemas.openxmlformats.org/officeDocument/2006/relationships/hyperlink" Target="http://www.nevo.co.il/links/psika/?NEWPROC=&#1514;&#1508;&amp;NEWPARTA=47653&amp;NEWPARTB=08&amp;NEWPARTC=11" TargetMode="External"/><Relationship Id="rId22" Type="http://schemas.openxmlformats.org/officeDocument/2006/relationships/hyperlink" Target="http://www.nevo.co.il/links/psika/?link=&#1506;&#1508;%209427/11" TargetMode="External"/><Relationship Id="rId23" Type="http://schemas.openxmlformats.org/officeDocument/2006/relationships/hyperlink" Target="http://www.nevo.co.il/links/psika/?link=&#1506;&#1508;%207887/12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links/psika/?link=&#1506;&#1508;%201127/13" TargetMode="External"/><Relationship Id="rId26" Type="http://schemas.openxmlformats.org/officeDocument/2006/relationships/hyperlink" Target="http://www.nevo.co.il/links/psika/?link=&#1506;&#1508;%202015/13" TargetMode="External"/><Relationship Id="rId27" Type="http://schemas.openxmlformats.org/officeDocument/2006/relationships/hyperlink" Target="http://www.nevo.co.il/law/70301/40d" TargetMode="External"/><Relationship Id="rId28" Type="http://schemas.openxmlformats.org/officeDocument/2006/relationships/hyperlink" Target="http://www.nevo.co.il/law/70301" TargetMode="External"/><Relationship Id="rId29" Type="http://schemas.openxmlformats.org/officeDocument/2006/relationships/hyperlink" Target="http://www.nevo.co.il/links/psika/?link=&#1506;&#1508;%202337/13" TargetMode="External"/><Relationship Id="rId30" Type="http://schemas.openxmlformats.org/officeDocument/2006/relationships/hyperlink" Target="http://www.nevo.co.il/links/psika/?link=&#1506;&#1508;%205813/02" TargetMode="External"/><Relationship Id="rId31" Type="http://schemas.openxmlformats.org/officeDocument/2006/relationships/hyperlink" Target="http://www.court.gov.il/" TargetMode="External"/><Relationship Id="rId32" Type="http://schemas.openxmlformats.org/officeDocument/2006/relationships/hyperlink" Target="http://www.nevo.co.il/advertisements/nevo-100.doc" TargetMode="External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13062040.H02.doc</Template>
  <TotalTime>7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2014-01-30T09:52:00Z</dcterms:created>
  <dc:creator> </dc:creator>
  <dc:description/>
  <cp:keywords/>
  <dc:language>en-IL</dc:language>
  <cp:lastModifiedBy>orly</cp:lastModifiedBy>
  <cp:lastPrinted>2014-01-27T12:06:00Z</cp:lastPrinted>
  <dcterms:modified xsi:type="dcterms:W3CDTF">2014-01-30T10:14:00Z</dcterms:modified>
  <cp:revision>4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יהושע סופר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/>
  </property>
  <property fmtid="{D5CDD505-2E9C-101B-9397-08002B2CF9AE}" pid="9" name="DATE">
    <vt:lpwstr>20140128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ס' ג'ובראן;ח' מלצר;ד' ברק ארז</vt:lpwstr>
  </property>
  <property fmtid="{D5CDD505-2E9C-101B-9397-08002B2CF9AE}" pid="13" name="LAWLISTTMP1">
    <vt:lpwstr>70301/448.a;498.a;040d</vt:lpwstr>
  </property>
  <property fmtid="{D5CDD505-2E9C-101B-9397-08002B2CF9AE}" pid="14" name="LAWYER">
    <vt:lpwstr>חיים שוייצר;שמעון תורג'מן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METAKZER">
    <vt:lpwstr>פאני</vt:lpwstr>
  </property>
  <property fmtid="{D5CDD505-2E9C-101B-9397-08002B2CF9AE}" pid="21" name="NEWPARTA">
    <vt:lpwstr/>
  </property>
  <property fmtid="{D5CDD505-2E9C-101B-9397-08002B2CF9AE}" pid="22" name="NEWPARTB">
    <vt:lpwstr/>
  </property>
  <property fmtid="{D5CDD505-2E9C-101B-9397-08002B2CF9AE}" pid="23" name="NEWPARTC">
    <vt:lpwstr/>
  </property>
  <property fmtid="{D5CDD505-2E9C-101B-9397-08002B2CF9AE}" pid="24" name="NEWPROC">
    <vt:lpwstr/>
  </property>
  <property fmtid="{D5CDD505-2E9C-101B-9397-08002B2CF9AE}" pid="25" name="NOSE11">
    <vt:lpwstr>עונשין</vt:lpwstr>
  </property>
  <property fmtid="{D5CDD505-2E9C-101B-9397-08002B2CF9AE}" pid="26" name="NOSE110">
    <vt:lpwstr/>
  </property>
  <property fmtid="{D5CDD505-2E9C-101B-9397-08002B2CF9AE}" pid="27" name="NOSE12">
    <vt:lpwstr>עונשין</vt:lpwstr>
  </property>
  <property fmtid="{D5CDD505-2E9C-101B-9397-08002B2CF9AE}" pid="28" name="NOSE13">
    <vt:lpwstr>עונשין</vt:lpwstr>
  </property>
  <property fmtid="{D5CDD505-2E9C-101B-9397-08002B2CF9AE}" pid="29" name="NOSE14">
    <vt:lpwstr>עונשין</vt:lpwstr>
  </property>
  <property fmtid="{D5CDD505-2E9C-101B-9397-08002B2CF9AE}" pid="30" name="NOSE15">
    <vt:lpwstr>בתי-משפט</vt:lpwstr>
  </property>
  <property fmtid="{D5CDD505-2E9C-101B-9397-08002B2CF9AE}" pid="31" name="NOSE16">
    <vt:lpwstr/>
  </property>
  <property fmtid="{D5CDD505-2E9C-101B-9397-08002B2CF9AE}" pid="32" name="NOSE17">
    <vt:lpwstr/>
  </property>
  <property fmtid="{D5CDD505-2E9C-101B-9397-08002B2CF9AE}" pid="33" name="NOSE18">
    <vt:lpwstr/>
  </property>
  <property fmtid="{D5CDD505-2E9C-101B-9397-08002B2CF9AE}" pid="34" name="NOSE19">
    <vt:lpwstr/>
  </property>
  <property fmtid="{D5CDD505-2E9C-101B-9397-08002B2CF9AE}" pid="35" name="NOSE1ID">
    <vt:lpwstr>77;77;77;77;14</vt:lpwstr>
  </property>
  <property fmtid="{D5CDD505-2E9C-101B-9397-08002B2CF9AE}" pid="36" name="NOSE21">
    <vt:lpwstr>ענישה</vt:lpwstr>
  </property>
  <property fmtid="{D5CDD505-2E9C-101B-9397-08002B2CF9AE}" pid="37" name="NOSE210">
    <vt:lpwstr/>
  </property>
  <property fmtid="{D5CDD505-2E9C-101B-9397-08002B2CF9AE}" pid="38" name="NOSE22">
    <vt:lpwstr>ענישה</vt:lpwstr>
  </property>
  <property fmtid="{D5CDD505-2E9C-101B-9397-08002B2CF9AE}" pid="39" name="NOSE23">
    <vt:lpwstr>ענישה</vt:lpwstr>
  </property>
  <property fmtid="{D5CDD505-2E9C-101B-9397-08002B2CF9AE}" pid="40" name="NOSE24">
    <vt:lpwstr>ענישה</vt:lpwstr>
  </property>
  <property fmtid="{D5CDD505-2E9C-101B-9397-08002B2CF9AE}" pid="41" name="NOSE25">
    <vt:lpwstr>ערעור</vt:lpwstr>
  </property>
  <property fmtid="{D5CDD505-2E9C-101B-9397-08002B2CF9AE}" pid="42" name="NOSE26">
    <vt:lpwstr/>
  </property>
  <property fmtid="{D5CDD505-2E9C-101B-9397-08002B2CF9AE}" pid="43" name="NOSE27">
    <vt:lpwstr/>
  </property>
  <property fmtid="{D5CDD505-2E9C-101B-9397-08002B2CF9AE}" pid="44" name="NOSE28">
    <vt:lpwstr/>
  </property>
  <property fmtid="{D5CDD505-2E9C-101B-9397-08002B2CF9AE}" pid="45" name="NOSE29">
    <vt:lpwstr/>
  </property>
  <property fmtid="{D5CDD505-2E9C-101B-9397-08002B2CF9AE}" pid="46" name="NOSE2ID">
    <vt:lpwstr>1446;1446;1446;1446;333</vt:lpwstr>
  </property>
  <property fmtid="{D5CDD505-2E9C-101B-9397-08002B2CF9AE}" pid="47" name="NOSE31">
    <vt:lpwstr>מתחם הענישה</vt:lpwstr>
  </property>
  <property fmtid="{D5CDD505-2E9C-101B-9397-08002B2CF9AE}" pid="48" name="NOSE310">
    <vt:lpwstr/>
  </property>
  <property fmtid="{D5CDD505-2E9C-101B-9397-08002B2CF9AE}" pid="49" name="NOSE32">
    <vt:lpwstr>התערבות ערכאת הערעור</vt:lpwstr>
  </property>
  <property fmtid="{D5CDD505-2E9C-101B-9397-08002B2CF9AE}" pid="50" name="NOSE33">
    <vt:lpwstr>תסקיר שירות מבחן</vt:lpwstr>
  </property>
  <property fmtid="{D5CDD505-2E9C-101B-9397-08002B2CF9AE}" pid="51" name="NOSE34">
    <vt:lpwstr>מדיניות ענישה: שיקום</vt:lpwstr>
  </property>
  <property fmtid="{D5CDD505-2E9C-101B-9397-08002B2CF9AE}" pid="52" name="NOSE35">
    <vt:lpwstr>התערבות במידת העונש</vt:lpwstr>
  </property>
  <property fmtid="{D5CDD505-2E9C-101B-9397-08002B2CF9AE}" pid="53" name="NOSE36">
    <vt:lpwstr/>
  </property>
  <property fmtid="{D5CDD505-2E9C-101B-9397-08002B2CF9AE}" pid="54" name="NOSE37">
    <vt:lpwstr/>
  </property>
  <property fmtid="{D5CDD505-2E9C-101B-9397-08002B2CF9AE}" pid="55" name="NOSE38">
    <vt:lpwstr/>
  </property>
  <property fmtid="{D5CDD505-2E9C-101B-9397-08002B2CF9AE}" pid="56" name="NOSE39">
    <vt:lpwstr/>
  </property>
  <property fmtid="{D5CDD505-2E9C-101B-9397-08002B2CF9AE}" pid="57" name="NOSE3ID">
    <vt:lpwstr>14985;8978;13182;14346;2708</vt:lpwstr>
  </property>
  <property fmtid="{D5CDD505-2E9C-101B-9397-08002B2CF9AE}" pid="58" name="PADIDATE">
    <vt:lpwstr>20140130</vt:lpwstr>
  </property>
  <property fmtid="{D5CDD505-2E9C-101B-9397-08002B2CF9AE}" pid="59" name="PADIMAIL">
    <vt:lpwstr>YES</vt:lpwstr>
  </property>
  <property fmtid="{D5CDD505-2E9C-101B-9397-08002B2CF9AE}" pid="60" name="PAGE">
    <vt:lpwstr/>
  </property>
  <property fmtid="{D5CDD505-2E9C-101B-9397-08002B2CF9AE}" pid="61" name="PART">
    <vt:lpwstr/>
  </property>
  <property fmtid="{D5CDD505-2E9C-101B-9397-08002B2CF9AE}" pid="62" name="PROCESS">
    <vt:lpwstr>עפ</vt:lpwstr>
  </property>
  <property fmtid="{D5CDD505-2E9C-101B-9397-08002B2CF9AE}" pid="63" name="PROCNUM">
    <vt:lpwstr>6204</vt:lpwstr>
  </property>
  <property fmtid="{D5CDD505-2E9C-101B-9397-08002B2CF9AE}" pid="64" name="PROCYEAR">
    <vt:lpwstr>13</vt:lpwstr>
  </property>
  <property fmtid="{D5CDD505-2E9C-101B-9397-08002B2CF9AE}" pid="65" name="PSAKDIN">
    <vt:lpwstr>פסק-דין</vt:lpwstr>
  </property>
  <property fmtid="{D5CDD505-2E9C-101B-9397-08002B2CF9AE}" pid="66" name="TYPE">
    <vt:lpwstr>1</vt:lpwstr>
  </property>
  <property fmtid="{D5CDD505-2E9C-101B-9397-08002B2CF9AE}" pid="67" name="TYPE_ABS_DATE">
    <vt:lpwstr>410120140128</vt:lpwstr>
  </property>
  <property fmtid="{D5CDD505-2E9C-101B-9397-08002B2CF9AE}" pid="68" name="TYPE_N_DATE">
    <vt:lpwstr>41020140128</vt:lpwstr>
  </property>
  <property fmtid="{D5CDD505-2E9C-101B-9397-08002B2CF9AE}" pid="69" name="VOLUME">
    <vt:lpwstr/>
  </property>
  <property fmtid="{D5CDD505-2E9C-101B-9397-08002B2CF9AE}" pid="70" name="WORDNUMPAGES">
    <vt:lpwstr>8</vt:lpwstr>
  </property>
</Properties>
</file>