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right"/>
        <w:bidi/>
      </w:pPr>
      <w:r>
        <w:rPr>
          <w:rFonts w:ascii="Times New Roman" w:hAnsi="Times New Roman" w:cs="Times New Roman"/>
          <w:sz w:val="24"/>
          <w:sz-cs w:val="24"/>
        </w:rPr>
        <w:t xml:space="preserve"> </w:t>
      </w:r>
    </w:p>
    <w:p>
      <w:pPr>
        <w:jc w:val="center"/>
        <w:bidi/>
      </w:pPr>
      <w:r>
        <w:rPr>
          <w:rFonts w:ascii="Times New Roman" w:hAnsi="Times New Roman" w:cs="Times New Roman"/>
          <w:sz w:val="28"/>
          <w:sz-cs w:val="28"/>
          <w:b/>
        </w:rPr>
        <w:t xml:space="preserve">בבית המשפט העליון   בשבתו כבית משפט לערעורים פליליים</w:t>
      </w:r>
      <w:r>
        <w:rPr>
          <w:rFonts w:ascii="Times New Roman" w:hAnsi="Times New Roman" w:cs="Times New Roman"/>
          <w:sz w:val="24"/>
          <w:sz-cs w:val="24"/>
        </w:rPr>
        <w:t xml:space="preserve"/>
      </w:r>
    </w:p>
    <w:p>
      <w:pPr>
        <w:bidi/>
      </w:pPr>
      <w:r>
        <w:rPr>
          <w:rFonts w:ascii="Times New Roman" w:hAnsi="Times New Roman" w:cs="Times New Roman"/>
          <w:sz w:val="28"/>
          <w:sz-cs w:val="28"/>
          <w:b/>
        </w:rPr>
        <w:t xml:space="preserve">ע"פ  6260/05</w:t>
      </w: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t>
      </w:r>
    </w:p>
    <w:p>
      <w:pPr>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bidi/>
      </w:pPr>
      <w:r>
        <w:rPr>
          <w:rFonts w:ascii="Times New Roman" w:hAnsi="Times New Roman" w:cs="Times New Roman"/>
          <w:sz w:val="24"/>
          <w:sz-cs w:val="24"/>
          <w:b/>
        </w:rPr>
        <w:t xml:space="preserve"> </w:t>
      </w:r>
      <w:r>
        <w:rPr>
          <w:rFonts w:ascii="Times New Roman" w:hAnsi="Times New Roman" w:cs="Times New Roman"/>
          <w:sz w:val="24"/>
          <w:sz-cs w:val="24"/>
        </w:rPr>
        <w:t xml:space="preserve"/>
      </w:r>
    </w:p>
    <w:p>
      <w:pPr>
        <w:bidi/>
      </w:pPr>
      <w:r>
        <w:rPr>
          <w:rFonts w:ascii="Times New Roman" w:hAnsi="Times New Roman" w:cs="Times New Roman"/>
          <w:sz w:val="24"/>
          <w:sz-cs w:val="24"/>
          <w:b/>
        </w:rPr>
        <w:t xml:space="preserve"> </w:t>
      </w:r>
      <w:r>
        <w:rPr>
          <w:rFonts w:ascii="Times New Roman" w:hAnsi="Times New Roman" w:cs="Times New Roman"/>
          <w:sz w:val="24"/>
          <w:sz-cs w:val="24"/>
        </w:rPr>
        <w:t xml:space="preserve"/>
      </w:r>
    </w:p>
    <w:p>
      <w:pPr>
        <w:jc w:val="right"/>
        <w:bidi/>
      </w:pPr>
      <w:r>
        <w:rPr>
          <w:rFonts w:ascii="Times New Roman" w:hAnsi="Times New Roman" w:cs="Times New Roman"/>
          <w:sz w:val="28"/>
          <w:sz-cs w:val="28"/>
        </w:rPr>
        <w:t xml:space="preserve">כבוד השופט א' א' לוי</w:t>
      </w:r>
      <w:r>
        <w:rPr>
          <w:rFonts w:ascii="Times New Roman" w:hAnsi="Times New Roman" w:cs="Times New Roman"/>
          <w:sz w:val="22"/>
          <w:sz-cs w:val="22"/>
        </w:rPr>
        <w:t xml:space="preserve"/>
      </w:r>
    </w:p>
    <w:p>
      <w:pPr>
        <w:jc w:val="right"/>
        <w:bidi/>
      </w:pPr>
      <w:r>
        <w:rPr>
          <w:rFonts w:ascii="Times New Roman" w:hAnsi="Times New Roman" w:cs="Times New Roman"/>
          <w:sz w:val="28"/>
          <w:sz-cs w:val="28"/>
        </w:rPr>
        <w:t xml:space="preserve">בפני:   </w:t>
      </w:r>
      <w:r>
        <w:rPr>
          <w:rFonts w:ascii="Times New Roman" w:hAnsi="Times New Roman" w:cs="Times New Roman"/>
          <w:sz w:val="22"/>
          <w:sz-cs w:val="22"/>
        </w:rPr>
        <w:t xml:space="preserve"/>
      </w:r>
    </w:p>
    <w:p>
      <w:pPr>
        <w:jc w:val="right"/>
        <w:bidi/>
      </w:pPr>
      <w:r>
        <w:rPr>
          <w:rFonts w:ascii="Times New Roman" w:hAnsi="Times New Roman" w:cs="Times New Roman"/>
          <w:sz w:val="28"/>
          <w:sz-cs w:val="28"/>
        </w:rPr>
        <w:t xml:space="preserve">כבוד השופט א' גרוניס</w:t>
      </w:r>
      <w:r>
        <w:rPr>
          <w:rFonts w:ascii="Times New Roman" w:hAnsi="Times New Roman" w:cs="Times New Roman"/>
          <w:sz w:val="22"/>
          <w:sz-cs w:val="22"/>
        </w:rPr>
        <w:t xml:space="preserve"/>
      </w:r>
    </w:p>
    <w:p>
      <w:pPr>
        <w:jc w:val="right"/>
        <w:bidi/>
      </w:pPr>
      <w:r>
        <w:rPr>
          <w:rFonts w:ascii="Times New Roman" w:hAnsi="Times New Roman" w:cs="Times New Roman"/>
          <w:sz w:val="28"/>
          <w:sz-cs w:val="28"/>
        </w:rPr>
        <w:t xml:space="preserve"> </w:t>
      </w:r>
      <w:r>
        <w:rPr>
          <w:rFonts w:ascii="Times New Roman" w:hAnsi="Times New Roman" w:cs="Times New Roman"/>
          <w:sz w:val="22"/>
          <w:sz-cs w:val="22"/>
        </w:rPr>
        <w:t xml:space="preserve"/>
      </w:r>
    </w:p>
    <w:p>
      <w:pPr>
        <w:jc w:val="right"/>
        <w:bidi/>
      </w:pPr>
      <w:r>
        <w:rPr>
          <w:rFonts w:ascii="Times New Roman" w:hAnsi="Times New Roman" w:cs="Times New Roman"/>
          <w:sz w:val="28"/>
          <w:sz-cs w:val="28"/>
        </w:rPr>
        <w:t xml:space="preserve">כבוד השופט ס' ג'ובראן</w:t>
      </w:r>
      <w:r>
        <w:rPr>
          <w:rFonts w:ascii="Times New Roman" w:hAnsi="Times New Roman" w:cs="Times New Roman"/>
          <w:sz w:val="22"/>
          <w:sz-cs w:val="22"/>
        </w:rPr>
        <w:t xml:space="preserve"/>
      </w:r>
    </w:p>
    <w:p>
      <w:pPr>
        <w:jc w:val="right"/>
        <w:bidi/>
      </w:pPr>
      <w:r>
        <w:rPr>
          <w:rFonts w:ascii="Times New Roman" w:hAnsi="Times New Roman" w:cs="Times New Roman"/>
          <w:sz w:val="28"/>
          <w:sz-cs w:val="28"/>
        </w:rPr>
        <w:t xml:space="preserve"> </w:t>
      </w:r>
      <w:r>
        <w:rPr>
          <w:rFonts w:ascii="Times New Roman" w:hAnsi="Times New Roman" w:cs="Times New Roman"/>
          <w:sz w:val="22"/>
          <w:sz-cs w:val="22"/>
        </w:rPr>
        <w:t xml:space="preserve"/>
      </w:r>
    </w:p>
    <w:p>
      <w:pPr>
        <w:jc w:val="right"/>
        <w:bidi/>
      </w:pPr>
      <w:r>
        <w:rPr>
          <w:rFonts w:ascii="Times New Roman" w:hAnsi="Times New Roman" w:cs="Times New Roman"/>
          <w:sz w:val="28"/>
          <w:sz-cs w:val="28"/>
          <w:b/>
          <w:spacing w:val="10"/>
        </w:rPr>
        <w:t xml:space="preserve"> </w:t>
      </w:r>
      <w:r>
        <w:rPr>
          <w:rFonts w:ascii="Times New Roman" w:hAnsi="Times New Roman" w:cs="Times New Roman"/>
          <w:sz w:val="22"/>
          <w:sz-cs w:val="22"/>
          <w:spacing w:val="10"/>
        </w:rPr>
        <w:t xml:space="preserve"/>
      </w:r>
    </w:p>
    <w:p>
      <w:pPr>
        <w:jc w:val="right"/>
        <w:bidi/>
      </w:pPr>
      <w:r>
        <w:rPr>
          <w:rFonts w:ascii="Times New Roman" w:hAnsi="Times New Roman" w:cs="Times New Roman"/>
          <w:sz w:val="28"/>
          <w:sz-cs w:val="28"/>
        </w:rPr>
        <w:t xml:space="preserve">מאלק חדרה</w:t>
      </w:r>
      <w:r>
        <w:rPr>
          <w:rFonts w:ascii="Times New Roman" w:hAnsi="Times New Roman" w:cs="Times New Roman"/>
          <w:sz w:val="22"/>
          <w:sz-cs w:val="22"/>
        </w:rPr>
        <w:t xml:space="preserve"/>
      </w:r>
    </w:p>
    <w:p>
      <w:pPr>
        <w:jc w:val="right"/>
        <w:bidi/>
      </w:pPr>
      <w:r>
        <w:rPr>
          <w:rFonts w:ascii="Times New Roman" w:hAnsi="Times New Roman" w:cs="Times New Roman"/>
          <w:sz w:val="28"/>
          <w:sz-cs w:val="28"/>
        </w:rPr>
        <w:t xml:space="preserve">המערער:</w:t>
      </w:r>
      <w:r>
        <w:rPr>
          <w:rFonts w:ascii="Times New Roman" w:hAnsi="Times New Roman" w:cs="Times New Roman"/>
          <w:sz w:val="22"/>
          <w:sz-cs w:val="22"/>
        </w:rPr>
        <w:t xml:space="preserve"/>
      </w:r>
    </w:p>
    <w:p>
      <w:pPr>
        <w:jc w:val="right"/>
        <w:bidi/>
      </w:pPr>
      <w:r>
        <w:rPr>
          <w:rFonts w:ascii="Times New Roman" w:hAnsi="Times New Roman" w:cs="Times New Roman"/>
          <w:sz w:val="22"/>
          <w:sz-cs w:val="22"/>
          <w:spacing w:val="10"/>
        </w:rPr>
        <w:t xml:space="preserve">                                           </w:t>
      </w:r>
    </w:p>
    <w:p>
      <w:pPr>
        <w:jc w:val="right"/>
        <w:bidi/>
      </w:pPr>
      <w:r>
        <w:rPr>
          <w:rFonts w:ascii="Times New Roman" w:hAnsi="Times New Roman" w:cs="Times New Roman"/>
          <w:sz w:val="28"/>
          <w:sz-cs w:val="28"/>
        </w:rPr>
        <w:t xml:space="preserve">נ</w:t>
      </w:r>
      <w:r>
        <w:rPr>
          <w:rFonts w:ascii="Times New Roman" w:hAnsi="Times New Roman" w:cs="Times New Roman"/>
          <w:sz w:val="22"/>
          <w:sz-cs w:val="22"/>
        </w:rPr>
        <w:t xml:space="preserve">  </w:t>
      </w:r>
      <w:r>
        <w:rPr>
          <w:rFonts w:ascii="Times New Roman" w:hAnsi="Times New Roman" w:cs="Times New Roman"/>
          <w:sz w:val="28"/>
          <w:sz-cs w:val="28"/>
        </w:rPr>
        <w:t xml:space="preserve">ג</w:t>
      </w:r>
      <w:r>
        <w:rPr>
          <w:rFonts w:ascii="Times New Roman" w:hAnsi="Times New Roman" w:cs="Times New Roman"/>
          <w:sz w:val="22"/>
          <w:sz-cs w:val="22"/>
        </w:rPr>
        <w:t xml:space="preserve">  </w:t>
      </w:r>
      <w:r>
        <w:rPr>
          <w:rFonts w:ascii="Times New Roman" w:hAnsi="Times New Roman" w:cs="Times New Roman"/>
          <w:sz w:val="28"/>
          <w:sz-cs w:val="28"/>
        </w:rPr>
        <w:t xml:space="preserve">ד</w:t>
      </w: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 </w:t>
      </w:r>
    </w:p>
    <w:p>
      <w:pPr>
        <w:jc w:val="right"/>
        <w:bidi/>
      </w:pPr>
      <w:r>
        <w:rPr>
          <w:rFonts w:ascii="Times New Roman" w:hAnsi="Times New Roman" w:cs="Times New Roman"/>
          <w:sz w:val="22"/>
          <w:sz-cs w:val="22"/>
          <w:spacing w:val="10"/>
        </w:rPr>
        <w:t xml:space="preserve">                                                                                                     </w:t>
      </w:r>
    </w:p>
    <w:p>
      <w:pPr>
        <w:jc w:val="right"/>
        <w:bidi/>
      </w:pPr>
      <w:r>
        <w:rPr>
          <w:rFonts w:ascii="Times New Roman" w:hAnsi="Times New Roman" w:cs="Times New Roman"/>
          <w:sz w:val="28"/>
          <w:sz-cs w:val="28"/>
        </w:rPr>
        <w:t xml:space="preserve">מדינת ישראל</w:t>
      </w:r>
      <w:r>
        <w:rPr>
          <w:rFonts w:ascii="Times New Roman" w:hAnsi="Times New Roman" w:cs="Times New Roman"/>
          <w:sz w:val="22"/>
          <w:sz-cs w:val="22"/>
        </w:rPr>
        <w:t xml:space="preserve"/>
      </w:r>
    </w:p>
    <w:p>
      <w:pPr>
        <w:jc w:val="right"/>
        <w:bidi/>
      </w:pPr>
      <w:r>
        <w:rPr>
          <w:rFonts w:ascii="Times New Roman" w:hAnsi="Times New Roman" w:cs="Times New Roman"/>
          <w:sz w:val="28"/>
          <w:sz-cs w:val="28"/>
        </w:rPr>
        <w:t xml:space="preserve">המשיבה:</w:t>
      </w:r>
      <w:r>
        <w:rPr>
          <w:rFonts w:ascii="Times New Roman" w:hAnsi="Times New Roman" w:cs="Times New Roman"/>
          <w:sz w:val="22"/>
          <w:sz-cs w:val="22"/>
        </w:rPr>
        <w:t xml:space="preserve"/>
      </w:r>
    </w:p>
    <w:p>
      <w:pPr>
        <w:jc w:val="right"/>
        <w:bidi/>
      </w:pPr>
      <w:r>
        <w:rPr>
          <w:rFonts w:ascii="Times New Roman" w:hAnsi="Times New Roman" w:cs="Times New Roman"/>
          <w:sz w:val="28"/>
          <w:sz-cs w:val="28"/>
          <w:spacing w:val="10"/>
        </w:rPr>
        <w:t xml:space="preserve"> </w:t>
      </w:r>
      <w:r>
        <w:rPr>
          <w:rFonts w:ascii="Times New Roman" w:hAnsi="Times New Roman" w:cs="Times New Roman"/>
          <w:sz w:val="22"/>
          <w:sz-cs w:val="22"/>
          <w:spacing w:val="10"/>
        </w:rPr>
        <w:t xml:space="preserve"/>
      </w:r>
    </w:p>
    <w:p>
      <w:pPr>
        <w:jc w:val="right"/>
        <w:bidi/>
      </w:pPr>
      <w:r>
        <w:rPr>
          <w:rFonts w:ascii="Times New Roman" w:hAnsi="Times New Roman" w:cs="Times New Roman"/>
          <w:sz w:val="24"/>
          <w:sz-cs w:val="24"/>
        </w:rPr>
        <w:t xml:space="preserve">ערעור על גזר דינו של בית המשפט המחוזי בתל אביב בת"פ 4034/04 שניתן ביום 9.6.05 על ידי כבוד השופט ד' רוזן</w:t>
      </w:r>
      <w:r>
        <w:rPr>
          <w:rFonts w:ascii="Times New Roman" w:hAnsi="Times New Roman" w:cs="Times New Roman"/>
          <w:sz w:val="22"/>
          <w:sz-cs w:val="22"/>
        </w:rPr>
        <w:t xml:space="preserve"/>
      </w:r>
    </w:p>
    <w:p>
      <w:pPr>
        <w:jc w:val="right"/>
        <w:bidi/>
      </w:pPr>
      <w:r>
        <w:rPr>
          <w:rFonts w:ascii="Times New Roman" w:hAnsi="Times New Roman" w:cs="Times New Roman"/>
          <w:sz w:val="28"/>
          <w:sz-cs w:val="28"/>
          <w:spacing w:val="10"/>
        </w:rPr>
        <w:t xml:space="preserve"> </w:t>
      </w:r>
      <w:r>
        <w:rPr>
          <w:rFonts w:ascii="Times New Roman" w:hAnsi="Times New Roman" w:cs="Times New Roman"/>
          <w:sz w:val="22"/>
          <w:sz-cs w:val="22"/>
          <w:spacing w:val="10"/>
        </w:rPr>
        <w:t xml:space="preserve"/>
      </w:r>
    </w:p>
    <w:p>
      <w:pPr>
        <w:jc w:val="right"/>
        <w:bidi/>
      </w:pPr>
      <w:r>
        <w:rPr>
          <w:rFonts w:ascii="Times New Roman" w:hAnsi="Times New Roman" w:cs="Times New Roman"/>
          <w:sz w:val="22"/>
          <w:sz-cs w:val="22"/>
        </w:rPr>
        <w:t xml:space="preserve">(22.02.06) </w:t>
      </w:r>
    </w:p>
    <w:p>
      <w:pPr>
        <w:jc w:val="right"/>
        <w:bidi/>
      </w:pPr>
      <w:r>
        <w:rPr>
          <w:rFonts w:ascii="Times New Roman" w:hAnsi="Times New Roman" w:cs="Times New Roman"/>
          <w:sz w:val="24"/>
          <w:sz-cs w:val="24"/>
        </w:rPr>
        <w:t xml:space="preserve">כ"ד בשבט התשס"ו</w:t>
      </w:r>
      <w:r>
        <w:rPr>
          <w:rFonts w:ascii="Times New Roman" w:hAnsi="Times New Roman" w:cs="Times New Roman"/>
          <w:sz w:val="22"/>
          <w:sz-cs w:val="22"/>
        </w:rPr>
        <w:t xml:space="preserve">       </w:t>
      </w:r>
    </w:p>
    <w:p>
      <w:pPr>
        <w:jc w:val="right"/>
        <w:bidi/>
      </w:pPr>
      <w:r>
        <w:rPr>
          <w:rFonts w:ascii="Times New Roman" w:hAnsi="Times New Roman" w:cs="Times New Roman"/>
          <w:sz w:val="24"/>
          <w:sz-cs w:val="24"/>
        </w:rPr>
        <w:t xml:space="preserve">תאריך הישיבה:</w:t>
      </w:r>
      <w:r>
        <w:rPr>
          <w:rFonts w:ascii="Times New Roman" w:hAnsi="Times New Roman" w:cs="Times New Roman"/>
          <w:sz w:val="22"/>
          <w:sz-cs w:val="22"/>
        </w:rPr>
        <w:t xml:space="preserve"/>
      </w:r>
    </w:p>
    <w:p>
      <w:pPr>
        <w:jc w:val="right"/>
        <w:bidi/>
      </w:pPr>
      <w:r>
        <w:rPr>
          <w:rFonts w:ascii="Times New Roman" w:hAnsi="Times New Roman" w:cs="Times New Roman"/>
          <w:sz w:val="22"/>
          <w:sz-cs w:val="22"/>
          <w:spacing w:val="10"/>
        </w:rPr>
        <w:t xml:space="preserve"> </w:t>
      </w:r>
    </w:p>
    <w:p>
      <w:pPr>
        <w:jc w:val="right"/>
        <w:bidi/>
      </w:pPr>
      <w:r>
        <w:rPr>
          <w:rFonts w:ascii="Times New Roman" w:hAnsi="Times New Roman" w:cs="Times New Roman"/>
          <w:sz w:val="28"/>
          <w:sz-cs w:val="28"/>
        </w:rPr>
        <w:t xml:space="preserve">עו"ד ז' גלעד</w:t>
      </w:r>
      <w:r>
        <w:rPr>
          <w:rFonts w:ascii="Times New Roman" w:hAnsi="Times New Roman" w:cs="Times New Roman"/>
          <w:sz w:val="22"/>
          <w:sz-cs w:val="22"/>
        </w:rPr>
        <w:t xml:space="preserve"/>
      </w:r>
    </w:p>
    <w:p>
      <w:pPr>
        <w:jc w:val="right"/>
        <w:bidi/>
      </w:pPr>
      <w:r>
        <w:rPr>
          <w:rFonts w:ascii="Times New Roman" w:hAnsi="Times New Roman" w:cs="Times New Roman"/>
          <w:sz w:val="28"/>
          <w:sz-cs w:val="28"/>
        </w:rPr>
        <w:t xml:space="preserve">בשם המערער:</w:t>
      </w:r>
      <w:r>
        <w:rPr>
          <w:rFonts w:ascii="Times New Roman" w:hAnsi="Times New Roman" w:cs="Times New Roman"/>
          <w:sz w:val="22"/>
          <w:sz-cs w:val="22"/>
        </w:rPr>
        <w:t xml:space="preserve"/>
      </w:r>
    </w:p>
    <w:p>
      <w:pPr>
        <w:jc w:val="right"/>
        <w:bidi/>
      </w:pPr>
      <w:r>
        <w:rPr>
          <w:rFonts w:ascii="Times New Roman" w:hAnsi="Times New Roman" w:cs="Times New Roman"/>
          <w:sz w:val="28"/>
          <w:sz-cs w:val="28"/>
        </w:rPr>
        <w:t xml:space="preserve">עו"ד ע' חלותה</w:t>
      </w:r>
      <w:r>
        <w:rPr>
          <w:rFonts w:ascii="Times New Roman" w:hAnsi="Times New Roman" w:cs="Times New Roman"/>
          <w:sz w:val="22"/>
          <w:sz-cs w:val="22"/>
        </w:rPr>
        <w:t xml:space="preserve"/>
      </w:r>
    </w:p>
    <w:p>
      <w:pPr>
        <w:jc w:val="right"/>
        <w:bidi/>
      </w:pPr>
      <w:r>
        <w:rPr>
          <w:rFonts w:ascii="Times New Roman" w:hAnsi="Times New Roman" w:cs="Times New Roman"/>
          <w:sz w:val="28"/>
          <w:sz-cs w:val="28"/>
        </w:rPr>
        <w:t xml:space="preserve">בשם המשיבה:</w:t>
      </w:r>
      <w:r>
        <w:rPr>
          <w:rFonts w:ascii="Times New Roman" w:hAnsi="Times New Roman" w:cs="Times New Roman"/>
          <w:sz w:val="22"/>
          <w:sz-cs w:val="22"/>
        </w:rPr>
        <w:t xml:space="preserve"/>
      </w:r>
    </w:p>
    <w:p>
      <w:pPr>
        <w:jc w:val="right"/>
        <w:bidi/>
      </w:pPr>
      <w:r>
        <w:rPr>
          <w:rFonts w:ascii="Times New Roman" w:hAnsi="Times New Roman" w:cs="Times New Roman"/>
          <w:sz w:val="28"/>
          <w:sz-cs w:val="28"/>
        </w:rPr>
        <w:t xml:space="preserve">גב' י' להב</w:t>
      </w:r>
      <w:r>
        <w:rPr>
          <w:rFonts w:ascii="Times New Roman" w:hAnsi="Times New Roman" w:cs="Times New Roman"/>
          <w:sz w:val="22"/>
          <w:sz-cs w:val="22"/>
        </w:rPr>
        <w:t xml:space="preserve"/>
      </w:r>
    </w:p>
    <w:p>
      <w:pPr>
        <w:jc w:val="right"/>
        <w:bidi/>
      </w:pPr>
      <w:r>
        <w:rPr>
          <w:rFonts w:ascii="Times New Roman" w:hAnsi="Times New Roman" w:cs="Times New Roman"/>
          <w:sz w:val="28"/>
          <w:sz-cs w:val="28"/>
        </w:rPr>
        <w:t xml:space="preserve">קצינת המבחן:</w:t>
      </w:r>
      <w:r>
        <w:rPr>
          <w:rFonts w:ascii="Times New Roman" w:hAnsi="Times New Roman" w:cs="Times New Roman"/>
          <w:sz w:val="22"/>
          <w:sz-cs w:val="22"/>
        </w:rPr>
        <w:t xml:space="preserve"/>
      </w:r>
    </w:p>
    <w:p>
      <w:pPr>
        <w:jc w:val="right"/>
        <w:bidi/>
      </w:pPr>
      <w:r>
        <w:rPr>
          <w:rFonts w:ascii="Times New Roman" w:hAnsi="Times New Roman" w:cs="Times New Roman"/>
          <w:sz w:val="28"/>
          <w:sz-cs w:val="28"/>
          <w:spacing w:val="10"/>
        </w:rPr>
        <w:t xml:space="preserve"> </w:t>
      </w:r>
      <w:r>
        <w:rPr>
          <w:rFonts w:ascii="Times New Roman" w:hAnsi="Times New Roman" w:cs="Times New Roman"/>
          <w:sz w:val="22"/>
          <w:sz-cs w:val="22"/>
          <w:spacing w:val="10"/>
        </w:rPr>
        <w:t xml:space="preserve"/>
      </w:r>
    </w:p>
    <w:p>
      <w:pPr>
        <w:jc w:val="right"/>
        <w:bidi/>
      </w:pPr>
      <w:r>
        <w:rPr>
          <w:rFonts w:ascii="Times New Roman" w:hAnsi="Times New Roman" w:cs="Times New Roman"/>
          <w:sz w:val="28"/>
          <w:sz-cs w:val="28"/>
          <w:spacing w:val="10"/>
        </w:rPr>
        <w:t xml:space="preserve"> </w:t>
      </w:r>
      <w:r>
        <w:rPr>
          <w:rFonts w:ascii="Times New Roman" w:hAnsi="Times New Roman" w:cs="Times New Roman"/>
          <w:sz w:val="22"/>
          <w:sz-cs w:val="22"/>
          <w:spacing w:val="10"/>
        </w:rPr>
        <w:t xml:space="preserve"/>
      </w:r>
    </w:p>
    <w:p>
      <w:pPr>
        <w:jc w:val="center"/>
        <w:bidi/>
      </w:pPr>
      <w:r>
        <w:rPr>
          <w:rFonts w:ascii="Times New Roman" w:hAnsi="Times New Roman" w:cs="Times New Roman"/>
          <w:sz w:val="28"/>
          <w:sz-cs w:val="28"/>
          <w:b/>
          <w:u w:val="single"/>
          <w:spacing w:val="30"/>
        </w:rPr>
        <w:t xml:space="preserve">פסק-דין</w:t>
      </w:r>
    </w:p>
    <w:p>
      <w:pPr>
        <w:jc w:val="center"/>
        <w:bidi/>
      </w:pPr>
      <w:r>
        <w:rPr>
          <w:rFonts w:ascii="Times New Roman" w:hAnsi="Times New Roman" w:cs="Times New Roman"/>
          <w:sz w:val="24"/>
          <w:sz-cs w:val="24"/>
          <w:u w:val="single"/>
          <w:spacing w:val="30"/>
        </w:rPr>
        <w:t xml:space="preserve"/>
      </w:r>
    </w:p>
    <w:p>
      <w:pPr>
        <w:jc w:val="both"/>
        <w:bidi/>
      </w:pPr>
      <w:r>
        <w:rPr>
          <w:rFonts w:ascii="Arial" w:hAnsi="Arial" w:cs="Arial"/>
          <w:sz w:val="24"/>
          <w:sz-cs w:val="24"/>
          <w:u w:val="single"/>
        </w:rPr>
        <w:t xml:space="preserve">השופט א' גרוניס:</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Times New Roman" w:hAnsi="Times New Roman" w:cs="Times New Roman"/>
          <w:sz w:val="24"/>
          <w:sz-cs w:val="24"/>
        </w:rPr>
        <w:t xml:space="preserve">1.         המערער </w:t>
      </w:r>
      <w:r>
        <w:rPr>
          <w:rFonts w:ascii="Times New Roman" w:hAnsi="Times New Roman" w:cs="Times New Roman"/>
          <w:sz w:val="28"/>
          <w:sz-cs w:val="28"/>
        </w:rPr>
        <w:t xml:space="preserve">הורשע על פי הודייתו בעבירה של חבלה ופציעה בנסיבות מחמירות, לפי סעיפים 333 ו-335(א)(1) לחוק העונשין, תשל"ז-1977. בית המשפט המחוזי בתל אביב השית עליו ארבע שנות מאסר, אשר שלוש מתוכן לריצוי בפועל והיתרה על תנאי, קנס בסך 250 ש"ח או 200 ימי מאסר תמורתו, וכן חייבו בתשלום פיצוי בסך 3,000 ש"ח.</w:t>
      </w:r>
      <w:r>
        <w:rPr>
          <w:rFonts w:ascii="Times New Roman" w:hAnsi="Times New Roman" w:cs="Times New Roman"/>
          <w:sz w:val="24"/>
          <w:sz-cs w:val="24"/>
        </w:rPr>
        <w:t xml:space="preserve"/>
      </w:r>
    </w:p>
    <w:p>
      <w:pPr>
        <w:jc w:val="both"/>
        <w:bidi/>
      </w:pPr>
      <w:r>
        <w:rPr>
          <w:rFonts w:ascii="Times New Roman" w:hAnsi="Times New Roman" w:cs="Times New Roman"/>
          <w:sz w:val="28"/>
          <w:sz-cs w:val="28"/>
        </w:rPr>
        <w:t xml:space="preserve"> </w:t>
      </w:r>
      <w:r>
        <w:rPr>
          <w:rFonts w:ascii="Times New Roman" w:hAnsi="Times New Roman" w:cs="Times New Roman"/>
          <w:sz w:val="24"/>
          <w:sz-cs w:val="24"/>
        </w:rPr>
        <w:t xml:space="preserve"/>
      </w:r>
    </w:p>
    <w:p>
      <w:pPr>
        <w:jc w:val="both"/>
        <w:bidi/>
      </w:pPr>
      <w:r>
        <w:rPr>
          <w:rFonts w:ascii="Times New Roman" w:hAnsi="Times New Roman" w:cs="Times New Roman"/>
          <w:sz w:val="28"/>
          <w:sz-cs w:val="28"/>
        </w:rPr>
        <w:t xml:space="preserve">2.         בבחודש דצמבר 2004 פרץ סכסוך בין המערער ואחיו לבין אחד, אחמד דיאם (</w:t>
      </w:r>
      <w:r>
        <w:rPr>
          <w:rFonts w:ascii="Times New Roman" w:hAnsi="Times New Roman" w:cs="Times New Roman"/>
          <w:sz w:val="24"/>
          <w:sz-cs w:val="24"/>
        </w:rPr>
        <w:t xml:space="preserve">להלן: אחמד</w:t>
      </w:r>
      <w:r>
        <w:rPr>
          <w:rFonts w:ascii="Times New Roman" w:hAnsi="Times New Roman" w:cs="Times New Roman"/>
          <w:sz w:val="28"/>
          <w:sz-cs w:val="28"/>
        </w:rPr>
        <w:t xml:space="preserve">). ביום 4.12.04 הגיע אחמד יחד עם חבר במכונית לעיר טירה. המערער ואנשים נוספים שהיו עימו חסמו את דרכם של אחמד וחברו. בין המעורבים החלה תיגרה וחברו של אחמד ניסה להפריד בין הניצים. המערער שלף חפץ חד שהחזיק ברשותו ודקר את חברו של אחמד בבטנו. הנדקר הובהל לבית חולים ונאלץ לעבור ניתוח.</w:t>
      </w:r>
      <w:r>
        <w:rPr>
          <w:rFonts w:ascii="Times New Roman" w:hAnsi="Times New Roman" w:cs="Times New Roman"/>
          <w:sz w:val="24"/>
          <w:sz-cs w:val="24"/>
        </w:rPr>
        <w:t xml:space="preserve"/>
      </w:r>
    </w:p>
    <w:p>
      <w:pPr>
        <w:jc w:val="both"/>
        <w:bidi/>
      </w:pPr>
      <w:r>
        <w:rPr>
          <w:rFonts w:ascii="Times New Roman" w:hAnsi="Times New Roman" w:cs="Times New Roman"/>
          <w:sz w:val="28"/>
          <w:sz-cs w:val="28"/>
        </w:rPr>
        <w:t xml:space="preserve"> </w:t>
      </w:r>
      <w:r>
        <w:rPr>
          <w:rFonts w:ascii="Times New Roman" w:hAnsi="Times New Roman" w:cs="Times New Roman"/>
          <w:sz w:val="24"/>
          <w:sz-cs w:val="24"/>
        </w:rPr>
        <w:t xml:space="preserve"/>
      </w:r>
    </w:p>
    <w:p>
      <w:pPr>
        <w:jc w:val="both"/>
        <w:bidi/>
      </w:pPr>
      <w:r>
        <w:rPr>
          <w:rFonts w:ascii="Times New Roman" w:hAnsi="Times New Roman" w:cs="Times New Roman"/>
          <w:sz w:val="28"/>
          <w:sz-cs w:val="28"/>
        </w:rPr>
        <w:t xml:space="preserve">3.         המערער הינו אדם צעיר שהיה בן כ-18 שנים בעת האירוע. אין לו עבר פלילי. בתסקיר שהגיש שירות המבחן לבית המשפט המחוזי צוין, כי המערער הינו בעל אישיות ילדותית וכי גדל בתנאי עזובה רגשית. עם זאת, שירות המבחן לא בא בהמלצה כלשהי. אף בתסקיר הנוסף שהובא בפנינו לא ניתנה המלצה.</w:t>
      </w:r>
      <w:r>
        <w:rPr>
          <w:rFonts w:ascii="Times New Roman" w:hAnsi="Times New Roman" w:cs="Times New Roman"/>
          <w:sz w:val="24"/>
          <w:sz-cs w:val="24"/>
        </w:rPr>
        <w:t xml:space="preserve"/>
      </w:r>
    </w:p>
    <w:p>
      <w:pPr>
        <w:jc w:val="both"/>
        <w:bidi/>
      </w:pPr>
      <w:r>
        <w:rPr>
          <w:rFonts w:ascii="Times New Roman" w:hAnsi="Times New Roman" w:cs="Times New Roman"/>
          <w:sz w:val="28"/>
          <w:sz-cs w:val="28"/>
        </w:rPr>
        <w:t xml:space="preserve"> </w:t>
      </w:r>
      <w:r>
        <w:rPr>
          <w:rFonts w:ascii="Times New Roman" w:hAnsi="Times New Roman" w:cs="Times New Roman"/>
          <w:sz w:val="24"/>
          <w:sz-cs w:val="24"/>
        </w:rPr>
        <w:t xml:space="preserve"/>
      </w:r>
    </w:p>
    <w:p>
      <w:pPr>
        <w:jc w:val="both"/>
        <w:bidi/>
      </w:pPr>
      <w:r>
        <w:rPr>
          <w:rFonts w:ascii="Times New Roman" w:hAnsi="Times New Roman" w:cs="Times New Roman"/>
          <w:sz w:val="28"/>
          <w:sz-cs w:val="28"/>
        </w:rPr>
        <w:t xml:space="preserve">4.         שוב ושוב נתקלים אנו במקרים בהם נעשה שימוש בסכינים (או בנשק קר אחר, ולפעמים אף בנשק חם) לשם יישוב סכסוכים, ולעיתים מדובר בסכסוכים שוליים ופעוטים ביותר. בשל ריבויים של מקרים אלה אין מנוס אלא לנקוט גישה מחמירה, לפיה ניתן משקל עודף לשיקולים כלליים על פני שיקולים אינדיבידואליים. כך אכן עשה בית משפט קמא. הגם שמדובר באדם צעיר, חסר עבר פלילי, ראוי היה להעדיף שיקולים של הרתעה כללית והגנה על שלום הציבור. עונש של שלוש שנות מאסר לריצוי בפועל בגין דקירה שגרמה לפציעה שהזקיקה אשפוז וניתוח איננו עונש חמור כלל וכלל, ובוודאי שאינו מצדיק התערבות של ערכאת הערעור לשם הקלה.</w:t>
      </w:r>
      <w:r>
        <w:rPr>
          <w:rFonts w:ascii="Times New Roman" w:hAnsi="Times New Roman" w:cs="Times New Roman"/>
          <w:sz w:val="24"/>
          <w:sz-cs w:val="24"/>
        </w:rPr>
        <w:t xml:space="preserve"/>
      </w:r>
    </w:p>
    <w:p>
      <w:pPr>
        <w:jc w:val="both"/>
        <w:bidi/>
      </w:pPr>
      <w:r>
        <w:rPr>
          <w:rFonts w:ascii="Times New Roman" w:hAnsi="Times New Roman" w:cs="Times New Roman"/>
          <w:sz w:val="28"/>
          <w:sz-cs w:val="28"/>
        </w:rPr>
        <w:t xml:space="preserve"> </w:t>
      </w:r>
      <w:r>
        <w:rPr>
          <w:rFonts w:ascii="Times New Roman" w:hAnsi="Times New Roman" w:cs="Times New Roman"/>
          <w:sz w:val="24"/>
          <w:sz-cs w:val="24"/>
        </w:rPr>
        <w:t xml:space="preserve"/>
      </w:r>
    </w:p>
    <w:p>
      <w:pPr>
        <w:jc w:val="both"/>
        <w:bidi/>
      </w:pPr>
      <w:r>
        <w:rPr>
          <w:rFonts w:ascii="Times New Roman" w:hAnsi="Times New Roman" w:cs="Times New Roman"/>
          <w:sz w:val="28"/>
          <w:sz-cs w:val="28"/>
        </w:rPr>
        <w:t xml:space="preserve">5.         הערעור נדחה.</w:t>
      </w:r>
      <w:r>
        <w:rPr>
          <w:rFonts w:ascii="Times New Roman" w:hAnsi="Times New Roman" w:cs="Times New Roman"/>
          <w:sz w:val="24"/>
          <w:sz-cs w:val="24"/>
        </w:rPr>
        <w:t xml:space="preserve"/>
      </w:r>
    </w:p>
    <w:p>
      <w:pPr>
        <w:jc w:val="both"/>
        <w:bidi/>
      </w:pPr>
      <w:r>
        <w:rPr>
          <w:rFonts w:ascii="Times New Roman" w:hAnsi="Times New Roman" w:cs="Times New Roman"/>
          <w:sz w:val="28"/>
          <w:sz-cs w:val="28"/>
        </w:rPr>
        <w:t xml:space="preserve"> </w:t>
      </w:r>
      <w:r>
        <w:rPr>
          <w:rFonts w:ascii="Times New Roman" w:hAnsi="Times New Roman" w:cs="Times New Roman"/>
          <w:sz w:val="24"/>
          <w:sz-cs w:val="24"/>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           ניתנה היום, כ"ה בשבט תשס"ו (23.2.206).</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right"/>
        <w:bidi/>
      </w:pPr>
      <w:r>
        <w:rPr>
          <w:rFonts w:ascii="Times" w:hAnsi="Times" w:cs="Times"/>
          <w:sz w:val="22"/>
          <w:sz-cs w:val="22"/>
          <w:spacing w:val="10"/>
          <w:color w:val="000000"/>
        </w:rPr>
        <w:t xml:space="preserve"/>
      </w:r>
    </w:p>
    <w:p>
      <w:pPr>
        <w:jc w:val="right"/>
        <w:bidi/>
      </w:pPr>
      <w:r>
        <w:rPr>
          <w:rFonts w:ascii="Times" w:hAnsi="Times" w:cs="Times"/>
          <w:sz w:val="22"/>
          <w:sz-cs w:val="22"/>
          <w:spacing w:val="10"/>
          <w:color w:val="000000"/>
        </w:rPr>
        <w:t xml:space="preserve">אדמונד לוי 54678313-6260/05</w:t>
      </w:r>
    </w:p>
    <w:p>
      <w:pPr>
        <w:jc w:val="center"/>
        <w:bidi/>
      </w:pPr>
      <w:r>
        <w:rPr>
          <w:rFonts w:ascii="Arial" w:hAnsi="Arial" w:cs="Arial"/>
          <w:sz w:val="28"/>
          <w:sz-cs w:val="28"/>
          <w:spacing w:val="10"/>
        </w:rPr>
        <w:t xml:space="preserve">ש ו פ ט                               ש ו פ ט                                ש ו פ ט</w:t>
      </w:r>
      <w:r>
        <w:rPr>
          <w:rFonts w:ascii="Arial" w:hAnsi="Arial" w:cs="Arial"/>
          <w:sz w:val="22"/>
          <w:sz-cs w:val="22"/>
          <w:spacing w:val="10"/>
        </w:rPr>
        <w:t xml:space="preserve"/>
      </w:r>
    </w:p>
    <w:p>
      <w:pPr>
        <w:jc w:val="both"/>
        <w:bidi/>
      </w:pPr>
      <w:r>
        <w:rPr>
          <w:rFonts w:ascii="Arial" w:hAnsi="Arial" w:cs="Arial"/>
          <w:sz w:val="2"/>
          <w:sz-cs w:val="2"/>
          <w:spacing w:val="10"/>
          <w:color w:val="FFFFFF"/>
        </w:rPr>
        <w:t xml:space="preserve"/>
      </w:r>
    </w:p>
    <w:p>
      <w:pPr>
        <w:jc w:val="both"/>
        <w:bidi/>
      </w:pPr>
      <w:r>
        <w:rPr>
          <w:rFonts w:ascii="Arial" w:hAnsi="Arial" w:cs="Arial"/>
          <w:sz w:val="2"/>
          <w:sz-cs w:val="2"/>
          <w:spacing w:val="10"/>
          <w:color w:val="FFFFFF"/>
        </w:rPr>
        <w:t xml:space="preserve">5129371</w:t>
      </w:r>
    </w:p>
    <w:p>
      <w:pPr>
        <w:jc w:val="both"/>
        <w:bidi/>
      </w:pPr>
      <w:r>
        <w:rPr>
          <w:rFonts w:ascii="Arial" w:hAnsi="Arial" w:cs="Arial"/>
          <w:sz w:val="2"/>
          <w:sz-cs w:val="2"/>
          <w:spacing w:val="10"/>
          <w:color w:val="FFFFFF"/>
        </w:rPr>
        <w:t xml:space="preserve">54678313</w:t>
      </w: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Times New Roman" w:hAnsi="Times New Roman" w:cs="Times New Roman"/>
          <w:sz w:val="28"/>
          <w:sz-cs w:val="28"/>
        </w:rPr>
        <w:t xml:space="preserve"> </w:t>
      </w:r>
      <w:r>
        <w:rPr>
          <w:rFonts w:ascii="Times New Roman" w:hAnsi="Times New Roman" w:cs="Times New Roman"/>
          <w:sz w:val="24"/>
          <w:sz-cs w:val="24"/>
        </w:rPr>
        <w:t xml:space="preserve"/>
      </w:r>
    </w:p>
    <w:p>
      <w:pPr>
        <w:jc w:val="both"/>
        <w:bidi/>
      </w:pPr>
      <w:r>
        <w:rPr>
          <w:rFonts w:ascii="Times New Roman" w:hAnsi="Times New Roman" w:cs="Times New Roman"/>
          <w:sz w:val="28"/>
          <w:sz-cs w:val="28"/>
        </w:rPr>
        <w:t xml:space="preserve"> </w:t>
      </w:r>
      <w:r>
        <w:rPr>
          <w:rFonts w:ascii="Times New Roman" w:hAnsi="Times New Roman" w:cs="Times New Roman"/>
          <w:sz w:val="24"/>
          <w:sz-cs w:val="24"/>
        </w:rPr>
        <w:t xml:space="preserve"/>
      </w:r>
    </w:p>
    <w:p>
      <w:pPr>
        <w:jc w:val="right"/>
        <w:bidi/>
      </w:pPr>
      <w:r>
        <w:rPr>
          <w:rFonts w:ascii="Times New Roman" w:hAnsi="Times New Roman" w:cs="Times New Roman"/>
          <w:sz w:val="16"/>
          <w:sz-cs w:val="16"/>
        </w:rPr>
        <w:t xml:space="preserve">_________________________</w:t>
      </w:r>
      <w:r>
        <w:rPr>
          <w:rFonts w:ascii="Times New Roman" w:hAnsi="Times New Roman" w:cs="Times New Roman"/>
          <w:sz w:val="24"/>
          <w:sz-cs w:val="24"/>
        </w:rPr>
        <w:t xml:space="preserve"/>
      </w:r>
    </w:p>
    <w:p>
      <w:pPr>
        <w:jc w:val="right"/>
        <w:bidi/>
      </w:pPr>
      <w:r>
        <w:rPr>
          <w:rFonts w:ascii="Times New Roman" w:hAnsi="Times New Roman" w:cs="Times New Roman"/>
          <w:sz w:val="16"/>
          <w:sz-cs w:val="16"/>
        </w:rPr>
        <w:t xml:space="preserve">/עכב</w:t>
      </w:r>
      <w:r>
        <w:rPr>
          <w:rFonts w:ascii="Times New Roman" w:hAnsi="Times New Roman" w:cs="Times New Roman"/>
          <w:sz w:val="22"/>
          <w:sz-cs w:val="22"/>
        </w:rPr>
        <w:t xml:space="preserve"/>
      </w:r>
    </w:p>
    <w:p>
      <w:pPr>
        <w:jc w:val="right"/>
        <w:bidi/>
      </w:pPr>
      <w:r>
        <w:rPr>
          <w:rFonts w:ascii="Times New Roman" w:hAnsi="Times New Roman" w:cs="Times New Roman"/>
          <w:sz w:val="16"/>
          <w:sz-cs w:val="16"/>
        </w:rPr>
        <w:t xml:space="preserve">העותק כפוף לשינויי עריכה וניסוח.   05062600_S01.doc</w:t>
      </w:r>
      <w:r>
        <w:rPr>
          <w:rFonts w:ascii="Times New Roman" w:hAnsi="Times New Roman" w:cs="Times New Roman"/>
          <w:sz w:val="22"/>
          <w:sz-cs w:val="22"/>
        </w:rPr>
        <w:t xml:space="preserve"/>
      </w:r>
    </w:p>
    <w:p>
      <w:pPr>
        <w:jc w:val="right"/>
        <w:bidi/>
      </w:pPr>
      <w:r>
        <w:rPr>
          <w:rFonts w:ascii="Times New Roman" w:hAnsi="Times New Roman" w:cs="Times New Roman"/>
          <w:sz w:val="16"/>
          <w:sz-cs w:val="16"/>
        </w:rPr>
        <w:t xml:space="preserve">מרכז מידע, טל' 02-6593666 ; אתר אינטרנט,   HYPERLINK "http://www.court.gov.il/" </w:t>
      </w:r>
      <w:r>
        <w:rPr>
          <w:rFonts w:ascii="Times New Roman" w:hAnsi="Times New Roman" w:cs="Times New Roman"/>
          <w:sz w:val="16"/>
          <w:sz-cs w:val="16"/>
          <w:u w:val="single"/>
          <w:color w:val="0000FF"/>
        </w:rPr>
        <w:t xml:space="preserve">www.court.gov.il</w:t>
      </w:r>
      <w:r>
        <w:rPr>
          <w:rFonts w:ascii="Times New Roman" w:hAnsi="Times New Roman" w:cs="Times New Roman"/>
          <w:sz w:val="22"/>
          <w:sz-cs w:val="22"/>
        </w:rPr>
        <w:t xml:space="preserve"/>
      </w:r>
    </w:p>
    <w:p>
      <w:pPr>
        <w:jc w:val="right"/>
        <w:bidi/>
      </w:pPr>
      <w:r>
        <w:rPr>
          <w:rFonts w:ascii="Times New Roman" w:hAnsi="Times New Roman" w:cs="Times New Roman"/>
          <w:sz w:val="16"/>
          <w:sz-cs w:val="16"/>
        </w:rPr>
        <w:t xml:space="preserve"> </w:t>
      </w:r>
      <w:r>
        <w:rPr>
          <w:rFonts w:ascii="Times New Roman" w:hAnsi="Times New Roman" w:cs="Times New Roman"/>
          <w:sz w:val="16"/>
          <w:sz-cs w:val="16"/>
          <w:color w:val="000000"/>
        </w:rPr>
        <w:t xml:space="preserve"/>
      </w:r>
    </w:p>
    <w:p>
      <w:pPr>
        <w:jc w:val="right"/>
        <w:bidi/>
      </w:pPr>
      <w:r>
        <w:rPr>
          <w:rFonts w:ascii="Times New Roman" w:hAnsi="Times New Roman" w:cs="Times New Roman"/>
          <w:sz w:val="22"/>
          <w:sz-cs w:val="22"/>
          <w:color w:val="000000"/>
        </w:rPr>
        <w:t xml:space="preserve">נוסח מסמך זה כפוף לשינויי ניסוח ועריכה</w:t>
      </w:r>
      <w:r>
        <w:rPr>
          <w:rFonts w:ascii="Times New Roman" w:hAnsi="Times New Roman" w:cs="Times New Roman"/>
          <w:sz w:val="22"/>
          <w:sz-cs w:val="22"/>
        </w:rPr>
        <w:t xml:space="preserve"/>
      </w:r>
    </w:p>
    <w:p>
      <w:pPr>
        <w:jc w:val="right"/>
        <w:bidi/>
      </w:pPr>
      <w:r>
        <w:rPr>
          <w:rFonts w:ascii="Times" w:hAnsi="Times" w:cs="Times"/>
          <w:sz w:val="22"/>
          <w:sz-cs w:val="22"/>
          <w:color w:val="000000"/>
        </w:rPr>
        <w:t xml:space="preserve">עפ 6260/05</w:t>
        <w:tab/>
        <w:t xml:space="preserve"> מאלק חדרה נ' מדינת ישראל</w:t>
      </w:r>
    </w:p>
    <w:p>
      <w:pPr>
        <w:jc w:val="right"/>
        <w:bidi/>
      </w:pPr>
      <w:r>
        <w:rPr>
          <w:rFonts w:ascii="Times New Roman" w:hAnsi="Times New Roman" w:cs="Times New Roman"/>
          <w:sz w:val="24"/>
          <w:sz-cs w:val="24"/>
        </w:rPr>
        <w:t xml:space="preserve"/>
      </w:r>
    </w:p>
    <w:p>
      <w:pPr>
        <w:jc w:val="right"/>
        <w:bidi/>
      </w:pPr>
      <w:r>
        <w:rPr>
          <w:rFonts w:ascii="Times" w:hAnsi="Times" w:cs="Times"/>
          <w:sz w:val="22"/>
          <w:sz-cs w:val="22"/>
          <w:color w:val="000000"/>
        </w:rPr>
        <w:t xml:space="preserve">עפ 6260/05</w:t>
        <w:tab/>
        <w:t xml:space="preserve"> מאלק חדרה נ' מדינת ישראל</w:t>
      </w:r>
    </w:p>
    <w:p>
      <w:pPr>
        <w:jc w:val="right"/>
        <w:bidi/>
      </w:pPr>
      <w:r>
        <w:rPr>
          <w:rFonts w:ascii="Times New Roman" w:hAnsi="Times New Roman" w:cs="Times New Roman"/>
          <w:sz w:val="24"/>
          <w:sz-cs w:val="24"/>
        </w:rPr>
        <w:t xml:space="preserve"/>
      </w:r>
    </w:p>
    <w:p>
      <w:pPr>
        <w:jc w:val="center"/>
        <w:bidi/>
      </w:pPr>
      <w:r>
        <w:rPr>
          <w:rFonts w:ascii="Times" w:hAnsi="Times" w:cs="Times"/>
          <w:sz w:val="24"/>
          <w:sz-cs w:val="24"/>
        </w:rPr>
        <w:t xml:space="preserve"> PAGE  \* MERGEFORMAT 1</w:t>
      </w:r>
    </w:p>
    <w:p>
      <w:pPr>
        <w:jc w:val="center"/>
        <w:bidi/>
        <w:spacing w:after="60"/>
      </w:pPr>
      <w:r>
        <w:rPr>
          <w:rFonts w:ascii="Times New Roman" w:hAnsi="Times New Roman" w:cs="Times New Roman"/>
          <w:sz w:val="28"/>
          <w:sz-cs w:val="28"/>
          <w:color w:val="000000"/>
        </w:rPr>
        <w:t xml:space="preserve">נבו הוצאה לאור בע"מ  nevo.co.il   המאגר המשפטי הישראלי</w:t>
      </w:r>
    </w:p>
    <w:p>
      <w:pPr>
        <w:jc w:val="right"/>
        <w:bidi/>
      </w:pPr>
      <w:r>
        <w:rPr>
          <w:rFonts w:ascii="Times New Roman" w:hAnsi="Times New Roman" w:cs="Times New Roman"/>
          <w:sz w:val="14"/>
          <w:sz-cs w:val="14"/>
          <w:color w:val="000000"/>
        </w:rPr>
        <w:t xml:space="preserve"> FILENAME \p  \* MERGEFORMAT Z:\-00000-ps-final-0000000\elyon\0-fainal\001\29\InPathElyon\05062600-s01.doc</w:t>
      </w:r>
    </w:p>
    <w:p>
      <w:pPr>
        <w:jc w:val="right"/>
        <w:bidi/>
      </w:pPr>
      <w:r>
        <w:rPr>
          <w:rFonts w:ascii="Times New Roman" w:hAnsi="Times New Roman" w:cs="Times New Roman"/>
          <w:sz w:val="24"/>
          <w:sz-cs w:val="24"/>
        </w:rPr>
        <w:t xml:space="preserve"/>
      </w:r>
    </w:p>
    <w:p>
      <w:pPr>
        <w:jc w:val="center"/>
        <w:bidi/>
      </w:pPr>
      <w:r>
        <w:rPr>
          <w:rFonts w:ascii="Times" w:hAnsi="Times" w:cs="Times"/>
          <w:sz w:val="24"/>
          <w:sz-cs w:val="24"/>
        </w:rPr>
        <w:t xml:space="preserve"> PAGE  \* MERGEFORMAT 1</w:t>
      </w:r>
    </w:p>
    <w:p>
      <w:pPr>
        <w:jc w:val="center"/>
        <w:bidi/>
        <w:spacing w:after="60"/>
      </w:pPr>
      <w:r>
        <w:rPr>
          <w:rFonts w:ascii="Times New Roman" w:hAnsi="Times New Roman" w:cs="Times New Roman"/>
          <w:sz w:val="28"/>
          <w:sz-cs w:val="28"/>
          <w:color w:val="000000"/>
        </w:rPr>
        <w:t xml:space="preserve">נבו הוצאה לאור בע"מ  nevo.co.il   המאגר המשפטי הישראלי</w:t>
      </w:r>
    </w:p>
    <w:p>
      <w:pPr>
        <w:jc w:val="right"/>
        <w:bidi/>
      </w:pPr>
      <w:r>
        <w:rPr>
          <w:rFonts w:ascii="Times New Roman" w:hAnsi="Times New Roman" w:cs="Times New Roman"/>
          <w:sz w:val="14"/>
          <w:sz-cs w:val="14"/>
          <w:color w:val="000000"/>
        </w:rPr>
        <w:t xml:space="preserve"> FILENAME \p  \* MERGEFORMAT Z:\-00000-ps-final-0000000\elyon\0-fainal\001\29\InPathElyon\05062600-s01.doc</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2"/>
          <w:sz-cs w:val="22"/>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 </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subject>
  <dc:creator> </dc:creator>
  <cp:lastModifiedBy> </cp:lastModifiedBy>
  <dcterms:created>2006-05-01T15:49:00Z</dcterms:created>
  <dcterms:modified>2006-05-01T15:49:00Z</dcterms:modified>
</cp:coreProperties>
</file>

<file path=docProps/meta.xml><?xml version="1.0" encoding="utf-8"?>
<meta xmlns="http://schemas.apple.com/cocoa/2006/metadata">
  <generator>CocoaOOXMLWriter/2575.7</generator>
</meta>
</file>