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6294/10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/>
              <w:t>1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אמין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אלקיעאן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/>
              <w:t>2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סלימאן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אלקיעאן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b/>
                <w:bCs/>
                <w:sz w:val="24"/>
                <w:szCs w:val="24"/>
                <w:rtl w:val="true"/>
              </w:rPr>
              <w:t>-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בבאר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שבע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14.07.2010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b/>
                  <w:b/>
                  <w:bCs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b/>
                  <w:bCs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sz w:val="24"/>
                  <w:sz w:val="24"/>
                  <w:szCs w:val="24"/>
                  <w:rtl w:val="true"/>
                </w:rPr>
                <w:t xml:space="preserve">  </w:t>
              </w:r>
              <w:r>
                <w:rPr>
                  <w:rStyle w:val="Hyperlink"/>
                  <w:b/>
                  <w:bCs/>
                  <w:sz w:val="24"/>
                  <w:szCs w:val="24"/>
                </w:rPr>
                <w:t>8320/09</w:t>
              </w:r>
            </w:hyperlink>
            <w:r>
              <w:rPr>
                <w:b/>
                <w:bCs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כב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'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י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'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שפסר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7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527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eastAsia="David" w:ascii="David" w:hAnsi="David"/>
                <w:rtl w:val="true"/>
              </w:rPr>
              <w:t>‏</w:t>
            </w:r>
            <w:r>
              <w:rPr>
                <w:sz w:val="18"/>
                <w:sz w:val="18"/>
                <w:szCs w:val="24"/>
                <w:rtl w:val="true"/>
              </w:rPr>
              <w:t>ו</w:t>
            </w:r>
            <w:r>
              <w:rPr>
                <w:sz w:val="18"/>
                <w:szCs w:val="24"/>
                <w:rtl w:val="true"/>
              </w:rPr>
              <w:t xml:space="preserve">' </w:t>
            </w:r>
            <w:r>
              <w:rPr>
                <w:sz w:val="18"/>
                <w:sz w:val="18"/>
                <w:szCs w:val="24"/>
                <w:rtl w:val="true"/>
              </w:rPr>
              <w:t>באדר</w:t>
            </w:r>
            <w:r>
              <w:rPr>
                <w:rFonts w:cs="Times New Roman"/>
                <w:sz w:val="18"/>
                <w:sz w:val="18"/>
                <w:szCs w:val="24"/>
                <w:rtl w:val="true"/>
              </w:rPr>
              <w:t xml:space="preserve"> </w:t>
            </w:r>
            <w:r>
              <w:rPr>
                <w:sz w:val="18"/>
                <w:sz w:val="18"/>
                <w:szCs w:val="24"/>
                <w:rtl w:val="true"/>
              </w:rPr>
              <w:t>א</w:t>
            </w:r>
            <w:r>
              <w:rPr>
                <w:sz w:val="18"/>
                <w:szCs w:val="24"/>
                <w:rtl w:val="true"/>
              </w:rPr>
              <w:t xml:space="preserve">' </w:t>
            </w:r>
            <w:r>
              <w:rPr>
                <w:sz w:val="18"/>
                <w:sz w:val="18"/>
                <w:szCs w:val="24"/>
                <w:rtl w:val="true"/>
              </w:rPr>
              <w:t>התשע</w:t>
            </w:r>
            <w:r>
              <w:rPr>
                <w:sz w:val="18"/>
                <w:szCs w:val="24"/>
                <w:rtl w:val="true"/>
              </w:rPr>
              <w:t>"</w:t>
            </w:r>
            <w:r>
              <w:rPr>
                <w:sz w:val="18"/>
                <w:sz w:val="18"/>
                <w:szCs w:val="24"/>
                <w:rtl w:val="true"/>
              </w:rPr>
              <w:t>א</w:t>
            </w:r>
            <w:r>
              <w:rPr>
                <w:rFonts w:cs="Times New Roman"/>
                <w:sz w:val="18"/>
                <w:sz w:val="18"/>
                <w:szCs w:val="24"/>
                <w:rtl w:val="true"/>
              </w:rPr>
              <w:t xml:space="preserve"> </w:t>
            </w:r>
            <w:r>
              <w:rPr>
                <w:sz w:val="18"/>
                <w:szCs w:val="24"/>
                <w:rtl w:val="true"/>
              </w:rPr>
              <w:t>(</w:t>
            </w:r>
            <w:r>
              <w:rPr>
                <w:rFonts w:eastAsia="David" w:ascii="David" w:hAnsi="David"/>
                <w:sz w:val="18"/>
                <w:szCs w:val="24"/>
                <w:rtl w:val="true"/>
              </w:rPr>
              <w:t>‏</w:t>
            </w:r>
            <w:r>
              <w:rPr>
                <w:sz w:val="18"/>
                <w:szCs w:val="24"/>
              </w:rPr>
              <w:t>10.2.2011</w:t>
            </w:r>
            <w:r>
              <w:rPr>
                <w:sz w:val="18"/>
                <w:szCs w:val="24"/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2"/>
        <w:gridCol w:w="5"/>
        <w:gridCol w:w="5230"/>
        <w:gridCol w:w="5"/>
      </w:tblGrid>
      <w:tr>
        <w:trPr/>
        <w:tc>
          <w:tcPr>
            <w:tcW w:w="3282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המערערים</w:t>
            </w:r>
            <w:r>
              <w:rPr>
                <w:rtl w:val="true"/>
              </w:rPr>
              <w:t>:</w:t>
            </w:r>
          </w:p>
        </w:tc>
        <w:tc>
          <w:tcPr>
            <w:tcW w:w="5235" w:type="dxa"/>
            <w:gridSpan w:val="2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שמעון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שרביט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אופיר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כהן</w:t>
            </w:r>
          </w:p>
        </w:tc>
      </w:tr>
      <w:tr>
        <w:trPr/>
        <w:tc>
          <w:tcPr>
            <w:tcW w:w="3282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bookmarkStart w:id="5" w:name="FirstLawyer"/>
            <w:bookmarkEnd w:id="5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5" w:type="dxa"/>
            <w:gridSpan w:val="2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אפרת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רוזן</w:t>
            </w:r>
          </w:p>
        </w:tc>
      </w:tr>
      <w:tr>
        <w:trPr/>
        <w:tc>
          <w:tcPr>
            <w:tcW w:w="3287" w:type="dxa"/>
            <w:gridSpan w:val="2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5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Fonts w:cs="Times New Roman"/>
          <w:sz w:val="24"/>
          <w:sz w:val="24"/>
          <w:rtl w:val="true"/>
        </w:rPr>
        <w:t>ערעור גזר דין</w:t>
      </w:r>
      <w:r>
        <w:rPr>
          <w:rFonts w:cs="Times New Roman"/>
          <w:sz w:val="24"/>
          <w:rtl w:val="true"/>
        </w:rPr>
        <w:t>,</w:t>
      </w:r>
      <w:hyperlink r:id="rId3">
        <w:r>
          <w:rPr>
            <w:rStyle w:val="Hyperlink"/>
            <w:rFonts w:cs="Times New Roman"/>
            <w:sz w:val="24"/>
            <w:sz w:val="24"/>
            <w:rtl w:val="true"/>
          </w:rPr>
          <w:t>חוק העונשין</w:t>
        </w:r>
      </w:hyperlink>
      <w:r>
        <w:rPr>
          <w:rFonts w:cs="Times New Roman"/>
          <w:sz w:val="24"/>
          <w:sz w:val="24"/>
          <w:rtl w:val="true"/>
        </w:rPr>
        <w:t xml:space="preserve"> </w:t>
      </w:r>
      <w:r>
        <w:rPr>
          <w:rFonts w:cs="Times New Roman"/>
          <w:sz w:val="24"/>
        </w:rPr>
        <w:t>144</w:t>
      </w:r>
      <w:r>
        <w:rPr>
          <w:rFonts w:cs="Times New Roman"/>
          <w:sz w:val="24"/>
          <w:rtl w:val="true"/>
        </w:rPr>
        <w:t xml:space="preserve"> </w:t>
      </w:r>
      <w:r>
        <w:rPr>
          <w:rFonts w:cs="Times New Roman"/>
          <w:sz w:val="24"/>
          <w:sz w:val="24"/>
          <w:rtl w:val="true"/>
        </w:rPr>
        <w:t xml:space="preserve">עבירות בנשק </w:t>
      </w:r>
      <w:r>
        <w:rPr>
          <w:rFonts w:cs="Times New Roman"/>
          <w:sz w:val="24"/>
          <w:rtl w:val="true"/>
        </w:rPr>
        <w:t>(</w:t>
      </w:r>
      <w:r>
        <w:rPr>
          <w:rFonts w:cs="Times New Roman"/>
          <w:sz w:val="24"/>
          <w:sz w:val="24"/>
          <w:rtl w:val="true"/>
        </w:rPr>
        <w:t>א</w:t>
      </w:r>
      <w:r>
        <w:rPr>
          <w:rFonts w:cs="Times New Roman"/>
          <w:sz w:val="24"/>
          <w:rtl w:val="true"/>
        </w:rPr>
        <w:t>),</w:t>
      </w:r>
      <w:bookmarkStart w:id="6" w:name="LawTable"/>
      <w:bookmarkEnd w:id="6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4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7" w:name="LawTable_End"/>
      <w:bookmarkStart w:id="8" w:name="LawTable_End"/>
      <w:bookmarkEnd w:id="8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9" w:name="PsakDin"/>
            <w:bookmarkStart w:id="10" w:name="secretary"/>
            <w:bookmarkStart w:id="11" w:name="BeginProtocol"/>
            <w:bookmarkEnd w:id="9"/>
            <w:bookmarkEnd w:id="10"/>
            <w:bookmarkEnd w:id="11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2" w:name="Writer_Name"/>
      <w:bookmarkEnd w:id="12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פוגלמן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3" w:name="Start_Write"/>
      <w:bookmarkStart w:id="14" w:name="Start_Write"/>
      <w:bookmarkEnd w:id="14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לפנינו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בבאר</w:t>
      </w:r>
      <w:r>
        <w:rPr>
          <w:rtl w:val="true"/>
        </w:rPr>
        <w:t>-</w:t>
      </w:r>
      <w:r>
        <w:rPr>
          <w:rtl w:val="true"/>
        </w:rPr>
        <w:t>שבע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שפסר</w:t>
      </w:r>
      <w:r>
        <w:rPr>
          <w:rtl w:val="true"/>
        </w:rPr>
        <w:t xml:space="preserve">), </w:t>
      </w:r>
      <w:r>
        <w:rPr>
          <w:rtl w:val="true"/>
        </w:rPr>
        <w:t>שמסגרתו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הושת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מהמערערים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Times New Roman" w:hAnsi="Times New Roman" w:cs="Times New Roman"/>
          <w:sz w:val="22"/>
        </w:rPr>
      </w:pPr>
      <w:bookmarkStart w:id="15" w:name="ABSTRACT_START"/>
      <w:bookmarkEnd w:id="15"/>
      <w:r>
        <w:rPr>
          <w:rtl w:val="true"/>
        </w:rPr>
        <w:t>המערערים הורשעו על</w:t>
      </w:r>
      <w:r>
        <w:rPr>
          <w:rtl w:val="true"/>
        </w:rPr>
        <w:t>-</w:t>
      </w:r>
      <w:r>
        <w:rPr>
          <w:rtl w:val="true"/>
        </w:rPr>
        <w:t>פי הודאתם</w:t>
      </w:r>
      <w:r>
        <w:rPr>
          <w:rtl w:val="true"/>
        </w:rPr>
        <w:t xml:space="preserve">, </w:t>
      </w:r>
      <w:r>
        <w:rPr>
          <w:rtl w:val="true"/>
        </w:rPr>
        <w:t>בכתב אישום מתוקן</w:t>
      </w:r>
      <w:r>
        <w:rPr>
          <w:rtl w:val="true"/>
        </w:rPr>
        <w:t xml:space="preserve">, </w:t>
      </w:r>
      <w:r>
        <w:rPr>
          <w:rtl w:val="true"/>
        </w:rPr>
        <w:t>בעבירה של החזקת נשק ותחמושת שלא כדין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7">
        <w:r>
          <w:rPr>
            <w:rStyle w:val="Hyperlink"/>
            <w:rtl w:val="true"/>
          </w:rPr>
          <w:t>חוק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z w:val="28"/>
          <w:sz w:val="28"/>
          <w:szCs w:val="24"/>
          <w:rtl w:val="true"/>
        </w:rPr>
        <w:t>חוק</w:t>
      </w:r>
      <w:r>
        <w:rPr>
          <w:rFonts w:ascii="Times New Roman" w:hAnsi="Times New Roman" w:cs="Times New Roman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z w:val="28"/>
          <w:sz w:val="28"/>
          <w:szCs w:val="24"/>
          <w:rtl w:val="true"/>
        </w:rPr>
        <w:t>העונשין</w:t>
      </w:r>
      <w:r>
        <w:rPr>
          <w:rFonts w:cs="Times New Roman" w:ascii="Times New Roman" w:hAnsi="Times New Roman"/>
          <w:sz w:val="22"/>
          <w:rtl w:val="true"/>
        </w:rPr>
        <w:t xml:space="preserve">). </w:t>
      </w:r>
      <w:r>
        <w:rPr>
          <w:rFonts w:ascii="Times New Roman" w:hAnsi="Times New Roman" w:cs="Times New Roman"/>
          <w:sz w:val="22"/>
          <w:sz w:val="22"/>
          <w:rtl w:val="true"/>
        </w:rPr>
        <w:t>לפי עובדות כתב האישום המתוקן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 xml:space="preserve">נתפסו המערערים ביום </w:t>
      </w:r>
      <w:r>
        <w:rPr>
          <w:rFonts w:cs="Times New Roman" w:ascii="Times New Roman" w:hAnsi="Times New Roman"/>
          <w:sz w:val="22"/>
        </w:rPr>
        <w:t>15.12.2009</w:t>
      </w:r>
      <w:r>
        <w:rPr>
          <w:rFonts w:cs="Times New Roman" w:ascii="Times New Roman" w:hAnsi="Times New Roman"/>
          <w:sz w:val="22"/>
          <w:rtl w:val="true"/>
        </w:rPr>
        <w:t xml:space="preserve"> </w:t>
      </w:r>
      <w:r>
        <w:rPr>
          <w:rFonts w:ascii="Times New Roman" w:hAnsi="Times New Roman" w:cs="Times New Roman"/>
          <w:sz w:val="22"/>
          <w:sz w:val="22"/>
          <w:rtl w:val="true"/>
        </w:rPr>
        <w:t>ברכב שבו נסעו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כשכל אחד מהם החזיק ברשותו אקדח טעון ומחסנית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 xml:space="preserve">המערער </w:t>
      </w:r>
      <w:r>
        <w:rPr>
          <w:rFonts w:cs="Times New Roman" w:ascii="Times New Roman" w:hAnsi="Times New Roman"/>
          <w:sz w:val="22"/>
        </w:rPr>
        <w:t>2</w:t>
      </w:r>
      <w:r>
        <w:rPr>
          <w:rFonts w:cs="Times New Roman" w:ascii="Times New Roman" w:hAnsi="Times New Roman"/>
          <w:sz w:val="22"/>
          <w:rtl w:val="true"/>
        </w:rPr>
        <w:t xml:space="preserve"> </w:t>
      </w:r>
      <w:r>
        <w:rPr>
          <w:rFonts w:ascii="Times New Roman" w:hAnsi="Times New Roman" w:cs="Times New Roman"/>
          <w:sz w:val="22"/>
          <w:sz w:val="22"/>
          <w:rtl w:val="true"/>
        </w:rPr>
        <w:t>החזיק בכיס מעילו מחסנית נוספת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>בגזר</w:t>
      </w:r>
      <w:r>
        <w:rPr>
          <w:rFonts w:cs="Times New Roman" w:ascii="Times New Roman" w:hAnsi="Times New Roman"/>
          <w:sz w:val="22"/>
          <w:rtl w:val="true"/>
        </w:rPr>
        <w:t>-</w:t>
      </w:r>
      <w:r>
        <w:rPr>
          <w:rFonts w:ascii="Times New Roman" w:hAnsi="Times New Roman" w:cs="Times New Roman"/>
          <w:sz w:val="22"/>
          <w:sz w:val="22"/>
          <w:rtl w:val="true"/>
        </w:rPr>
        <w:t>דינו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עמד בית המשפט על חומרתה של עבירת החזקת הנשק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והמסוכנות שנגזרת ממנה לשלום הציבור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>בית המשפט דחה את טענת המערערים כי החזקת הנשק היתה לצורך הגנה עצמית על רקע סכסוך שבטי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שכן לא הובאו לה תימוכין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והעיר כי אפילו היה מקבל את הטענה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לא היה בכך כדי להביא להקלה בעונשם של המערערים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שכן לא ניתן להשלים עם התופעה של עשיית דין עצמית בסכסוכים בין שבטים ניצים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>בצד שיקוליו אלה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סקר בית המשפט את נסיבותיהם האישיות של המערערים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והתרשם כי הם אינם מנהלים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ככלל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אורח חיים עברייני</w:t>
      </w:r>
      <w:r>
        <w:rPr>
          <w:rFonts w:cs="Times New Roman" w:ascii="Times New Roman" w:hAnsi="Times New Roman"/>
          <w:sz w:val="22"/>
          <w:rtl w:val="true"/>
        </w:rPr>
        <w:t xml:space="preserve">; </w:t>
      </w:r>
      <w:r>
        <w:rPr>
          <w:rFonts w:ascii="Times New Roman" w:hAnsi="Times New Roman" w:cs="Times New Roman"/>
          <w:sz w:val="22"/>
          <w:sz w:val="22"/>
          <w:rtl w:val="true"/>
        </w:rPr>
        <w:t>והוסיף כי הם הודו במיוחס להם והביעו חרטה על מעשיהם</w:t>
      </w:r>
      <w:r>
        <w:rPr>
          <w:rFonts w:cs="Times New Roman" w:ascii="Times New Roman" w:hAnsi="Times New Roman"/>
          <w:sz w:val="22"/>
          <w:rtl w:val="true"/>
        </w:rPr>
        <w:t xml:space="preserve">; </w:t>
      </w:r>
      <w:r>
        <w:rPr>
          <w:rFonts w:ascii="Times New Roman" w:hAnsi="Times New Roman" w:cs="Times New Roman"/>
          <w:sz w:val="22"/>
          <w:sz w:val="22"/>
          <w:rtl w:val="true"/>
        </w:rPr>
        <w:t>ואף עברם הפלילי אינו מכביד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>כמו כן נשקלה המלצת תסקיר המבחן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לענישה בדרך של עבודות שירות</w:t>
      </w:r>
      <w:r>
        <w:rPr>
          <w:rFonts w:cs="Times New Roman" w:ascii="Times New Roman" w:hAnsi="Times New Roman"/>
          <w:sz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rtl w:val="true"/>
        </w:rPr>
        <w:t>כפועל יוצא של האיזון בין שיקולי הענישה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הוטל על כל אחד מהמשיבים עונש מאסר בפועל של עשרה חודשים בניכוי ימי מעצרו</w:t>
      </w:r>
      <w:r>
        <w:rPr>
          <w:rFonts w:cs="Times New Roman" w:ascii="Times New Roman" w:hAnsi="Times New Roman"/>
          <w:sz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rtl w:val="true"/>
        </w:rPr>
        <w:t>ועשרה חודשי מאסר נוספים על</w:t>
      </w:r>
      <w:r>
        <w:rPr>
          <w:rFonts w:cs="Times New Roman" w:ascii="Times New Roman" w:hAnsi="Times New Roman"/>
          <w:sz w:val="22"/>
          <w:rtl w:val="true"/>
        </w:rPr>
        <w:t>-</w:t>
      </w:r>
      <w:r>
        <w:rPr>
          <w:rFonts w:ascii="Times New Roman" w:hAnsi="Times New Roman" w:cs="Times New Roman"/>
          <w:sz w:val="22"/>
          <w:sz w:val="22"/>
          <w:rtl w:val="true"/>
        </w:rPr>
        <w:t xml:space="preserve">תנאי למשך </w:t>
      </w:r>
      <w:r>
        <w:rPr>
          <w:rFonts w:cs="Times New Roman" w:ascii="Times New Roman" w:hAnsi="Times New Roman"/>
          <w:sz w:val="22"/>
        </w:rPr>
        <w:t>3</w:t>
      </w:r>
      <w:r>
        <w:rPr>
          <w:rFonts w:cs="Times New Roman" w:ascii="Times New Roman" w:hAnsi="Times New Roman"/>
          <w:sz w:val="22"/>
          <w:rtl w:val="true"/>
        </w:rPr>
        <w:t xml:space="preserve"> </w:t>
      </w:r>
      <w:r>
        <w:rPr>
          <w:rFonts w:ascii="Times New Roman" w:hAnsi="Times New Roman" w:cs="Times New Roman"/>
          <w:sz w:val="22"/>
          <w:sz w:val="22"/>
          <w:rtl w:val="true"/>
        </w:rPr>
        <w:t>שנים</w:t>
      </w:r>
      <w:r>
        <w:rPr>
          <w:rFonts w:cs="Times New Roman" w:ascii="Times New Roman" w:hAnsi="Times New Roman"/>
          <w:sz w:val="22"/>
          <w:rtl w:val="true"/>
        </w:rPr>
        <w:t>.</w:t>
      </w:r>
      <w:bookmarkStart w:id="16" w:name="ABSTRACT_END"/>
      <w:bookmarkEnd w:id="16"/>
    </w:p>
    <w:p>
      <w:pPr>
        <w:pStyle w:val="Ruller41"/>
        <w:ind w:end="0"/>
        <w:jc w:val="both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מכאן הערעור שלפנינו</w:t>
      </w:r>
      <w:r>
        <w:rPr>
          <w:rtl w:val="true"/>
        </w:rPr>
        <w:t xml:space="preserve">. </w:t>
      </w:r>
      <w:r>
        <w:rPr>
          <w:rtl w:val="true"/>
        </w:rPr>
        <w:t>המערערים טוענים כי במסגרת האיזון בין השיקולים השונים</w:t>
      </w:r>
      <w:r>
        <w:rPr>
          <w:rtl w:val="true"/>
        </w:rPr>
        <w:t xml:space="preserve">, </w:t>
      </w:r>
      <w:r>
        <w:rPr>
          <w:rtl w:val="true"/>
        </w:rPr>
        <w:t>נתן בית המשפט קמא משקל עודף ל</w:t>
      </w:r>
      <w:r>
        <w:rPr>
          <w:rtl w:val="true"/>
        </w:rPr>
        <w:t>"</w:t>
      </w:r>
      <w:r>
        <w:rPr>
          <w:rtl w:val="true"/>
        </w:rPr>
        <w:t>היבטים הכלליים</w:t>
      </w:r>
      <w:r>
        <w:rPr>
          <w:rtl w:val="true"/>
        </w:rPr>
        <w:t xml:space="preserve">" </w:t>
      </w:r>
      <w:r>
        <w:rPr>
          <w:rtl w:val="true"/>
        </w:rPr>
        <w:t>של תופעת החזקת הנשק</w:t>
      </w:r>
      <w:r>
        <w:rPr>
          <w:rtl w:val="true"/>
        </w:rPr>
        <w:t xml:space="preserve">, </w:t>
      </w:r>
      <w:r>
        <w:rPr>
          <w:rtl w:val="true"/>
        </w:rPr>
        <w:t>על חשבון בחינת נסיבות המעשה הקונקרטי ונסיבותיהם האישיות</w:t>
      </w:r>
      <w:r>
        <w:rPr>
          <w:rtl w:val="true"/>
        </w:rPr>
        <w:t xml:space="preserve">. </w:t>
      </w:r>
      <w:r>
        <w:rPr>
          <w:rtl w:val="true"/>
        </w:rPr>
        <w:t>עוד נטען כי בית המשפט קמא החמיר עם המערערים יתר על המידה</w:t>
      </w:r>
      <w:r>
        <w:rPr>
          <w:rtl w:val="true"/>
        </w:rPr>
        <w:t xml:space="preserve">, </w:t>
      </w:r>
      <w:r>
        <w:rPr>
          <w:rtl w:val="true"/>
        </w:rPr>
        <w:t>וזאת למרות שורה ארוכה של נסיבות לקולא</w:t>
      </w:r>
      <w:r>
        <w:rPr>
          <w:rtl w:val="true"/>
        </w:rPr>
        <w:t xml:space="preserve">: </w:t>
      </w:r>
      <w:r>
        <w:rPr>
          <w:rtl w:val="true"/>
        </w:rPr>
        <w:t>היעדר עבר פלילי מכביד</w:t>
      </w:r>
      <w:r>
        <w:rPr>
          <w:rtl w:val="true"/>
        </w:rPr>
        <w:t xml:space="preserve">; </w:t>
      </w:r>
      <w:r>
        <w:rPr>
          <w:rtl w:val="true"/>
        </w:rPr>
        <w:t>היעדר דפוסי התנהגות עבריינים</w:t>
      </w:r>
      <w:r>
        <w:rPr>
          <w:rtl w:val="true"/>
        </w:rPr>
        <w:t xml:space="preserve">; </w:t>
      </w:r>
      <w:r>
        <w:rPr>
          <w:rtl w:val="true"/>
        </w:rPr>
        <w:t>מצבם המשפחתי של המערערים</w:t>
      </w:r>
      <w:r>
        <w:rPr>
          <w:rtl w:val="true"/>
        </w:rPr>
        <w:t xml:space="preserve">, </w:t>
      </w:r>
      <w:r>
        <w:rPr>
          <w:rtl w:val="true"/>
        </w:rPr>
        <w:t>היותם בעלי משפחות ומפרנסים עיקריים</w:t>
      </w:r>
      <w:r>
        <w:rPr>
          <w:rtl w:val="true"/>
        </w:rPr>
        <w:t xml:space="preserve">; </w:t>
      </w:r>
      <w:r>
        <w:rPr>
          <w:rtl w:val="true"/>
        </w:rPr>
        <w:t>נטילת אחריות מצד המערערים והודאה במעשים שיוחסו להם במסגרת הסדר טיעון</w:t>
      </w:r>
      <w:r>
        <w:rPr>
          <w:rtl w:val="true"/>
        </w:rPr>
        <w:t xml:space="preserve">; </w:t>
      </w:r>
      <w:r>
        <w:rPr>
          <w:rtl w:val="true"/>
        </w:rPr>
        <w:t>וכן נסיבות החזקת הנשק על</w:t>
      </w:r>
      <w:r>
        <w:rPr>
          <w:rtl w:val="true"/>
        </w:rPr>
        <w:t>-</w:t>
      </w:r>
      <w:r>
        <w:rPr>
          <w:rtl w:val="true"/>
        </w:rPr>
        <w:t>ידי המערערים</w:t>
      </w:r>
      <w:r>
        <w:rPr>
          <w:rtl w:val="true"/>
        </w:rPr>
        <w:t xml:space="preserve">, </w:t>
      </w:r>
      <w:r>
        <w:rPr>
          <w:rtl w:val="true"/>
        </w:rPr>
        <w:t>שחשו מאוימים בשל סכסוך שבטי</w:t>
      </w:r>
      <w:r>
        <w:rPr>
          <w:rtl w:val="true"/>
        </w:rPr>
        <w:t xml:space="preserve">, </w:t>
      </w:r>
      <w:r>
        <w:rPr>
          <w:rtl w:val="true"/>
        </w:rPr>
        <w:t>ולא תכננו לעשות בו שימוש אקטיבי</w:t>
      </w:r>
      <w:r>
        <w:rPr>
          <w:rtl w:val="true"/>
        </w:rPr>
        <w:t xml:space="preserve">. </w:t>
      </w:r>
      <w:r>
        <w:rPr>
          <w:rtl w:val="true"/>
        </w:rPr>
        <w:t>המערערים טוענים כי בפסיקת בתי המשפט</w:t>
      </w:r>
      <w:r>
        <w:rPr>
          <w:rtl w:val="true"/>
        </w:rPr>
        <w:t xml:space="preserve">, </w:t>
      </w:r>
      <w:r>
        <w:rPr>
          <w:rtl w:val="true"/>
        </w:rPr>
        <w:t>הוטלו עונשים מתונים יותר על נאשמים שביצעו עבירות דומות בנסיבות מחמירות בהרבה</w:t>
      </w:r>
      <w:r>
        <w:rPr>
          <w:rtl w:val="true"/>
        </w:rPr>
        <w:t xml:space="preserve">. </w:t>
      </w:r>
      <w:r>
        <w:rPr>
          <w:rtl w:val="true"/>
        </w:rPr>
        <w:t>בדיון שנערך לפנינו</w:t>
      </w:r>
      <w:r>
        <w:rPr>
          <w:rtl w:val="true"/>
        </w:rPr>
        <w:t xml:space="preserve">, </w:t>
      </w:r>
      <w:r>
        <w:rPr>
          <w:rtl w:val="true"/>
        </w:rPr>
        <w:t>הציגו באי</w:t>
      </w:r>
      <w:r>
        <w:rPr>
          <w:rtl w:val="true"/>
        </w:rPr>
        <w:t>-</w:t>
      </w:r>
      <w:r>
        <w:rPr>
          <w:rtl w:val="true"/>
        </w:rPr>
        <w:t>כוח המערערים מסמך שבו נאמר כי מרשיהם התנתקו מהחמולה אליה השתייכה משפחתם</w:t>
      </w:r>
      <w:r>
        <w:rPr>
          <w:rtl w:val="true"/>
        </w:rPr>
        <w:t xml:space="preserve">, </w:t>
      </w:r>
      <w:r>
        <w:rPr>
          <w:rtl w:val="true"/>
        </w:rPr>
        <w:t>במטרה להביא ליישוב הסכסוך השבטי הקיים מזה שנים</w:t>
      </w:r>
      <w:r>
        <w:rPr>
          <w:rtl w:val="true"/>
        </w:rPr>
        <w:t xml:space="preserve">. </w:t>
      </w:r>
      <w:r>
        <w:rPr>
          <w:rtl w:val="true"/>
        </w:rPr>
        <w:t>נוכח האמור</w:t>
      </w:r>
      <w:r>
        <w:rPr>
          <w:rtl w:val="true"/>
        </w:rPr>
        <w:t xml:space="preserve">, </w:t>
      </w:r>
      <w:r>
        <w:rPr>
          <w:rtl w:val="true"/>
        </w:rPr>
        <w:t>מבקשים המערערים להפחית מהעונש שהוטל עליהם</w:t>
      </w:r>
      <w:r>
        <w:rPr>
          <w:rtl w:val="true"/>
        </w:rPr>
        <w:t xml:space="preserve">, </w:t>
      </w:r>
      <w:r>
        <w:rPr>
          <w:rtl w:val="true"/>
        </w:rPr>
        <w:t>ולהמירו בעבודות שירות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טוענת באת כוח המשיבה</w:t>
      </w:r>
      <w:r>
        <w:rPr>
          <w:rtl w:val="true"/>
        </w:rPr>
        <w:t xml:space="preserve">, </w:t>
      </w:r>
      <w:r>
        <w:rPr>
          <w:rtl w:val="true"/>
        </w:rPr>
        <w:t>כי מעשיהם של המערערים מחייבים ענישה של מאסר בפועל</w:t>
      </w:r>
      <w:r>
        <w:rPr>
          <w:rtl w:val="true"/>
        </w:rPr>
        <w:t xml:space="preserve">, </w:t>
      </w:r>
      <w:r>
        <w:rPr>
          <w:rtl w:val="true"/>
        </w:rPr>
        <w:t>לריצוי מאחורי סורג ובריח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אילו חשו המערערים מאוימים – כפי טענתם – יכולים היו לפנות לרשויות המוסמכות ולבקש הגנה</w:t>
      </w:r>
      <w:r>
        <w:rPr>
          <w:rtl w:val="true"/>
        </w:rPr>
        <w:t xml:space="preserve">. </w:t>
      </w:r>
      <w:r>
        <w:rPr>
          <w:rtl w:val="true"/>
        </w:rPr>
        <w:t xml:space="preserve">החזקת אקדח טעון מלמדת על כך שלא מדובר בהחזקה </w:t>
      </w:r>
      <w:r>
        <w:rPr>
          <w:rtl w:val="true"/>
        </w:rPr>
        <w:t>"</w:t>
      </w:r>
      <w:r>
        <w:rPr>
          <w:rtl w:val="true"/>
        </w:rPr>
        <w:t>למטרות שלום</w:t>
      </w:r>
      <w:r>
        <w:rPr>
          <w:rtl w:val="true"/>
        </w:rPr>
        <w:t xml:space="preserve">", </w:t>
      </w:r>
      <w:r>
        <w:rPr>
          <w:rtl w:val="true"/>
        </w:rPr>
        <w:t>מה גם שהחזקתו ללא רישיון מצביעה על קיומו של קשר ביניהם לבין גורמים עבריינים</w:t>
      </w:r>
      <w:r>
        <w:rPr>
          <w:rtl w:val="true"/>
        </w:rPr>
        <w:t xml:space="preserve">. </w:t>
      </w:r>
      <w:r>
        <w:rPr>
          <w:rtl w:val="true"/>
        </w:rPr>
        <w:t>המדינה מפנה לתסקירי שירות המבחן</w:t>
      </w:r>
      <w:r>
        <w:rPr>
          <w:rtl w:val="true"/>
        </w:rPr>
        <w:t xml:space="preserve">, </w:t>
      </w:r>
      <w:r>
        <w:rPr>
          <w:rtl w:val="true"/>
        </w:rPr>
        <w:t>שהתרשם כי המערערים לא גיבשו תובנות לגבי המאפיינים האישיותיים שלהם שהביאו לביצוע העבירה</w:t>
      </w:r>
      <w:r>
        <w:rPr>
          <w:rtl w:val="true"/>
        </w:rPr>
        <w:t xml:space="preserve">, </w:t>
      </w:r>
      <w:r>
        <w:rPr>
          <w:rtl w:val="true"/>
        </w:rPr>
        <w:t>אלא מתייחסים אך ורק לנסיבות תרבותיות חיצוניות</w:t>
      </w:r>
      <w:r>
        <w:rPr>
          <w:rtl w:val="true"/>
        </w:rPr>
        <w:t xml:space="preserve">. 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מציינת המשיבה</w:t>
      </w:r>
      <w:r>
        <w:rPr>
          <w:rtl w:val="true"/>
        </w:rPr>
        <w:t xml:space="preserve">, </w:t>
      </w:r>
      <w:r>
        <w:rPr>
          <w:rtl w:val="true"/>
        </w:rPr>
        <w:t>כי הגם שאין למערערים עבר פלילי מכביד</w:t>
      </w:r>
      <w:r>
        <w:rPr>
          <w:rtl w:val="true"/>
        </w:rPr>
        <w:t xml:space="preserve">, </w:t>
      </w:r>
      <w:r>
        <w:rPr>
          <w:rtl w:val="true"/>
        </w:rPr>
        <w:t>עומדות לחובתם הרשעות קודמות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לאחר בחינת נימוקי הערעור ושקילת טיעוני הצדדים</w:t>
      </w:r>
      <w:r>
        <w:rPr>
          <w:rtl w:val="true"/>
        </w:rPr>
        <w:t xml:space="preserve">, </w:t>
      </w:r>
      <w:r>
        <w:rPr>
          <w:rtl w:val="true"/>
        </w:rPr>
        <w:t>הגענו למסקנה כי דין הערעור להידחות</w:t>
      </w:r>
      <w:r>
        <w:rPr>
          <w:rtl w:val="true"/>
        </w:rPr>
        <w:t xml:space="preserve">. </w:t>
      </w:r>
      <w:r>
        <w:rPr>
          <w:rtl w:val="true"/>
        </w:rPr>
        <w:t xml:space="preserve">הלכה היא כי ערכאת הערעור תתערב בחומרת העונש שהוטל על ידי הערכאה הדיונית רק במקרים חריגים של סטייה ברורה ממדיניות הענישה המקובלת בנסיבות דומות </w:t>
      </w:r>
      <w:r>
        <w:rPr>
          <w:rtl w:val="true"/>
        </w:rPr>
        <w:t>(</w:t>
      </w:r>
      <w:hyperlink r:id="rId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1242/97</w:t>
        </w:r>
      </w:hyperlink>
      <w:r>
        <w:rPr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גרינברג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פורסם</w:t>
      </w:r>
      <w:r>
        <w:rPr>
          <w:rtl w:val="true"/>
        </w:rPr>
        <w:t xml:space="preserve">, </w:t>
      </w:r>
      <w:r>
        <w:rPr/>
        <w:t>3.2.1998</w:t>
      </w:r>
      <w:r>
        <w:rPr>
          <w:rtl w:val="true"/>
        </w:rPr>
        <w:t xml:space="preserve">); </w:t>
      </w:r>
      <w:hyperlink r:id="rId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9097/05</w:t>
        </w:r>
      </w:hyperlink>
      <w:r>
        <w:rPr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ורשילובסקי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פורסם</w:t>
      </w:r>
      <w:r>
        <w:rPr>
          <w:rtl w:val="true"/>
        </w:rPr>
        <w:t xml:space="preserve">, </w:t>
      </w:r>
      <w:r>
        <w:rPr/>
        <w:t>3.7.2006</w:t>
      </w:r>
      <w:r>
        <w:rPr>
          <w:rtl w:val="true"/>
        </w:rPr>
        <w:t xml:space="preserve">); </w:t>
      </w:r>
      <w:hyperlink r:id="rId1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3091/08</w:t>
        </w:r>
      </w:hyperlink>
      <w:r>
        <w:rPr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טרייגר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פורסם</w:t>
      </w:r>
      <w:r>
        <w:rPr>
          <w:rtl w:val="true"/>
        </w:rPr>
        <w:t xml:space="preserve">, </w:t>
      </w:r>
      <w:r>
        <w:rPr/>
        <w:t>29.1.2009</w:t>
      </w:r>
      <w:r>
        <w:rPr>
          <w:rtl w:val="true"/>
        </w:rPr>
        <w:t xml:space="preserve">); </w:t>
      </w:r>
      <w:hyperlink r:id="rId11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5764/07</w:t>
        </w:r>
      </w:hyperlink>
      <w:r>
        <w:rPr>
          <w:rFonts w:cs="Miriam"/>
          <w:spacing w:val="0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/>
          <w:spacing w:val="0"/>
          <w:sz w:val="28"/>
          <w:szCs w:val="24"/>
          <w:rtl w:val="true"/>
        </w:rPr>
        <w:t xml:space="preserve">' </w:t>
      </w:r>
      <w:r>
        <w:rPr>
          <w:rFonts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eastAsia="Garamond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rtl w:val="true"/>
        </w:rPr>
        <w:t>ישראל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פורסם</w:t>
      </w:r>
      <w:r>
        <w:rPr>
          <w:rtl w:val="true"/>
        </w:rPr>
        <w:t xml:space="preserve">, </w:t>
      </w:r>
      <w:r>
        <w:rPr/>
        <w:t>12.12.07</w:t>
      </w:r>
      <w:r>
        <w:rPr>
          <w:rtl w:val="true"/>
        </w:rPr>
        <w:t xml:space="preserve">)). </w:t>
      </w:r>
      <w:r>
        <w:rPr>
          <w:rtl w:val="true"/>
        </w:rPr>
        <w:t>במקרה הנדון לא מצאנו סטייה שכזו</w:t>
      </w:r>
      <w:r>
        <w:rPr>
          <w:rtl w:val="true"/>
        </w:rPr>
        <w:t xml:space="preserve">. </w:t>
      </w:r>
      <w:r>
        <w:rPr>
          <w:rtl w:val="true"/>
        </w:rPr>
        <w:t xml:space="preserve">בית המשפט קמא בחן בגזר דינו את מכלול השיקולים לקולא ולחומרא </w:t>
      </w:r>
      <w:r>
        <w:rPr>
          <w:sz w:val="28"/>
          <w:sz w:val="28"/>
          <w:rtl w:val="true"/>
        </w:rPr>
        <w:t>וערך את מלאכת האיזון ביניהם כדבעי</w:t>
      </w:r>
      <w:r>
        <w:rPr>
          <w:sz w:val="28"/>
          <w:rtl w:val="true"/>
        </w:rPr>
        <w:t>.</w:t>
      </w:r>
      <w:r>
        <w:rPr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המערערים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לפעולה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במחסניות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נוספות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פעמים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החובה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להטיל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מלבצע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hyperlink r:id="rId12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2718/04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אבו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דאחל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29.03.04</w:t>
      </w:r>
      <w:r>
        <w:rPr>
          <w:rtl w:val="true"/>
        </w:rPr>
        <w:t xml:space="preserve">)). </w:t>
      </w:r>
      <w:r>
        <w:rPr>
          <w:rtl w:val="true"/>
        </w:rPr>
        <w:t>כפי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החזקה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בפרט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לפעולה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להוביל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לתוצאות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קשות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מוחזק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למטרות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" </w:t>
      </w:r>
      <w:r>
        <w:rPr>
          <w:rtl w:val="true"/>
        </w:rPr>
        <w:t>בלבד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13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5921/08</w:t>
        </w:r>
      </w:hyperlink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פלוני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6.5.2009</w:t>
      </w:r>
      <w:r>
        <w:rPr>
          <w:rtl w:val="true"/>
        </w:rPr>
        <w:t xml:space="preserve">)). </w:t>
      </w:r>
      <w:r>
        <w:rPr>
          <w:rtl w:val="true"/>
        </w:rPr>
        <w:t>המציאות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השוררת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בארץ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המתבטאת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בזמינותו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להסלמת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האלימות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העבריינית</w:t>
      </w:r>
      <w:r>
        <w:rPr>
          <w:rtl w:val="true"/>
        </w:rPr>
        <w:t xml:space="preserve">, </w:t>
      </w:r>
      <w:r>
        <w:rPr>
          <w:rtl w:val="true"/>
        </w:rPr>
        <w:t>מחייבת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ביטוי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והחמרה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1332/04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פס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19.4.2004</w:t>
      </w:r>
      <w:r>
        <w:rPr>
          <w:rtl w:val="true"/>
        </w:rPr>
        <w:t xml:space="preserve">)).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בטרם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ייעשה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קטלני</w:t>
      </w:r>
      <w:r>
        <w:rPr>
          <w:rtl w:val="true"/>
        </w:rPr>
        <w:t xml:space="preserve">, </w:t>
      </w:r>
      <w:r>
        <w:rPr>
          <w:rtl w:val="true"/>
        </w:rPr>
        <w:t>באמצעות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הרחקת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זמן</w:t>
      </w:r>
      <w:r>
        <w:rPr>
          <w:rtl w:val="true"/>
        </w:rPr>
        <w:t xml:space="preserve">, </w:t>
      </w:r>
      <w:r>
        <w:rPr>
          <w:rtl w:val="true"/>
        </w:rPr>
        <w:t>והעברת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מרתיע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3361/08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ליבוביץ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27.7.2008</w:t>
      </w:r>
      <w:r>
        <w:rPr>
          <w:rtl w:val="true"/>
        </w:rPr>
        <w:t xml:space="preserve">); 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5220/09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עוואודה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30.12.09</w:t>
      </w:r>
      <w:r>
        <w:rPr>
          <w:rtl w:val="true"/>
        </w:rPr>
        <w:t xml:space="preserve">)).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נפסק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תרומה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מספקת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לעקירת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לצערנו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התפשטה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במחוזותינו</w:t>
      </w:r>
      <w:r>
        <w:rPr>
          <w:rtl w:val="true"/>
        </w:rPr>
        <w:t xml:space="preserve">, </w:t>
      </w:r>
      <w:r>
        <w:rPr>
          <w:rtl w:val="true"/>
        </w:rPr>
        <w:t>ולהטיל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>" (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6583/06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אדהאם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/>
        <w:t>5.12.2006</w:t>
      </w:r>
      <w:r>
        <w:rPr>
          <w:rtl w:val="true"/>
        </w:rPr>
        <w:t>)).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Fonts w:eastAsia="Garamond"/>
          <w:rtl w:val="true"/>
        </w:rPr>
        <w:t xml:space="preserve"> </w:t>
      </w:r>
      <w:r>
        <w:rPr/>
        <w:t>6</w:t>
      </w:r>
      <w:r>
        <w:rPr>
          <w:rtl w:val="true"/>
        </w:rPr>
        <w:t>.</w:t>
        <w:tab/>
        <w:t xml:space="preserve"> </w:t>
      </w:r>
      <w:r>
        <w:rPr>
          <w:rtl w:val="true"/>
        </w:rPr>
        <w:t>בית המשפט המחוזי לא הסתפק בשיקולי הענישה האמורים ובצד חומרת המעשים</w:t>
      </w:r>
      <w:r>
        <w:rPr>
          <w:rtl w:val="true"/>
        </w:rPr>
        <w:t xml:space="preserve">, </w:t>
      </w:r>
      <w:r>
        <w:rPr>
          <w:rtl w:val="true"/>
        </w:rPr>
        <w:t>נתן דעתו</w:t>
      </w:r>
      <w:r>
        <w:rPr>
          <w:rtl w:val="true"/>
        </w:rPr>
        <w:t xml:space="preserve">, </w:t>
      </w:r>
      <w:r>
        <w:rPr>
          <w:rtl w:val="true"/>
        </w:rPr>
        <w:t>בעת גזירת הדין</w:t>
      </w:r>
      <w:r>
        <w:rPr>
          <w:rtl w:val="true"/>
        </w:rPr>
        <w:t xml:space="preserve">, </w:t>
      </w:r>
      <w:r>
        <w:rPr>
          <w:rtl w:val="true"/>
        </w:rPr>
        <w:t>גם לנסיבותיהם האישיות של המערערים</w:t>
      </w:r>
      <w:r>
        <w:rPr>
          <w:rtl w:val="true"/>
        </w:rPr>
        <w:t xml:space="preserve">. </w:t>
      </w:r>
      <w:r>
        <w:rPr>
          <w:rtl w:val="true"/>
        </w:rPr>
        <w:t>בין היתר</w:t>
      </w:r>
      <w:r>
        <w:rPr>
          <w:rtl w:val="true"/>
        </w:rPr>
        <w:t xml:space="preserve">, </w:t>
      </w:r>
      <w:r>
        <w:rPr>
          <w:rtl w:val="true"/>
        </w:rPr>
        <w:t>הובהר כי הודאתם של המערערים</w:t>
      </w:r>
      <w:r>
        <w:rPr>
          <w:rtl w:val="true"/>
        </w:rPr>
        <w:t xml:space="preserve">, </w:t>
      </w:r>
      <w:r>
        <w:rPr>
          <w:rtl w:val="true"/>
        </w:rPr>
        <w:t>החרטה שהביעו</w:t>
      </w:r>
      <w:r>
        <w:rPr>
          <w:rtl w:val="true"/>
        </w:rPr>
        <w:t xml:space="preserve">, </w:t>
      </w:r>
      <w:r>
        <w:rPr>
          <w:rtl w:val="true"/>
        </w:rPr>
        <w:t>ואורח חייהם הנורמטיבי ככלל</w:t>
      </w:r>
      <w:r>
        <w:rPr>
          <w:rtl w:val="true"/>
        </w:rPr>
        <w:t xml:space="preserve">, </w:t>
      </w:r>
      <w:r>
        <w:rPr>
          <w:rtl w:val="true"/>
        </w:rPr>
        <w:t>עמדו לזכותם ונשקלו במסגרת האיזון הכולל</w:t>
      </w:r>
      <w:r>
        <w:rPr>
          <w:rtl w:val="true"/>
        </w:rPr>
        <w:t xml:space="preserve">. </w:t>
      </w:r>
      <w:r>
        <w:rPr>
          <w:rtl w:val="true"/>
        </w:rPr>
        <w:t>עוד ניתן משקל לתסקירי המבחן בעניינם של המערערים</w:t>
      </w:r>
      <w:r>
        <w:rPr>
          <w:rtl w:val="true"/>
        </w:rPr>
        <w:t xml:space="preserve">, </w:t>
      </w:r>
      <w:r>
        <w:rPr>
          <w:rtl w:val="true"/>
        </w:rPr>
        <w:t>ולעברם הפלילי שאינו מכביד</w:t>
      </w:r>
      <w:r>
        <w:rPr>
          <w:rtl w:val="true"/>
        </w:rPr>
        <w:t xml:space="preserve">. </w:t>
      </w:r>
      <w:r>
        <w:rPr>
          <w:rtl w:val="true"/>
        </w:rPr>
        <w:t>באיזון הכולל לא מצאנו כי העונש שהושת על המערערים חורג לחומרה מרמת הענישה המקובלת והראויה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  <w:tab/>
      </w:r>
      <w:r>
        <w:rPr>
          <w:rtl w:val="true"/>
        </w:rPr>
        <w:t>יוסף כי לא מצאתי כי יש במסמך שהוצג בפנינו במהלך הדיון – שלפיו המערערים התנתקו מהחמולה שאליה היא משתייכת על</w:t>
      </w:r>
      <w:r>
        <w:rPr>
          <w:rtl w:val="true"/>
        </w:rPr>
        <w:t>-</w:t>
      </w:r>
      <w:r>
        <w:rPr>
          <w:rtl w:val="true"/>
        </w:rPr>
        <w:t>מנת להתרחק מהסכסוך השבטי – כדי לשנות מתוצאה זו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נוכח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נדחה</w:t>
      </w:r>
      <w:r>
        <w:rPr>
          <w:rtl w:val="true"/>
        </w:rPr>
        <w:t xml:space="preserve">. </w:t>
      </w:r>
      <w:r>
        <w:rPr>
          <w:rtl w:val="true"/>
        </w:rPr>
        <w:t>המערערים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יתייצבו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20.2.2011</w:t>
      </w:r>
      <w:r>
        <w:rPr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;Arial" w:cs="Arial TUR;Arial"/>
          <w:rtl w:val="true"/>
        </w:rPr>
        <w:t xml:space="preserve"> </w:t>
      </w:r>
      <w:r>
        <w:rPr/>
        <w:t>10:00</w:t>
      </w:r>
      <w:r>
        <w:rPr>
          <w:rtl w:val="true"/>
        </w:rPr>
        <w:t xml:space="preserve"> </w:t>
      </w:r>
      <w:r>
        <w:rPr>
          <w:rtl w:val="true"/>
        </w:rPr>
        <w:t>במזכירות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בבאר</w:t>
      </w:r>
      <w:r>
        <w:rPr>
          <w:rtl w:val="true"/>
        </w:rPr>
        <w:t>-</w:t>
      </w:r>
      <w:r>
        <w:rPr>
          <w:rtl w:val="true"/>
        </w:rPr>
        <w:t>שבע</w:t>
      </w:r>
      <w:r>
        <w:rPr>
          <w:rtl w:val="true"/>
        </w:rPr>
        <w:t xml:space="preserve">, </w:t>
      </w:r>
      <w:r>
        <w:rPr>
          <w:rtl w:val="true"/>
        </w:rPr>
        <w:t>לשם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נשיאה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בעונשם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ט</w:t>
      </w:r>
      <w:r>
        <w:rPr>
          <w:rtl w:val="true"/>
        </w:rPr>
        <w:t xml:space="preserve">' </w:t>
      </w:r>
      <w:r>
        <w:rPr>
          <w:rtl w:val="true"/>
        </w:rPr>
        <w:t>באדר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13.2.2011</w:t>
      </w:r>
      <w:r>
        <w:rPr>
          <w:rtl w:val="true"/>
        </w:rPr>
        <w:t xml:space="preserve">). </w:t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רובינשטיין </w:t>
      </w:r>
      <w:r>
        <w:rPr>
          <w:rFonts w:cs="David" w:ascii="David" w:hAnsi="David"/>
          <w:color w:val="000000"/>
          <w:szCs w:val="22"/>
        </w:rPr>
        <w:t>54678313-6294/10</w:t>
      </w:r>
    </w:p>
    <w:p>
      <w:pPr>
        <w:pStyle w:val="Ruller41"/>
        <w:ind w:end="0"/>
        <w:jc w:val="both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7" w:name="FileName"/>
      <w:r>
        <w:rPr>
          <w:sz w:val="16"/>
        </w:rPr>
        <w:t>10062940</w:t>
      </w:r>
      <w:r>
        <w:rPr>
          <w:sz w:val="16"/>
          <w:rtl w:val="true"/>
        </w:rPr>
        <w:t>_</w:t>
      </w:r>
      <w:r>
        <w:rPr>
          <w:sz w:val="16"/>
        </w:rPr>
        <w:t>M01.doc</w:t>
      </w:r>
      <w:r>
        <w:rPr>
          <w:sz w:val="16"/>
          <w:rtl w:val="true"/>
        </w:rPr>
        <w:t xml:space="preserve">   </w:t>
      </w:r>
      <w:bookmarkEnd w:id="17"/>
      <w:r>
        <w:rPr>
          <w:sz w:val="16"/>
          <w:sz w:val="16"/>
          <w:rtl w:val="true"/>
        </w:rPr>
        <w:t>יב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8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color w:val="000000"/>
          <w:sz w:val="24"/>
          <w:sz w:val="24"/>
          <w:rtl w:val="true"/>
        </w:rPr>
        <w:t>נוסח מסמך זה כפוף לשינויי ניסוח ועריכה</w:t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19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r>
        <w:rPr>
          <w:color w:val="0000FF"/>
          <w:sz w:val="24"/>
          <w:u w:val="single"/>
        </w:rPr>
      </w:r>
    </w:p>
    <w:sectPr>
      <w:headerReference w:type="default" r:id="rId20"/>
      <w:footerReference w:type="default" r:id="rId21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5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6294/10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אמין אלקיעאן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535244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" TargetMode="External"/><Relationship Id="rId5" Type="http://schemas.openxmlformats.org/officeDocument/2006/relationships/hyperlink" Target="http://www.nevo.co.il/law/70301/144.a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law/70301" TargetMode="External"/><Relationship Id="rId8" Type="http://schemas.openxmlformats.org/officeDocument/2006/relationships/hyperlink" Target="http://www.nevo.co.il/case/5755866" TargetMode="External"/><Relationship Id="rId9" Type="http://schemas.openxmlformats.org/officeDocument/2006/relationships/hyperlink" Target="http://www.nevo.co.il/case/5838067" TargetMode="External"/><Relationship Id="rId10" Type="http://schemas.openxmlformats.org/officeDocument/2006/relationships/hyperlink" Target="http://www.nevo.co.il/links/psika/?link=&#1506;&#1508;%203091/08" TargetMode="External"/><Relationship Id="rId11" Type="http://schemas.openxmlformats.org/officeDocument/2006/relationships/hyperlink" Target="http://www.nevo.co.il/case/6246583" TargetMode="External"/><Relationship Id="rId12" Type="http://schemas.openxmlformats.org/officeDocument/2006/relationships/hyperlink" Target="http://www.nevo.co.il/case/5852404" TargetMode="External"/><Relationship Id="rId13" Type="http://schemas.openxmlformats.org/officeDocument/2006/relationships/hyperlink" Target="http://www.nevo.co.il/case/6040482" TargetMode="External"/><Relationship Id="rId14" Type="http://schemas.openxmlformats.org/officeDocument/2006/relationships/hyperlink" Target="http://www.nevo.co.il/links/psika/?link=&#1506;&#1508;%201332/04" TargetMode="External"/><Relationship Id="rId15" Type="http://schemas.openxmlformats.org/officeDocument/2006/relationships/hyperlink" Target="http://www.nevo.co.il/case/5891605" TargetMode="External"/><Relationship Id="rId16" Type="http://schemas.openxmlformats.org/officeDocument/2006/relationships/hyperlink" Target="http://www.nevo.co.il/case/6000182" TargetMode="External"/><Relationship Id="rId17" Type="http://schemas.openxmlformats.org/officeDocument/2006/relationships/hyperlink" Target="http://www.nevo.co.il/case/6072945" TargetMode="External"/><Relationship Id="rId18" Type="http://schemas.openxmlformats.org/officeDocument/2006/relationships/hyperlink" Target="http://www.court.gov.il/" TargetMode="External"/><Relationship Id="rId19" Type="http://schemas.openxmlformats.org/officeDocument/2006/relationships/hyperlink" Target="http://www.nevo.co.il/advertisements/nevo-100.doc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10062940.M01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2015-08-03T10:20:00Z</dcterms:created>
  <dc:creator> </dc:creator>
  <dc:description/>
  <cp:keywords/>
  <dc:language>en-IL</dc:language>
  <cp:lastModifiedBy>hofit</cp:lastModifiedBy>
  <cp:lastPrinted>2009-02-15T11:12:00Z</cp:lastPrinted>
  <dcterms:modified xsi:type="dcterms:W3CDTF">2015-08-03T10:20:00Z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אמין אלקיעאן;סלימאן אלקיעאן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ProcID=133&amp;PartA=3091&amp;PartC=08</vt:lpwstr>
  </property>
  <property fmtid="{D5CDD505-2E9C-101B-9397-08002B2CF9AE}" pid="5" name="CASENOTES2">
    <vt:lpwstr>ProcID=133;209&amp;PartA=1332&amp;PartC=04</vt:lpwstr>
  </property>
  <property fmtid="{D5CDD505-2E9C-101B-9397-08002B2CF9AE}" pid="6" name="CASESLISTTMP1">
    <vt:lpwstr>2535244;5755866;5838067;6246583;5852404;6040482;5891605;6000182;6072945</vt:lpwstr>
  </property>
  <property fmtid="{D5CDD505-2E9C-101B-9397-08002B2CF9AE}" pid="7" name="DATE">
    <vt:lpwstr>20110213</vt:lpwstr>
  </property>
  <property fmtid="{D5CDD505-2E9C-101B-9397-08002B2CF9AE}" pid="8" name="ISABSTRACT">
    <vt:lpwstr>Y</vt:lpwstr>
  </property>
  <property fmtid="{D5CDD505-2E9C-101B-9397-08002B2CF9AE}" pid="9" name="JUDGE">
    <vt:lpwstr>א' רובינשטיין;ס' ג'ובראן;ע' פוגלמן</vt:lpwstr>
  </property>
  <property fmtid="{D5CDD505-2E9C-101B-9397-08002B2CF9AE}" pid="10" name="LAWLISTTMP1">
    <vt:lpwstr>70301/144.a</vt:lpwstr>
  </property>
  <property fmtid="{D5CDD505-2E9C-101B-9397-08002B2CF9AE}" pid="11" name="LAWYER">
    <vt:lpwstr>אפרת רוזן;שמעון שרביט;אופיר כהן;שרות המבחן גב' ברכה וייס</vt:lpwstr>
  </property>
  <property fmtid="{D5CDD505-2E9C-101B-9397-08002B2CF9AE}" pid="12" name="PROCESS">
    <vt:lpwstr>עפ</vt:lpwstr>
  </property>
  <property fmtid="{D5CDD505-2E9C-101B-9397-08002B2CF9AE}" pid="13" name="PROCNUM">
    <vt:lpwstr>6294</vt:lpwstr>
  </property>
  <property fmtid="{D5CDD505-2E9C-101B-9397-08002B2CF9AE}" pid="14" name="PROCYEAR">
    <vt:lpwstr>10</vt:lpwstr>
  </property>
  <property fmtid="{D5CDD505-2E9C-101B-9397-08002B2CF9AE}" pid="15" name="PSAKDIN">
    <vt:lpwstr>פסק-דין</vt:lpwstr>
  </property>
  <property fmtid="{D5CDD505-2E9C-101B-9397-08002B2CF9AE}" pid="16" name="RemarkFileName">
    <vt:lpwstr>elyon 10062940 m01 htm</vt:lpwstr>
  </property>
  <property fmtid="{D5CDD505-2E9C-101B-9397-08002B2CF9AE}" pid="17" name="TYPE">
    <vt:lpwstr>1</vt:lpwstr>
  </property>
  <property fmtid="{D5CDD505-2E9C-101B-9397-08002B2CF9AE}" pid="18" name="TYPE_ABS_DATE">
    <vt:lpwstr>410020110213</vt:lpwstr>
  </property>
  <property fmtid="{D5CDD505-2E9C-101B-9397-08002B2CF9AE}" pid="19" name="TYPE_N_DATE">
    <vt:lpwstr>41020110213</vt:lpwstr>
  </property>
  <property fmtid="{D5CDD505-2E9C-101B-9397-08002B2CF9AE}" pid="20" name="WORDNUMPAGES">
    <vt:lpwstr>4</vt:lpwstr>
  </property>
</Properties>
</file>