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/>
      </w:pPr>
      <w:r>
        <w:rPr>
          <w:b/>
          <w:bCs/>
          <w:rtl w:val="true"/>
        </w:rPr>
        <w:t xml:space="preserve"> </w:t>
      </w:r>
    </w:p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"/>
                <w:b/>
                <w:bCs/>
                <w:sz w:val="28"/>
                <w:szCs w:val="28"/>
              </w:rPr>
              <w:t>7124/16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המשנה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לנשיאה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רובינשטיין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פוגלמן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ברון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bookmarkStart w:id="1" w:name="LastJudge"/>
      <w:bookmarkEnd w:id="1"/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וסאם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זידאן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"/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מרכז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  <w:rtl w:val="true"/>
              </w:rPr>
              <w:t>(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א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לורך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)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28.7.16</w:t>
            </w:r>
            <w:r>
              <w:rPr>
                <w:rFonts w:cs="David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בת</w:t>
            </w:r>
            <w:r>
              <w:rPr>
                <w:rFonts w:cs="David"/>
                <w:sz w:val="24"/>
                <w:szCs w:val="24"/>
                <w:rtl w:val="true"/>
              </w:rPr>
              <w:t>"</w:t>
            </w:r>
            <w:r>
              <w:rPr>
                <w:rFonts w:cs="David"/>
                <w:sz w:val="24"/>
                <w:sz w:val="24"/>
                <w:szCs w:val="24"/>
                <w:rtl w:val="true"/>
              </w:rPr>
              <w:t>פ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"/>
                <w:sz w:val="24"/>
                <w:szCs w:val="24"/>
              </w:rPr>
              <w:t>189-01-16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FrankRuehl"/>
          <w:sz w:val="24"/>
          <w:sz w:val="24"/>
          <w:szCs w:val="24"/>
          <w:rtl w:val="true"/>
        </w:rPr>
        <w:t>תאריך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4"/>
          <w:sz w:val="24"/>
          <w:szCs w:val="24"/>
          <w:rtl w:val="true"/>
        </w:rPr>
        <w:t>הישיבה</w:t>
      </w:r>
      <w:r>
        <w:rPr>
          <w:rFonts w:cs="FrankRuehl"/>
          <w:sz w:val="24"/>
          <w:szCs w:val="24"/>
          <w:rtl w:val="true"/>
        </w:rPr>
        <w:t>:</w:t>
      </w:r>
      <w:r>
        <w:rPr>
          <w:rFonts w:cs="FrankRuehl"/>
          <w:sz w:val="28"/>
          <w:szCs w:val="28"/>
          <w:rtl w:val="true"/>
        </w:rPr>
        <w:t xml:space="preserve">                        </w:t>
      </w:r>
      <w:r>
        <w:rPr>
          <w:rFonts w:cs="FrankRuehl"/>
          <w:sz w:val="24"/>
          <w:sz w:val="24"/>
          <w:szCs w:val="24"/>
          <w:rtl w:val="true"/>
        </w:rPr>
        <w:t>כ</w:t>
      </w:r>
      <w:r>
        <w:rPr>
          <w:rFonts w:cs="FrankRuehl"/>
          <w:sz w:val="24"/>
          <w:szCs w:val="24"/>
          <w:rtl w:val="true"/>
        </w:rPr>
        <w:t>"</w:t>
      </w:r>
      <w:r>
        <w:rPr>
          <w:rFonts w:cs="FrankRuehl"/>
          <w:sz w:val="24"/>
          <w:sz w:val="24"/>
          <w:szCs w:val="24"/>
          <w:rtl w:val="true"/>
        </w:rPr>
        <w:t>ה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4"/>
          <w:sz w:val="24"/>
          <w:szCs w:val="24"/>
          <w:rtl w:val="true"/>
        </w:rPr>
        <w:t>בטבת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4"/>
          <w:sz w:val="24"/>
          <w:szCs w:val="24"/>
          <w:rtl w:val="true"/>
        </w:rPr>
        <w:t>התשע</w:t>
      </w:r>
      <w:r>
        <w:rPr>
          <w:rFonts w:cs="FrankRuehl"/>
          <w:sz w:val="24"/>
          <w:szCs w:val="24"/>
          <w:rtl w:val="true"/>
        </w:rPr>
        <w:t>"</w:t>
      </w:r>
      <w:r>
        <w:rPr>
          <w:rFonts w:cs="FrankRuehl"/>
          <w:sz w:val="24"/>
          <w:sz w:val="24"/>
          <w:szCs w:val="24"/>
          <w:rtl w:val="true"/>
        </w:rPr>
        <w:t>ז</w:t>
      </w:r>
      <w:r>
        <w:rPr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4"/>
          <w:szCs w:val="24"/>
          <w:rtl w:val="true"/>
        </w:rPr>
        <w:t>(</w:t>
      </w:r>
      <w:r>
        <w:rPr>
          <w:rFonts w:cs="FrankRuehl"/>
          <w:sz w:val="24"/>
          <w:szCs w:val="24"/>
        </w:rPr>
        <w:t>23.1.17</w:t>
      </w:r>
      <w:r>
        <w:rPr>
          <w:rFonts w:cs="FrankRuehl"/>
          <w:sz w:val="24"/>
          <w:szCs w:val="24"/>
          <w:rtl w:val="true"/>
        </w:rPr>
        <w:t>)</w:t>
      </w:r>
    </w:p>
    <w:p>
      <w:pPr>
        <w:pStyle w:val="Ruller31"/>
        <w:ind w:end="0"/>
        <w:jc w:val="start"/>
        <w:rPr/>
      </w:pPr>
      <w:r>
        <w:rPr>
          <w:rFonts w:cs="FrankRuehl"/>
          <w:sz w:val="28"/>
          <w:sz w:val="28"/>
          <w:szCs w:val="28"/>
          <w:rtl w:val="true"/>
        </w:rPr>
        <w:t>בשם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:                      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יוסף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שלבי</w:t>
      </w:r>
      <w:r>
        <w:rPr>
          <w:sz w:val="28"/>
          <w:sz w:val="28"/>
          <w:szCs w:val="28"/>
          <w:rtl w:val="true"/>
        </w:rPr>
        <w:t xml:space="preserve"> </w:t>
      </w:r>
    </w:p>
    <w:p>
      <w:pPr>
        <w:pStyle w:val="Ruller31"/>
        <w:ind w:end="0"/>
        <w:jc w:val="start"/>
        <w:rPr/>
      </w:pPr>
      <w:bookmarkStart w:id="3" w:name="FirstLawyer"/>
      <w:r>
        <w:rPr>
          <w:rFonts w:cs="FrankRuehl"/>
          <w:sz w:val="28"/>
          <w:sz w:val="28"/>
          <w:szCs w:val="28"/>
          <w:rtl w:val="true"/>
        </w:rPr>
        <w:t>בשם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</w:t>
      </w:r>
      <w:bookmarkEnd w:id="3"/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cs="FrankRuehl"/>
          <w:sz w:val="28"/>
          <w:szCs w:val="28"/>
          <w:rtl w:val="true"/>
        </w:rPr>
        <w:t xml:space="preserve">:                       </w:t>
      </w:r>
      <w:r>
        <w:rPr>
          <w:rFonts w:cs="FrankRuehl"/>
          <w:sz w:val="28"/>
          <w:sz w:val="28"/>
          <w:szCs w:val="28"/>
          <w:rtl w:val="true"/>
        </w:rPr>
        <w:t>עו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ד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עודד</w:t>
      </w:r>
      <w:r>
        <w:rPr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ציון</w:t>
      </w:r>
    </w:p>
    <w:p>
      <w:pPr>
        <w:pStyle w:val="Normal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4" w:name="PsakDin"/>
            <w:bookmarkStart w:id="5" w:name="secretary"/>
            <w:bookmarkStart w:id="6" w:name="BeginProtocol"/>
            <w:bookmarkEnd w:id="4"/>
            <w:bookmarkEnd w:id="5"/>
            <w:bookmarkEnd w:id="6"/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Ruller4"/>
        <w:ind w:end="0"/>
        <w:jc w:val="both"/>
        <w:rPr/>
      </w:pPr>
      <w:bookmarkStart w:id="7" w:name="Start_Write"/>
      <w:bookmarkEnd w:id="7"/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בהמלצתנו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שמיעת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חזר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מערעורו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נמחק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מקוים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לקחו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ישוב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שבמשך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ארוכה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נמנע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לפרשיות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שבתיק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>, ‏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בטבת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23.1.2017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Fonts w:cs="FrankRuehl"/>
                <w:color w:val="FFFFFF"/>
                <w:sz w:val="2"/>
                <w:szCs w:val="2"/>
              </w:rPr>
              <w:t>54678313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המשנה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לנשיאה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</w:tr>
    </w:tbl>
    <w:p>
      <w:pPr>
        <w:pStyle w:val="Ruller4"/>
        <w:ind w:end="0"/>
        <w:jc w:val="both"/>
        <w:rPr/>
      </w:pPr>
      <w:r>
        <w:rPr>
          <w:rFonts w:eastAsia="Arial TUR" w:cs="Arial TUR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וניסוח</w:t>
      </w:r>
      <w:r>
        <w:rPr>
          <w:rFonts w:cs="David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16071240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T01.doc</w:t>
      </w:r>
      <w:r>
        <w:rPr>
          <w:sz w:val="16"/>
          <w:szCs w:val="16"/>
          <w:rtl w:val="true"/>
        </w:rPr>
        <w:t xml:space="preserve">   </w:t>
      </w:r>
      <w:r>
        <w:rPr>
          <w:rFonts w:cs="David"/>
          <w:sz w:val="16"/>
          <w:sz w:val="16"/>
          <w:szCs w:val="16"/>
          <w:rtl w:val="true"/>
        </w:rPr>
        <w:t>רח</w:t>
      </w:r>
    </w:p>
    <w:p>
      <w:pPr>
        <w:pStyle w:val="Ruller381"/>
        <w:ind w:end="0"/>
        <w:jc w:val="start"/>
        <w:rPr/>
      </w:pPr>
      <w:r>
        <w:rPr>
          <w:rFonts w:cs="David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מידע</w:t>
      </w:r>
      <w:r>
        <w:rPr>
          <w:rFonts w:cs="David"/>
          <w:sz w:val="16"/>
          <w:szCs w:val="16"/>
          <w:rtl w:val="true"/>
        </w:rPr>
        <w:t xml:space="preserve">, </w:t>
      </w:r>
      <w:r>
        <w:rPr>
          <w:rFonts w:cs="David"/>
          <w:sz w:val="16"/>
          <w:sz w:val="16"/>
          <w:szCs w:val="16"/>
          <w:rtl w:val="true"/>
        </w:rPr>
        <w:t>טל</w:t>
      </w:r>
      <w:r>
        <w:rPr>
          <w:rFonts w:cs="David"/>
          <w:sz w:val="16"/>
          <w:szCs w:val="16"/>
          <w:rtl w:val="true"/>
        </w:rPr>
        <w:t xml:space="preserve">' </w:t>
      </w:r>
      <w:r>
        <w:rPr>
          <w:rFonts w:cs="David"/>
          <w:sz w:val="16"/>
          <w:szCs w:val="16"/>
        </w:rPr>
        <w:t>077-2703333</w:t>
      </w:r>
      <w:r>
        <w:rPr>
          <w:rFonts w:cs="David"/>
          <w:sz w:val="16"/>
          <w:szCs w:val="16"/>
          <w:rtl w:val="true"/>
        </w:rPr>
        <w:t xml:space="preserve"> ; </w:t>
      </w:r>
      <w:r>
        <w:rPr>
          <w:rFonts w:cs="David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"/>
          <w:sz w:val="16"/>
          <w:sz w:val="16"/>
          <w:szCs w:val="16"/>
          <w:rtl w:val="true"/>
        </w:rPr>
        <w:t>אינטרנט</w:t>
      </w:r>
      <w:r>
        <w:rPr>
          <w:rFonts w:cs="David"/>
          <w:sz w:val="16"/>
          <w:szCs w:val="16"/>
          <w:rtl w:val="true"/>
        </w:rPr>
        <w:t xml:space="preserve">,  </w:t>
      </w:r>
      <w:hyperlink r:id="rId2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</w:rPr>
      </w:pPr>
      <w:r>
        <w:rPr>
          <w:rFonts w:ascii="David" w:hAnsi="David" w:cs="David"/>
          <w:color w:val="000000"/>
          <w:rtl w:val="true"/>
        </w:rPr>
        <w:t>ע</w:t>
      </w:r>
      <w:r>
        <w:rPr>
          <w:rFonts w:cs="David" w:ascii="David" w:hAnsi="David"/>
          <w:color w:val="000000"/>
          <w:rtl w:val="true"/>
        </w:rPr>
        <w:t xml:space="preserve">' </w:t>
      </w:r>
      <w:r>
        <w:rPr>
          <w:rFonts w:ascii="David" w:hAnsi="David" w:cs="David"/>
          <w:color w:val="000000"/>
          <w:rtl w:val="true"/>
        </w:rPr>
        <w:t xml:space="preserve">פוגלמן </w:t>
      </w:r>
      <w:r>
        <w:rPr>
          <w:rFonts w:cs="David" w:ascii="David" w:hAnsi="David"/>
          <w:color w:val="000000"/>
        </w:rPr>
        <w:t>54678313-7124/16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hyperlink r:id="rId3"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"/>
          <w:color w:val="0000FF"/>
          <w:szCs w:val="24"/>
          <w:u w:val="single"/>
        </w:rPr>
      </w:pPr>
      <w:r>
        <w:rPr>
          <w:rFonts w:cs="David"/>
          <w:color w:val="0000FF"/>
          <w:szCs w:val="24"/>
          <w:u w:val="single"/>
          <w:rtl w:val="true"/>
        </w:rPr>
      </w:r>
    </w:p>
    <w:sectPr>
      <w:headerReference w:type="default" r:id="rId4"/>
      <w:footerReference w:type="default" r:id="rId5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2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 w:cs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7124/16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וסאם זידאן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 w:cs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"/>
    </w:rPr>
  </w:style>
  <w:style w:type="character" w:styleId="Ruller38">
    <w:name w:val="סגנון Ruller 3 + (מורכב) ‏8 נק תו"/>
    <w:basedOn w:val="DefaultParagraphFont"/>
    <w:qFormat/>
    <w:rPr>
      <w:rFonts w:cs="David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Arial TUR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" w:hAnsi="Arial TUR" w:cs="Arial TUR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" w:hAnsi="Arial TUR" w:cs="Arial TUR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court.gov.il/" TargetMode="External"/><Relationship Id="rId3" Type="http://schemas.openxmlformats.org/officeDocument/2006/relationships/hyperlink" Target="http://www.nevo.co.il/advertisements/nevo-100.doc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2017-01-24T09:26:00Z</dcterms:created>
  <dc:creator> </dc:creator>
  <dc:description/>
  <cp:keywords/>
  <dc:language>en-IL</dc:language>
  <cp:lastModifiedBy>Hofit</cp:lastModifiedBy>
  <dcterms:modified xsi:type="dcterms:W3CDTF">2017-01-24T09:26:00Z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וסאם זידאן</vt:lpwstr>
  </property>
  <property fmtid="{D5CDD505-2E9C-101B-9397-08002B2CF9AE}" pid="3" name="APPELLEE">
    <vt:lpwstr>מדינת ישראל</vt:lpwstr>
  </property>
  <property fmtid="{D5CDD505-2E9C-101B-9397-08002B2CF9AE}" pid="4" name="DATE">
    <vt:lpwstr>20170123</vt:lpwstr>
  </property>
  <property fmtid="{D5CDD505-2E9C-101B-9397-08002B2CF9AE}" pid="5" name="JUDGE">
    <vt:lpwstr>ע' פוגלמן;ע' ברון;ה א' רובינשטיין</vt:lpwstr>
  </property>
  <property fmtid="{D5CDD505-2E9C-101B-9397-08002B2CF9AE}" pid="6" name="LAWYER">
    <vt:lpwstr>עודד ציון;יוסף שלבי</vt:lpwstr>
  </property>
  <property fmtid="{D5CDD505-2E9C-101B-9397-08002B2CF9AE}" pid="7" name="PROCESS">
    <vt:lpwstr>עפ</vt:lpwstr>
  </property>
  <property fmtid="{D5CDD505-2E9C-101B-9397-08002B2CF9AE}" pid="8" name="PROCNUM">
    <vt:lpwstr>7124</vt:lpwstr>
  </property>
  <property fmtid="{D5CDD505-2E9C-101B-9397-08002B2CF9AE}" pid="9" name="PROCYEAR">
    <vt:lpwstr>16</vt:lpwstr>
  </property>
  <property fmtid="{D5CDD505-2E9C-101B-9397-08002B2CF9AE}" pid="10" name="PSAKDIN">
    <vt:lpwstr>פסק-דין</vt:lpwstr>
  </property>
  <property fmtid="{D5CDD505-2E9C-101B-9397-08002B2CF9AE}" pid="11" name="TYPE">
    <vt:lpwstr>1</vt:lpwstr>
  </property>
  <property fmtid="{D5CDD505-2E9C-101B-9397-08002B2CF9AE}" pid="12" name="TYPE_ABS_DATE">
    <vt:lpwstr>410020170123</vt:lpwstr>
  </property>
  <property fmtid="{D5CDD505-2E9C-101B-9397-08002B2CF9AE}" pid="13" name="TYPE_N_DATE">
    <vt:lpwstr>41020170123</vt:lpwstr>
  </property>
  <property fmtid="{D5CDD505-2E9C-101B-9397-08002B2CF9AE}" pid="14" name="WORDNUMPAGES">
    <vt:lpwstr>1</vt:lpwstr>
  </property>
</Properties>
</file>