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spacing w:after="100"/>
      </w:pPr>
      <w:r>
        <w:rPr>
          <w:rFonts w:ascii="Times New Roman" w:hAnsi="Times New Roman" w:cs="Times New Roman"/>
          <w:sz w:val="24"/>
          <w:sz-cs w:val="24"/>
        </w:rPr>
        <w:t xml:space="preserve">  ערעור פלילי  00 / 7510</w:t>
      </w:r>
    </w:p>
    <w:p>
      <w:pPr>
        <w:bidi/>
        <w:spacing w:after="240"/>
      </w:pPr>
      <w:r>
        <w:rPr>
          <w:rFonts w:ascii="Times New Roman" w:hAnsi="Times New Roman" w:cs="Times New Roman"/>
          <w:sz w:val="24"/>
          <w:sz-cs w:val="24"/>
        </w:rPr>
        <w:t xml:space="preserve">ערעור פלילי  00 / 8329</w:t>
      </w:r>
    </w:p>
    <w:p>
      <w:pPr>
        <w:jc w:val="both"/>
        <w:bidi/>
        <w:spacing w:after="100"/>
      </w:pPr>
      <w:r>
        <w:rPr>
          <w:rFonts w:ascii="Times New Roman" w:hAnsi="Times New Roman" w:cs="Times New Roman"/>
          <w:sz w:val="22"/>
          <w:sz-cs w:val="22"/>
        </w:rPr>
        <w:t xml:space="preserve">אליהו במנוקלר </w:t>
      </w:r>
    </w:p>
    <w:p>
      <w:pPr>
        <w:jc w:val="both"/>
        <w:bidi/>
        <w:spacing w:after="100"/>
      </w:pPr>
      <w:r>
        <w:rPr>
          <w:rFonts w:ascii="Times New Roman" w:hAnsi="Times New Roman" w:cs="Times New Roman"/>
          <w:sz w:val="22"/>
          <w:sz-cs w:val="22"/>
        </w:rPr>
        <w:t xml:space="preserve">נגד</w:t>
      </w:r>
    </w:p>
    <w:p>
      <w:pPr>
        <w:jc w:val="both"/>
        <w:bidi/>
        <w:spacing w:after="100"/>
      </w:pPr>
      <w:r>
        <w:rPr>
          <w:rFonts w:ascii="Times New Roman" w:hAnsi="Times New Roman" w:cs="Times New Roman"/>
          <w:sz w:val="22"/>
          <w:sz-cs w:val="22"/>
        </w:rPr>
        <w:t xml:space="preserve">מדינת ישראל</w:t>
        <w:tab/>
        <w:t xml:space="preserve"/>
        <w:tab/>
        <w:t xml:space="preserve"/>
        <w:tab/>
        <w:t xml:space="preserve"/>
        <w:tab/>
        <w:t xml:space="preserve"/>
      </w:r>
      <w:r>
        <w:rPr>
          <w:rFonts w:ascii="Times New Roman" w:hAnsi="Times New Roman" w:cs="Times New Roman"/>
          <w:sz w:val="22"/>
          <w:sz-cs w:val="22"/>
          <w:u w:val="single"/>
          <w:color w:val="0000FF"/>
        </w:rPr>
        <w:t xml:space="preserve"> HYPERLINK "http://www.nevo.co.il/case/5689137" ע"פ 7510/00</w:t>
      </w:r>
    </w:p>
    <w:p>
      <w:pPr>
        <w:jc w:val="both"/>
        <w:bidi/>
        <w:spacing w:after="100"/>
      </w:pPr>
      <w:r>
        <w:rPr>
          <w:rFonts w:ascii="Times New Roman" w:hAnsi="Times New Roman" w:cs="Times New Roman"/>
          <w:sz w:val="22"/>
          <w:sz-cs w:val="22"/>
        </w:rPr>
        <w:t xml:space="preserve">מדינת ישראל</w:t>
      </w:r>
    </w:p>
    <w:p>
      <w:pPr>
        <w:jc w:val="both"/>
        <w:bidi/>
        <w:spacing w:after="100"/>
      </w:pPr>
      <w:r>
        <w:rPr>
          <w:rFonts w:ascii="Times New Roman" w:hAnsi="Times New Roman" w:cs="Times New Roman"/>
          <w:sz w:val="22"/>
          <w:sz-cs w:val="22"/>
        </w:rPr>
        <w:t xml:space="preserve">נגד</w:t>
      </w:r>
    </w:p>
    <w:p>
      <w:pPr>
        <w:jc w:val="center"/>
        <w:bidi/>
        <w:spacing w:before="360"/>
      </w:pPr>
      <w:r>
        <w:rPr>
          <w:rFonts w:ascii="Times New Roman" w:hAnsi="Times New Roman" w:cs="Times New Roman"/>
          <w:sz w:val="24"/>
          <w:sz-cs w:val="24"/>
        </w:rPr>
        <w:t xml:space="preserve">אליהו במנוקלר</w:t>
        <w:tab/>
        <w:t xml:space="preserve"/>
        <w:tab/>
        <w:t xml:space="preserve"/>
        <w:tab/>
        <w:t xml:space="preserve"/>
        <w:tab/>
        <w:t xml:space="preserve"/>
      </w:r>
      <w:r>
        <w:rPr>
          <w:rFonts w:ascii="Times New Roman" w:hAnsi="Times New Roman" w:cs="Times New Roman"/>
          <w:sz w:val="24"/>
          <w:sz-cs w:val="24"/>
          <w:u w:val="single"/>
          <w:color w:val="0000FF"/>
        </w:rPr>
        <w:t xml:space="preserve"> HYPERLINK "http://www.nevo.co.il/case/5689140" </w:t>
      </w:r>
      <w:r>
        <w:rPr>
          <w:rFonts w:ascii="Times New Roman" w:hAnsi="Times New Roman" w:cs="Times New Roman"/>
          <w:sz w:val="22"/>
          <w:sz-cs w:val="22"/>
          <w:u w:val="single"/>
          <w:color w:val="0000FF"/>
        </w:rPr>
        <w:t xml:space="preserve">ע"פ 8329/00</w:t>
      </w:r>
    </w:p>
    <w:p>
      <w:pPr>
        <w:jc w:val="center"/>
        <w:bidi/>
        <w:spacing w:before="360"/>
      </w:pPr>
      <w:r>
        <w:rPr>
          <w:rFonts w:ascii="Times New Roman" w:hAnsi="Times New Roman" w:cs="Times New Roman"/>
          <w:sz w:val="24"/>
          <w:sz-cs w:val="24"/>
        </w:rPr>
        <w:t xml:space="preserve">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העליון בשבתו כבית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לערעורים פליליים </w:t>
      </w:r>
    </w:p>
    <w:p>
      <w:pPr>
        <w:jc w:val="center"/>
        <w:bidi/>
        <w:spacing w:after="120"/>
      </w:pPr>
      <w:r>
        <w:rPr>
          <w:rFonts w:ascii="Times New Roman" w:hAnsi="Times New Roman" w:cs="Times New Roman"/>
          <w:sz w:val="24"/>
          <w:sz-cs w:val="24"/>
        </w:rPr>
        <w:t xml:space="preserve">[9.5.2002]</w:t>
      </w:r>
    </w:p>
    <w:p>
      <w:pPr>
        <w:jc w:val="center"/>
        <w:bidi/>
        <w:spacing w:after="360"/>
      </w:pPr>
      <w:r>
        <w:rPr>
          <w:rFonts w:ascii="Times New Roman" w:hAnsi="Times New Roman" w:cs="Times New Roman"/>
          <w:sz w:val="24"/>
          <w:sz-cs w:val="24"/>
        </w:rPr>
        <w:t xml:space="preserve">לפני הנשיא  </w:t>
      </w:r>
      <w:r>
        <w:rPr>
          <w:rFonts w:ascii="Times New Roman" w:hAnsi="Times New Roman" w:cs="Times New Roman"/>
          <w:sz w:val="24"/>
          <w:sz-cs w:val="24"/>
          <w:spacing w:val="20"/>
        </w:rPr>
        <w:t xml:space="preserve">א' ברק </w:t>
      </w:r>
      <w:r>
        <w:rPr>
          <w:rFonts w:ascii="Times New Roman" w:hAnsi="Times New Roman" w:cs="Times New Roman"/>
          <w:sz w:val="24"/>
          <w:sz-cs w:val="24"/>
        </w:rPr>
        <w:t xml:space="preserve"> והשופטים </w:t>
      </w:r>
      <w:r>
        <w:rPr>
          <w:rFonts w:ascii="Times New Roman" w:hAnsi="Times New Roman" w:cs="Times New Roman"/>
          <w:sz w:val="24"/>
          <w:sz-cs w:val="24"/>
          <w:spacing w:val="20"/>
        </w:rPr>
        <w:t xml:space="preserve"> ת' אור,  א' מצא,  מ' חשין,  </w:t>
        <w:br/>
        <w:t xml:space="preserve">ד' דורנר,  ד' ביניש,  א' א' לוי</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השאלה הנדונה בערעור היא אם ביצועה של עבירה נוספת בתקופה שבה נדחה ביצועו של עונש מאסר שנגזר על נאשם יביא להפעלת עונש של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שנגזר עליו</w:t>
      </w:r>
      <w:r>
        <w:rPr>
          <w:rFonts w:ascii="Times New Roman" w:hAnsi="Times New Roman" w:cs="Times New Roman"/>
          <w:sz w:val="18"/>
          <w:sz-cs w:val="18"/>
        </w:rPr>
        <w:t xml:space="preserve">.</w:t>
      </w:r>
    </w:p>
    <w:p>
      <w:pPr>
        <w:jc w:val="both"/>
        <w:bidi/>
        <w:ind w:right="340"/>
        <w:spacing w:before="240"/>
      </w:pPr>
      <w:r>
        <w:rPr>
          <w:rFonts w:ascii="Times New Roman" w:hAnsi="Times New Roman" w:cs="Times New Roman"/>
          <w:sz w:val="22"/>
          <w:sz-cs w:val="22"/>
        </w:rPr>
        <w:t xml:space="preserve">בית</w:t>
      </w:r>
      <w:r>
        <w:rPr>
          <w:rFonts w:ascii="Times New Roman" w:hAnsi="Times New Roman" w:cs="Times New Roman"/>
          <w:sz w:val="22"/>
          <w:sz-cs w:val="22"/>
          <w:position w:val="3"/>
        </w:rPr>
        <w:t xml:space="preserve">-</w:t>
      </w:r>
      <w:r>
        <w:rPr>
          <w:rFonts w:ascii="Times New Roman" w:hAnsi="Times New Roman" w:cs="Times New Roman"/>
          <w:sz w:val="22"/>
          <w:sz-cs w:val="22"/>
        </w:rPr>
        <w:t xml:space="preserve">המשפט העליון פסק:</w:t>
      </w:r>
    </w:p>
    <w:p>
      <w:pPr>
        <w:jc w:val="both"/>
        <w:bidi/>
        <w:ind w:right="680"/>
      </w:pPr>
      <w:r>
        <w:rPr>
          <w:rFonts w:ascii="Times New Roman" w:hAnsi="Times New Roman" w:cs="Times New Roman"/>
          <w:sz w:val="24"/>
          <w:sz-cs w:val="24"/>
        </w:rPr>
        <w:t xml:space="preserve">א.</w:t>
        <w:tab/>
        <w:t xml:space="preserve">(1)</w:t>
        <w:tab/>
        <w:t xml:space="preserve">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עונשין</w:t>
      </w:r>
      <w:r>
        <w:rPr>
          <w:rFonts w:ascii="Times New Roman" w:hAnsi="Times New Roman" w:cs="Times New Roman"/>
          <w:sz w:val="24"/>
          <w:sz-cs w:val="24"/>
        </w:rPr>
        <w:t xml:space="preserve">, תשל"ז-1977 (להלן – החוק), שעניינו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w:t>
      </w:r>
      <w:r>
        <w:rPr>
          <w:rFonts w:ascii="Times New Roman" w:hAnsi="Times New Roman" w:cs="Times New Roman"/>
          <w:sz w:val="22"/>
          <w:sz-cs w:val="22"/>
        </w:rPr>
        <w:t xml:space="preserve">מגדיר שתי תקופות שונות שבהן חל התנאי: התקופה הראשונה היא תקופת התנאי</w:t>
      </w:r>
      <w:r>
        <w:rPr>
          <w:rFonts w:ascii="Times New Roman" w:hAnsi="Times New Roman" w:cs="Times New Roman"/>
          <w:sz w:val="24"/>
          <w:sz-cs w:val="24"/>
        </w:rPr>
        <w:t xml:space="preserve"> שקבע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והיא מכונה "תקופת התנאי השיפוטית". תקופה זו תתחיל ביום מתן גזר</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הדין, ואם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מוטל על נידון הנושא אותו זמן עונש מאסר, או שגזר</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הדין הטיל עליו עונש של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לצד עונש של מאסר בפועל, תחול תקופת התנאי השיפוטית החל ביום שחרורו ממאסר. כתוצאה מכך התנאי השיפוטי אינו חל על תקופת המאסר בפועל (266ב – ז).</w:t>
      </w:r>
    </w:p>
    <w:p>
      <w:pPr>
        <w:jc w:val="both"/>
        <w:bidi/>
        <w:ind w:right="680"/>
      </w:pPr>
      <w:r>
        <w:rPr>
          <w:rFonts w:ascii="Times New Roman" w:hAnsi="Times New Roman" w:cs="Times New Roman"/>
          <w:sz w:val="24"/>
          <w:sz-cs w:val="24"/>
        </w:rPr>
        <w:t xml:space="preserve"/>
        <w:tab/>
        <w:t xml:space="preserve">(2)</w:t>
        <w:tab/>
        <w:t xml:space="preserve">התקופה השנייה המוגדרת בחוק כתקופת תנאי המצטברת לתקופת התנאי שקבע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היא תקופה שבה האסיר טרם שוחרר ממאסר בפועל, אך הלכה למעשה הוא אינו מצוי בבית סוהר. היות שתקופות אלה אינן נכללות בתקופת התנאי שגוזר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אלא נוספות עליה מכוח החוק, כונו תקופות אלה "תקופות התנאי הסטטוטוריות" (266ז – 267א). </w:t>
      </w:r>
    </w:p>
    <w:p>
      <w:pPr>
        <w:jc w:val="both"/>
        <w:bidi/>
        <w:ind w:right="680"/>
      </w:pPr>
      <w:r>
        <w:rPr>
          <w:rFonts w:ascii="Times New Roman" w:hAnsi="Times New Roman" w:cs="Times New Roman"/>
          <w:sz w:val="24"/>
          <w:sz-cs w:val="24"/>
        </w:rPr>
        <w:t xml:space="preserve"/>
        <w:br w:type="page"/>
        <w:t xml:space="preserve"/>
        <w:tab/>
        <w:t xml:space="preserve">(3)</w:t>
        <w:tab/>
        <w:t xml:space="preserve">סעיף 52(ג) לחוק מונה שלוש תקופות שונות הנכללות במסגרת תקופות התנאי </w:t>
      </w:r>
      <w:r>
        <w:rPr>
          <w:rFonts w:ascii="Times New Roman" w:hAnsi="Times New Roman" w:cs="Times New Roman"/>
          <w:sz w:val="22"/>
          <w:sz-cs w:val="22"/>
        </w:rPr>
        <w:t xml:space="preserve">הסטטוטוריות: האחת, תקופה שבה אסיר משוחרר בערובה; השנייה, תקופה שבה</w:t>
      </w:r>
      <w:r>
        <w:rPr>
          <w:rFonts w:ascii="Times New Roman" w:hAnsi="Times New Roman" w:cs="Times New Roman"/>
          <w:sz w:val="24"/>
          <w:sz-cs w:val="24"/>
        </w:rPr>
        <w:t xml:space="preserve"> האסיר נמצא בחופשה מיוחדת; השלישית, תקופה שבה אסיר משוחרר, כשהוא מרצה מאסרו בעבודות שירות (267ב – ג). </w:t>
      </w:r>
    </w:p>
    <w:p>
      <w:pPr>
        <w:jc w:val="both"/>
        <w:bidi/>
        <w:ind w:right="680"/>
      </w:pPr>
      <w:r>
        <w:rPr>
          <w:rFonts w:ascii="Times New Roman" w:hAnsi="Times New Roman" w:cs="Times New Roman"/>
          <w:sz w:val="24"/>
          <w:sz-cs w:val="24"/>
        </w:rPr>
        <w:t xml:space="preserve">ב.</w:t>
        <w:tab/>
        <w:t xml:space="preserve">(1)</w:t>
        <w:tab/>
        <w:t xml:space="preserve">ההסדר שנקבע בסעיף 52(ג) לחוק ביטא את הכלל הרחב, שלפיו עם גזירת הדין יחל הנאשם לרצות את עונשו. בהתאם לכך נקבע בסעיף כי מיום גזר</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הדין כפוף הנאשם לתנאי שהוטל עליו בגזר</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דינו. החריג לכלל קבע כי במצב שבו נגזר עונש של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על נאשם המצוי במאסר, תידחה תחילת תקופת התנאי השיפוטית עד למועד שחרורו מן המאסר. חריג זה נועד לשמור על האפקטיביות של התנאי במצב שבו הנאשם מרצה עונש מאסר. התוספת לסעיף, תקופת התנאי הסטטוטורית, נועדה לגשר על תקופות שבהן האסיר עדיין אינו משוחרר ממאסרו, אולם נמצא באופן זמני מחוץ לכלא מסיבות שונות. בתקופות אלה הנידון חופשי, ולכן הוא עלול לבצע עבירות, אולם תקופת התנאי השיפוטית עדיין אינה חלה עליו, שכן היא נדחית עד לשחרור סופי מן המאסר (268ה – ז, 270ב – ד). </w:t>
      </w:r>
    </w:p>
    <w:p>
      <w:pPr>
        <w:jc w:val="both"/>
        <w:bidi/>
        <w:ind w:right="680"/>
      </w:pPr>
      <w:r>
        <w:rPr>
          <w:rFonts w:ascii="Times New Roman" w:hAnsi="Times New Roman" w:cs="Times New Roman"/>
          <w:sz w:val="24"/>
          <w:sz-cs w:val="24"/>
        </w:rPr>
        <w:t xml:space="preserve"/>
        <w:tab/>
        <w:t xml:space="preserve">(2)</w:t>
        <w:tab/>
        <w:t xml:space="preserve">נידון שנגזרו עליו עונש מאסר בפועל ומאסר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אולם בטרם נכנס לבית הסוהר עוכב עונש המאסר שנגזר עליו, תקופת התנאי השיפוטית תחול רק עם שחרורו מן המאסר, ועל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כן אינה חלה עליו בעת עיכוב הביצוע טרם</w:t>
      </w:r>
      <w:r>
        <w:rPr>
          <w:rFonts w:ascii="Times New Roman" w:hAnsi="Times New Roman" w:cs="Times New Roman"/>
          <w:sz w:val="24"/>
          <w:sz-cs w:val="24"/>
          <w:b/>
        </w:rPr>
        <w:t xml:space="preserve"> </w:t>
      </w:r>
      <w:r>
        <w:rPr>
          <w:rFonts w:ascii="Times New Roman" w:hAnsi="Times New Roman" w:cs="Times New Roman"/>
          <w:sz w:val="24"/>
          <w:sz-cs w:val="24"/>
        </w:rPr>
        <w:t xml:space="preserve">מאסרו (271א – ג). </w:t>
      </w:r>
    </w:p>
    <w:p>
      <w:pPr>
        <w:jc w:val="both"/>
        <w:bidi/>
        <w:ind w:right="680"/>
      </w:pPr>
      <w:r>
        <w:rPr>
          <w:rFonts w:ascii="Times New Roman" w:hAnsi="Times New Roman" w:cs="Times New Roman"/>
          <w:sz w:val="24"/>
          <w:sz-cs w:val="24"/>
        </w:rPr>
        <w:t xml:space="preserve"/>
        <w:tab/>
        <w:t xml:space="preserve">(3)</w:t>
        <w:tab/>
        <w:t xml:space="preserve">טעם אחד שלא להחיל תקופת תנאי שיפוטית בעת דחיית ביצוע עד למתן פסק</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הדין בערעור הוא כי דחיית ביצוע העונש בדרך</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כלל, ואם לא נאמר אחרת, כשמה כן היא – דוחה את העונש על כל חלקיו (271ו).</w:t>
      </w:r>
    </w:p>
    <w:p>
      <w:pPr>
        <w:jc w:val="both"/>
        <w:bidi/>
        <w:ind w:right="680"/>
      </w:pPr>
      <w:r>
        <w:rPr>
          <w:rFonts w:ascii="Times New Roman" w:hAnsi="Times New Roman" w:cs="Times New Roman"/>
          <w:sz w:val="24"/>
          <w:sz-cs w:val="24"/>
        </w:rPr>
        <w:t xml:space="preserve"/>
        <w:tab/>
        <w:t xml:space="preserve">(4)</w:t>
        <w:tab/>
        <w:t xml:space="preserve">הטעם הנוסף שלא להחיל את תקופת התנאי השיפוטית בעת דחיית ביצוע העונש עד לשמיעת הערעור הוא כי החלת תקופת התנאי השיפוטית בעת דחיית הביצוע עלולה להביא לכך שעונש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יפוצל – חלקו יחול בתקופה שעד לתחילת ריצוי המאסר בפועל, וחלקו האחר יחול לאחר סיום ריצוי המאסר בפועל. תוצאה זו נוגדת את התכלית החקיקתית של סעיף 52(ג) לחוק, שהרי לו סבר המחוקק כי ניתן לפצל את עונש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לא היה רואה לקבוע כי תקופות התנאי המנויות בסיפה של סעיף 52(ג) לחוק יחולו באופן מצטבר לתקופת התנאי השיפוטית. לכך יש להוסיף כי גם מבחינה מעשית פיצול תקופת התנאי השיפוטית עלול להביא לאי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בהירות, שתפחית מכוחה המרתיע של תקופת תנאי רצופה וברורה. הבהירות חשובה כדי שאדם שנידון לעונש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יוכל לכלכל דרכו בזהירות ובקפידה כדי שלא ייכשל בהפרת התנאי שהוטל עליו (272ג – ה). </w:t>
      </w:r>
    </w:p>
    <w:p>
      <w:pPr>
        <w:jc w:val="both"/>
        <w:bidi/>
        <w:ind w:right="680"/>
      </w:pPr>
      <w:r>
        <w:rPr>
          <w:rFonts w:ascii="Times New Roman" w:hAnsi="Times New Roman" w:cs="Times New Roman"/>
          <w:sz w:val="24"/>
          <w:sz-cs w:val="24"/>
        </w:rPr>
        <w:t xml:space="preserve"/>
        <w:tab/>
        <w:t xml:space="preserve">(5)</w:t>
        <w:tab/>
        <w:t xml:space="preserve">בכל הנוגע לקביעת תקופת התנאי, לעולם רשאי השופט הגוזר את הדין לסטות מן הכלל ולקבוע הוראה מיוחדת. אלא שהוראה אשר תביא להחלת התנאי השיפוטי לאלתר ואת תחילת המאסר בפועל לאחריה, עלולה להותיר את מרבית תחולתו של התנאי לתקופת המאסר בפועל נוכח גישת המחוקק כי אין ליצור פיצול בעונש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קביעת תנאי כאמור אינה רצויה בדרך</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כלל ואינה תואמת את גישתו של המחוקק בעניין ההפרדה הראויה בין תקופת המאסר בפועל לתחולת התנאי </w:t>
        <w:br/>
        <w:t xml:space="preserve">(273א – ב). </w:t>
      </w:r>
    </w:p>
    <w:p>
      <w:pPr>
        <w:jc w:val="both"/>
        <w:bidi/>
        <w:ind w:right="680"/>
      </w:pPr>
      <w:r>
        <w:rPr>
          <w:rFonts w:ascii="Times New Roman" w:hAnsi="Times New Roman" w:cs="Times New Roman"/>
          <w:sz w:val="24"/>
          <w:sz-cs w:val="24"/>
        </w:rPr>
        <w:t xml:space="preserve"/>
        <w:br w:type="page"/>
        <w:t xml:space="preserve">ג.</w:t>
        <w:tab/>
        <w:t xml:space="preserve">(1)</w:t>
        <w:tab/>
        <w:t xml:space="preserve">הוראת סעיף 52(ג) סיפה לחוק, ככל שהיא נוגעת לתקופת התנאי הסטטוטורית המצטברת לתקופת התנאי השיפוטית, היא הוראה חריגה שהמחוקק קבע בה תקופה של סנקציה עונשית המיתוספת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פי דין לעונש שנגזר על הנאשם במשפטו. ככלל, יחולו תקופות התנאי הסטטוטוריות על תקופות זמן מוגדרות, וברוב המקרים גם קצרות, שבהן יוצא האסיר מן הכלא לתקופה זמנית. עקרון החוקיות מחייב כי תוספת תקופת תנאי תהיה מעוגנת בהוראה מפורשת של המחוקק (274ה – ז). </w:t>
      </w:r>
    </w:p>
    <w:p>
      <w:pPr>
        <w:jc w:val="both"/>
        <w:bidi/>
        <w:ind w:right="680"/>
      </w:pPr>
      <w:r>
        <w:rPr>
          <w:rFonts w:ascii="Times New Roman" w:hAnsi="Times New Roman" w:cs="Times New Roman"/>
          <w:sz w:val="24"/>
          <w:sz-cs w:val="24"/>
        </w:rPr>
        <w:t xml:space="preserve"/>
        <w:tab/>
        <w:t xml:space="preserve">(2)</w:t>
        <w:tab/>
        <w:t xml:space="preserve">המחויבות לעקרון החוקיות וכן הצורך שלא להרחיב את העונש – תקופת תחולת התנאי – מעבר לכוונתו המקורית של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שגזר אותו הם השיקולים הגוברים, והם שצריכים להכריע את הכף נגד החלת תקופת התנאי הסטטוטורית על נאשם שטרם החל בריצוי המאסר בפועל, והוא ממתין לריצוי עונשו עקב עיכוב ביצוע (276ג – ד). </w:t>
      </w:r>
    </w:p>
    <w:p>
      <w:pPr>
        <w:jc w:val="both"/>
        <w:bidi/>
        <w:ind w:right="680"/>
      </w:pPr>
      <w:r>
        <w:rPr>
          <w:rFonts w:ascii="Times New Roman" w:hAnsi="Times New Roman" w:cs="Times New Roman"/>
          <w:sz w:val="24"/>
          <w:sz-cs w:val="24"/>
        </w:rPr>
        <w:t xml:space="preserve"/>
        <w:tab/>
        <w:t xml:space="preserve">(3)</w:t>
        <w:tab/>
        <w:t xml:space="preserve">סיכומם של דברים, ככלל, בעת תקופת עיכוב ביצוע עונש המאסר לא תחול תקופת התנאי השיפוטית, אלא אם כן קבע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אחרת, וגם לא תקופת התנאי הסטטוטורית, הקבועה בסעיף 52(ג) לחוק (276ו).</w:t>
      </w:r>
    </w:p>
    <w:p>
      <w:pPr>
        <w:jc w:val="both"/>
        <w:bidi/>
        <w:ind w:right="340"/>
      </w:pPr>
      <w:r>
        <w:rPr>
          <w:rFonts w:ascii="Times New Roman" w:hAnsi="Times New Roman" w:cs="Times New Roman"/>
          <w:sz w:val="24"/>
          <w:sz-cs w:val="24"/>
        </w:rPr>
        <w:t xml:space="preserve">ד.</w:t>
        <w:tab/>
        <w:t xml:space="preserve"/>
      </w:r>
      <w:r>
        <w:rPr>
          <w:rFonts w:ascii="Times New Roman" w:hAnsi="Times New Roman" w:cs="Times New Roman"/>
          <w:sz w:val="20"/>
          <w:sz-cs w:val="20"/>
        </w:rPr>
        <w:t xml:space="preserve">(</w:t>
      </w:r>
      <w:r>
        <w:rPr>
          <w:rFonts w:ascii="Times New Roman" w:hAnsi="Times New Roman" w:cs="Times New Roman"/>
          <w:sz w:val="22"/>
          <w:sz-cs w:val="22"/>
        </w:rPr>
        <w:t xml:space="preserve">אליבא ד</w:t>
      </w:r>
      <w:r>
        <w:rPr>
          <w:rFonts w:ascii="Times New Roman" w:hAnsi="Times New Roman" w:cs="Times New Roman"/>
          <w:sz w:val="20"/>
          <w:sz-cs w:val="20"/>
        </w:rPr>
        <w:t xml:space="preserve">שופט ת' אור):</w:t>
      </w:r>
      <w:r>
        <w:rPr>
          <w:rFonts w:ascii="Times New Roman" w:hAnsi="Times New Roman" w:cs="Times New Roman"/>
          <w:sz w:val="24"/>
          <w:sz-cs w:val="24"/>
        </w:rPr>
        <w:t xml:space="preserve"/>
      </w:r>
    </w:p>
    <w:p>
      <w:pPr>
        <w:jc w:val="both"/>
        <w:bidi/>
        <w:ind w:right="680"/>
      </w:pPr>
      <w:r>
        <w:rPr>
          <w:rFonts w:ascii="Times New Roman" w:hAnsi="Times New Roman" w:cs="Times New Roman"/>
          <w:sz w:val="24"/>
          <w:sz-cs w:val="24"/>
        </w:rPr>
        <w:t xml:space="preserve"/>
        <w:tab/>
        <w:t xml:space="preserve">(1)</w:t>
        <w:tab/>
        <w:t xml:space="preserve">ההוראה הקבועה בסיפה של סעיף 52(ג) – "והכל כשבית המשפט לא הורה אחרת" – מתייחסת לכל הנאמר לפניה הן לכלל שלפיו מועד תחילת תקופת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מתחיל מיום גזר</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הדין, הן לחריג לכלל, שלפיו כאשר נידון נושא עונש מאסר תתחיל תקופת התנאי ביום שחרורו מהמאסר, והן לתקופות המאסר הסטטוטוריות החלות כאשר חל החריג לכלל.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רשאי אפוא, אם כך הוא רואה לנכון לעשות במקרה המתאים, לקבוע מועד אחר לתחילת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מזה הקבוע בסעיף 52(ג) (280ב – ג). </w:t>
      </w:r>
    </w:p>
    <w:p>
      <w:pPr>
        <w:jc w:val="both"/>
        <w:bidi/>
        <w:ind w:right="680"/>
      </w:pPr>
      <w:r>
        <w:rPr>
          <w:rFonts w:ascii="Times New Roman" w:hAnsi="Times New Roman" w:cs="Times New Roman"/>
          <w:sz w:val="24"/>
          <w:sz-cs w:val="24"/>
        </w:rPr>
        <w:t xml:space="preserve"/>
        <w:tab/>
        <w:t xml:space="preserve">(2)</w:t>
        <w:tab/>
        <w:t xml:space="preserve">אין מניעה שבית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משפט יקבע כי בתקופת עיכוב הביצוע תחול תקופת התנאי השיפוטית.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מוסמך לקבוע כי הוא דוחה את ביצוע המאסר בפועל בלבד עד לתום הדיון בערעור, בעוד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יישאר על כנו. ייתכן כי בדרך</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כלל הטעם לדחיית המאסר בפועל יצדיק אף את דחיית עונש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אולם אין לקבוע מסמרות בעניין זה. בנוסף, כאשר קובע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כי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לא יעוכב, והוא יתחיל מיום גזר</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הדין או מועד אחר שקבע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הרי שמאסר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יתחיל ממועד זה והוא יימשך עד לתום תקופת התנאי בלא כל פיצול. הקושי הטמון במקרה כזה הוא שהמאסר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עלול "לגלוש" לתוך תקופת ריצוי המאסר בפועל, אולם אין מניעה שבמקרה המתאים יחליט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שלא לעכב את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(281ג – 282ב). </w:t>
      </w:r>
    </w:p>
    <w:p>
      <w:pPr>
        <w:jc w:val="both"/>
        <w:bidi/>
        <w:ind w:right="680"/>
      </w:pPr>
      <w:r>
        <w:rPr>
          <w:rFonts w:ascii="Times New Roman" w:hAnsi="Times New Roman" w:cs="Times New Roman"/>
          <w:sz w:val="24"/>
          <w:sz-cs w:val="24"/>
        </w:rPr>
        <w:t xml:space="preserve"/>
        <w:tab/>
        <w:t xml:space="preserve">(3)</w:t>
        <w:tab/>
        <w:t xml:space="preserve">במקרה דנן קבע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משפט קמא במפורש כי עונש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אשר הושת על המערער יתחיל מיום שחרורו מהכלא. יש לפרש את הוראת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כפשוטה, קרי: שתחילת המאסר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שהוטל עליו היא ביום שחרורו מהמאסר, וכי בכל התקופה הקודמת לכך לא תחול תקופת תנאי כלשהי, לא שיפוטית ואף לא סטטוטורית (280ו – ז). </w:t>
      </w:r>
    </w:p>
    <w:p>
      <w:pPr>
        <w:jc w:val="both"/>
        <w:bidi/>
        <w:ind w:right="567"/>
        <w:spacing w:after="40"/>
      </w:pPr>
      <w:r>
        <w:rPr>
          <w:rFonts w:ascii="Times New Roman" w:hAnsi="Times New Roman" w:cs="Times New Roman"/>
          <w:sz w:val="24"/>
          <w:sz-cs w:val="24"/>
        </w:rPr>
        <w:t xml:space="preserve"/>
        <w:br w:type="page"/>
        <w:t xml:space="preserve">חוקי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יסוד שאוזכרו:</w:t>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"http://www.nevo.co.il/law/70320" חוק-יסוד: כבוד האדם וחירותו</w:t>
      </w:r>
      <w:r>
        <w:rPr>
          <w:rFonts w:ascii="Times New Roman" w:hAnsi="Times New Roman" w:cs="Times New Roman"/>
          <w:sz w:val="24"/>
          <w:sz-cs w:val="24"/>
        </w:rPr>
        <w:t xml:space="preserve">, סעיפים </w:t>
      </w:r>
      <w:r>
        <w:rPr>
          <w:rFonts w:ascii="Times New Roman" w:hAnsi="Times New Roman" w:cs="Times New Roman"/>
          <w:sz w:val="24"/>
          <w:sz-cs w:val="24"/>
          <w:u w:val="single"/>
          <w:color w:val="0000FF"/>
        </w:rPr>
        <w:t xml:space="preserve"> HYPERLINK "http://www.nevo.co.il/law/70320/5" 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"http://www.nevo.co.il/law/70320/10" 10</w:t>
      </w:r>
      <w:r>
        <w:rPr>
          <w:rFonts w:ascii="Times New Roman" w:hAnsi="Times New Roman" w:cs="Times New Roman"/>
          <w:sz w:val="24"/>
          <w:sz-cs w:val="24"/>
        </w:rPr>
        <w:t xml:space="preserve">.</w:t>
      </w:r>
    </w:p>
    <w:p>
      <w:pPr>
        <w:jc w:val="both"/>
        <w:bidi/>
        <w:ind w:right="567"/>
        <w:spacing w:before="240"/>
      </w:pPr>
      <w:r>
        <w:rPr>
          <w:rFonts w:ascii="Times New Roman" w:hAnsi="Times New Roman" w:cs="Times New Roman"/>
          <w:sz w:val="24"/>
          <w:sz-cs w:val="24"/>
        </w:rPr>
        <w:t xml:space="preserve">חקיקה ראשית שאוזכרה:</w:t>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תשל"ז-1977, סעיפים </w:t>
      </w:r>
      <w:r>
        <w:rPr>
          <w:rFonts w:ascii="Times New Roman" w:hAnsi="Times New Roman" w:cs="Times New Roman"/>
          <w:sz w:val="24"/>
          <w:sz-cs w:val="24"/>
          <w:u w:val="single"/>
          <w:color w:val="0000FF"/>
        </w:rPr>
        <w:t xml:space="preserve"> HYPERLINK "http://www.nevo.co.il/law/70301/43" 43</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"http://www.nevo.co.il/law/70301/52.a" 52(א)</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"http://www.nevo.co.il/law/70301/52.b.1" 52(ב)(1)</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"http://www.nevo.co.il/law/70301/52.c" 52(ג)</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"http://www.nevo.co.il/law/70301/87" 87</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"http://www.nevo.co.il/law/70301/333" 333</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"http://www.nevo.co.il/law/70301/335.a.1" 335(א)(1)</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"http://www.nevo.co.il/law/70301/379" 379</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"http://www.nevo.co.il/law/70301/413h" 413ח</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"http://www.nevo.co.il/law/70301/415" 415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"http://www.nevo.co.il/law/70301/b1SfC" פרק ו', סימן ב1</w:t>
      </w:r>
      <w:r>
        <w:rPr>
          <w:rFonts w:ascii="Times New Roman" w:hAnsi="Times New Roman" w:cs="Times New Roman"/>
          <w:sz w:val="24"/>
          <w:sz-cs w:val="24"/>
        </w:rPr>
        <w:t xml:space="preserve">.</w:t>
      </w:r>
    </w:p>
    <w:p>
      <w:pPr>
        <w:jc w:val="both"/>
        <w:bidi/>
        <w:ind w:right="567"/>
        <w:spacing w:after="40"/>
      </w:pPr>
      <w:r>
        <w:rPr>
          <w:rFonts w:ascii="Times" w:hAnsi="Times" w:cs="Times"/>
          <w:sz w:val="24"/>
          <w:sz-cs w:val="24"/>
        </w:rPr>
        <w:t xml:space="preserve">–</w:t>
        <w:tab/>
        <w:t xml:space="preserve"/>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[נוסח משולב], תשמ"ב-1982, </w:t>
      </w:r>
      <w:r>
        <w:rPr>
          <w:rFonts w:ascii="Times New Roman" w:hAnsi="Times New Roman" w:cs="Times New Roman"/>
          <w:sz w:val="24"/>
          <w:sz-cs w:val="24"/>
          <w:u w:val="single"/>
          <w:color w:val="0000FF"/>
        </w:rPr>
        <w:t xml:space="preserve"> HYPERLINK "http://www.nevo.co.il/law/74903/bScC" פרק ג', סימן ב'</w:t>
      </w:r>
      <w:r>
        <w:rPr>
          <w:rFonts w:ascii="Times New Roman" w:hAnsi="Times New Roman" w:cs="Times New Roman"/>
          <w:sz w:val="24"/>
          <w:sz-cs w:val="24"/>
        </w:rPr>
        <w:t xml:space="preserve">.</w:t>
      </w:r>
    </w:p>
    <w:p>
      <w:pPr>
        <w:jc w:val="both"/>
        <w:bidi/>
        <w:ind w:right="567"/>
        <w:spacing w:after="40"/>
      </w:pPr>
      <w:r>
        <w:rPr>
          <w:rFonts w:ascii="Times" w:hAnsi="Times" w:cs="Times"/>
          <w:sz w:val="24"/>
          <w:sz-cs w:val="24"/>
        </w:rPr>
        <w:t xml:space="preserve">–</w:t>
        <w:tab/>
        <w:t xml:space="preserve"/>
      </w:r>
      <w:r>
        <w:rPr>
          <w:rFonts w:ascii="Times New Roman" w:hAnsi="Times New Roman" w:cs="Times New Roman"/>
          <w:sz w:val="24"/>
          <w:sz-cs w:val="24"/>
          <w:u w:val="single"/>
          <w:color w:val="0000FF"/>
        </w:rPr>
        <w:t xml:space="preserve"> HYPERLINK "http://www.nevo.co.il/law/98568" חוק סדר הדין הפלילי (סמכויות אכיפה – מעצרים)</w:t>
      </w:r>
      <w:r>
        <w:rPr>
          <w:rFonts w:ascii="Times New Roman" w:hAnsi="Times New Roman" w:cs="Times New Roman"/>
          <w:sz w:val="24"/>
          <w:sz-cs w:val="24"/>
        </w:rPr>
        <w:t xml:space="preserve">, תשנ"ו-1996, </w:t>
      </w:r>
      <w:r>
        <w:rPr>
          <w:rFonts w:ascii="Times New Roman" w:hAnsi="Times New Roman" w:cs="Times New Roman"/>
          <w:sz w:val="24"/>
          <w:sz-cs w:val="24"/>
          <w:u w:val="single"/>
          <w:color w:val="0000FF"/>
        </w:rPr>
        <w:t xml:space="preserve"> HYPERLINK "http://www.nevo.co.il/law/98568/44" סעיף 44</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"http://www.nevo.co.il/law/98568/fSbC" פרק ב', סימן ו'</w:t>
      </w:r>
      <w:r>
        <w:rPr>
          <w:rFonts w:ascii="Times New Roman" w:hAnsi="Times New Roman" w:cs="Times New Roman"/>
          <w:sz w:val="24"/>
          <w:sz-cs w:val="24"/>
        </w:rPr>
        <w:t xml:space="preserve">.</w:t>
      </w:r>
    </w:p>
    <w:p>
      <w:pPr>
        <w:jc w:val="both"/>
        <w:bidi/>
        <w:ind w:right="567"/>
        <w:spacing w:after="40"/>
      </w:pPr>
      <w:r>
        <w:rPr>
          <w:rFonts w:ascii="Times" w:hAnsi="Times" w:cs="Times"/>
          <w:sz w:val="24"/>
          <w:sz-cs w:val="24"/>
        </w:rPr>
        <w:t xml:space="preserve">–</w:t>
        <w:tab/>
        <w:t xml:space="preserve"/>
      </w:r>
      <w:r>
        <w:rPr>
          <w:rFonts w:ascii="Times" w:hAnsi="Times" w:cs="Times"/>
          <w:sz w:val="24"/>
          <w:sz-cs w:val="24"/>
          <w:u w:val="single"/>
          <w:color w:val="0000FF"/>
        </w:rPr>
        <w:t xml:space="preserve"> HYPERLINK "http://www.nevo.co.il/law/70301" חוק העונשין</w:t>
      </w:r>
      <w:r>
        <w:rPr>
          <w:rFonts w:ascii="Times" w:hAnsi="Times" w:cs="Times"/>
          <w:sz w:val="24"/>
          <w:sz-cs w:val="24"/>
        </w:rPr>
        <w:t xml:space="preserve"> (תיקון מס' 23), תשמ"ח-1988.</w:t>
      </w:r>
    </w:p>
    <w:p>
      <w:pPr>
        <w:jc w:val="both"/>
        <w:bidi/>
        <w:ind w:right="567"/>
        <w:spacing w:before="240"/>
      </w:pPr>
      <w:r>
        <w:rPr>
          <w:rFonts w:ascii="Times" w:hAnsi="Times" w:cs="Times"/>
          <w:sz w:val="24"/>
          <w:sz-cs w:val="24"/>
        </w:rPr>
        <w:t xml:space="preserve">הצעות חוק שאוזכרו:</w:t>
      </w:r>
      <w:r>
        <w:rPr>
          <w:rFonts w:ascii="Times New Roman" w:hAnsi="Times New Roman" w:cs="Times New Roman"/>
          <w:sz w:val="24"/>
          <w:sz-cs w:val="24"/>
        </w:rPr>
        <w:t xml:space="preserve"> </w:t>
      </w:r>
      <w:r>
        <w:rPr>
          <w:rFonts w:ascii="Times" w:hAnsi="Times" w:cs="Times"/>
          <w:sz w:val="24"/>
          <w:sz-cs w:val="24"/>
        </w:rPr>
        <w:t xml:space="preserve"/>
      </w:r>
    </w:p>
    <w:p>
      <w:pPr>
        <w:jc w:val="both"/>
        <w:bidi/>
        <w:ind w:right="567"/>
        <w:spacing w:after="40"/>
      </w:pPr>
      <w:r>
        <w:rPr>
          <w:rFonts w:ascii="Times" w:hAnsi="Times" w:cs="Times"/>
          <w:sz w:val="24"/>
          <w:sz-cs w:val="24"/>
        </w:rPr>
        <w:t xml:space="preserve">–</w:t>
        <w:tab/>
        <w:t xml:space="preserve">הצעת </w:t>
      </w:r>
      <w:r>
        <w:rPr>
          <w:rFonts w:ascii="Times" w:hAnsi="Times" w:cs="Times"/>
          <w:sz w:val="24"/>
          <w:sz-cs w:val="24"/>
          <w:u w:val="single"/>
          <w:color w:val="0000FF"/>
        </w:rPr>
        <w:t xml:space="preserve"> HYPERLINK "http://www.nevo.co.il/law/70301" חוק העונשין</w:t>
      </w:r>
      <w:r>
        <w:rPr>
          <w:rFonts w:ascii="Times" w:hAnsi="Times" w:cs="Times"/>
          <w:sz w:val="24"/>
          <w:sz-cs w:val="24"/>
        </w:rPr>
        <w:t xml:space="preserve"> (תיקון מס' 27), תשמ"ז-1987.</w:t>
      </w:r>
    </w:p>
    <w:p>
      <w:pPr>
        <w:jc w:val="both"/>
        <w:bidi/>
        <w:ind w:right="567"/>
        <w:spacing w:before="240"/>
      </w:pPr>
      <w:r>
        <w:rPr>
          <w:rFonts w:ascii="Times New Roman" w:hAnsi="Times New Roman" w:cs="Times New Roman"/>
          <w:sz w:val="24"/>
          <w:sz-cs w:val="24"/>
        </w:rPr>
        <w:t xml:space="preserve">פסקי</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דין של בית</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המשפט העליון שאוזכרו:</w:t>
      </w:r>
    </w:p>
    <w:p>
      <w:pPr>
        <w:jc w:val="both"/>
        <w:bidi/>
        <w:ind w:right="567"/>
        <w:spacing w:after="4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color w:val="0000FF"/>
        </w:rPr>
        <w:t xml:space="preserve">HYPERLINK "http://www.nevo.co.il/case/6107834"</w:t>
      </w:r>
      <w:r>
        <w:rPr>
          <w:rFonts w:ascii="Times New Roman" w:hAnsi="Times New Roman" w:cs="Times New Roman"/>
          <w:sz w:val="24"/>
          <w:sz-cs w:val="24"/>
          <w:u w:val="single"/>
          <w:color w:val="0000FF"/>
        </w:rPr>
        <w:t xml:space="preserve">רע"פ 7589/97 רחמים נ' מדינת ישראל, פ"ד נב</w:t>
      </w:r>
      <w:r>
        <w:rPr>
          <w:rFonts w:ascii="Times New Roman" w:hAnsi="Times New Roman" w:cs="Times New Roman"/>
          <w:sz w:val="24"/>
          <w:sz-cs w:val="24"/>
        </w:rPr>
        <w:t xml:space="preserve">(2) 651.</w:t>
      </w:r>
    </w:p>
    <w:p>
      <w:pPr>
        <w:jc w:val="both"/>
        <w:bidi/>
        <w:ind w:right="567"/>
        <w:spacing w:after="4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color w:val="0000FF"/>
        </w:rPr>
        <w:t xml:space="preserve">HYPERLINK "http://www.nevo.co.il/case/17913280"</w:t>
      </w:r>
      <w:r>
        <w:rPr>
          <w:rFonts w:ascii="Times New Roman" w:hAnsi="Times New Roman" w:cs="Times New Roman"/>
          <w:sz w:val="24"/>
          <w:sz-cs w:val="24"/>
          <w:u w:val="single"/>
          <w:color w:val="0000FF"/>
        </w:rPr>
        <w:t xml:space="preserve">ע"פ 1779/92 מדינת ישראל נ' כחיל, פ"ד מז</w:t>
      </w:r>
      <w:r>
        <w:rPr>
          <w:rFonts w:ascii="Times New Roman" w:hAnsi="Times New Roman" w:cs="Times New Roman"/>
          <w:sz w:val="24"/>
          <w:sz-cs w:val="24"/>
        </w:rPr>
        <w:t xml:space="preserve">(1) 739.</w:t>
      </w:r>
    </w:p>
    <w:p>
      <w:pPr>
        <w:jc w:val="both"/>
        <w:bidi/>
        <w:ind w:right="567"/>
        <w:spacing w:after="40"/>
      </w:pPr>
      <w:r>
        <w:rPr>
          <w:rFonts w:ascii="Times New Roman" w:hAnsi="Times New Roman" w:cs="Times New Roman"/>
          <w:sz w:val="24"/>
          <w:sz-cs w:val="24"/>
        </w:rPr>
        <w:t xml:space="preserve">[3]</w:t>
        <w:tab/>
        <w:t xml:space="preserve"/>
      </w:r>
      <w:r>
        <w:rPr>
          <w:rFonts w:ascii="Times New Roman" w:hAnsi="Times New Roman" w:cs="Times New Roman"/>
          <w:sz w:val="24"/>
          <w:sz-cs w:val="24"/>
          <w:u w:val="single"/>
          <w:color w:val="0000FF"/>
        </w:rPr>
        <w:t xml:space="preserve">HYPERLINK "http://www.nevo.co.il/case/17930299"</w:t>
      </w:r>
      <w:r>
        <w:rPr>
          <w:rFonts w:ascii="Times New Roman" w:hAnsi="Times New Roman" w:cs="Times New Roman"/>
          <w:sz w:val="24"/>
          <w:sz-cs w:val="24"/>
          <w:u w:val="single"/>
          <w:color w:val="0000FF"/>
        </w:rPr>
        <w:t xml:space="preserve">ע"פ 691/78 מור יוסף נ' מדינת ישראל, פ"ד לג</w:t>
      </w:r>
      <w:r>
        <w:rPr>
          <w:rFonts w:ascii="Times New Roman" w:hAnsi="Times New Roman" w:cs="Times New Roman"/>
          <w:sz w:val="24"/>
          <w:sz-cs w:val="24"/>
        </w:rPr>
        <w:t xml:space="preserve">(2) 500.</w:t>
      </w:r>
    </w:p>
    <w:p>
      <w:pPr>
        <w:jc w:val="both"/>
        <w:bidi/>
        <w:ind w:right="567"/>
        <w:spacing w:after="40"/>
      </w:pPr>
      <w:r>
        <w:rPr>
          <w:rFonts w:ascii="Times New Roman" w:hAnsi="Times New Roman" w:cs="Times New Roman"/>
          <w:sz w:val="24"/>
          <w:sz-cs w:val="24"/>
        </w:rPr>
        <w:t xml:space="preserve">[4]</w:t>
        <w:tab/>
        <w:t xml:space="preserve"/>
      </w:r>
      <w:r>
        <w:rPr>
          <w:rFonts w:ascii="Times New Roman" w:hAnsi="Times New Roman" w:cs="Times New Roman"/>
          <w:sz w:val="24"/>
          <w:sz-cs w:val="24"/>
          <w:u w:val="single"/>
          <w:color w:val="0000FF"/>
        </w:rPr>
        <w:t xml:space="preserve"> HYPERLINK "http://www.nevo.co.il/links/psika/?link=רעפ 258/91&amp;Pvol=מה" </w:t>
      </w:r>
      <w:r>
        <w:rPr>
          <w:rFonts w:ascii="Times New Roman" w:hAnsi="Times New Roman" w:cs="Times New Roman"/>
          <w:sz w:val="24"/>
          <w:sz-cs w:val="24"/>
          <w:u w:val="single"/>
          <w:color w:val="0000FF"/>
        </w:rPr>
        <w:t xml:space="preserve">רע"פ 258/91 שרעבי נ' מדינת ישראל, פ"ד מה</w:t>
      </w:r>
      <w:r>
        <w:rPr>
          <w:rFonts w:ascii="Times New Roman" w:hAnsi="Times New Roman" w:cs="Times New Roman"/>
          <w:sz w:val="24"/>
          <w:sz-cs w:val="24"/>
        </w:rPr>
        <w:t xml:space="preserve">(2) 583.</w:t>
      </w:r>
    </w:p>
    <w:p>
      <w:pPr>
        <w:jc w:val="both"/>
        <w:bidi/>
        <w:ind w:right="567"/>
        <w:spacing w:after="40"/>
      </w:pPr>
      <w:r>
        <w:rPr>
          <w:rFonts w:ascii="Times New Roman" w:hAnsi="Times New Roman" w:cs="Times New Roman"/>
          <w:sz w:val="24"/>
          <w:sz-cs w:val="24"/>
        </w:rPr>
        <w:t xml:space="preserve">[5]</w:t>
        <w:tab/>
        <w:t xml:space="preserve"/>
      </w:r>
      <w:r>
        <w:rPr>
          <w:rFonts w:ascii="Times New Roman" w:hAnsi="Times New Roman" w:cs="Times New Roman"/>
          <w:sz w:val="24"/>
          <w:sz-cs w:val="24"/>
          <w:u w:val="single"/>
          <w:color w:val="0000FF"/>
        </w:rPr>
        <w:t xml:space="preserve">HYPERLINK "http://www.nevo.co.il/case/17922343"</w:t>
      </w:r>
      <w:r>
        <w:rPr>
          <w:rFonts w:ascii="Times New Roman" w:hAnsi="Times New Roman" w:cs="Times New Roman"/>
          <w:sz w:val="24"/>
          <w:sz-cs w:val="24"/>
          <w:u w:val="single"/>
          <w:color w:val="0000FF"/>
        </w:rPr>
        <w:t xml:space="preserve">ע"פ 4180/92</w:t>
      </w:r>
      <w:r>
        <w:rPr>
          <w:rFonts w:ascii="Times New Roman" w:hAnsi="Times New Roman" w:cs="Times New Roman"/>
          <w:sz w:val="24"/>
          <w:sz-cs w:val="24"/>
        </w:rPr>
        <w:t xml:space="preserve"> </w:t>
      </w:r>
      <w:r>
        <w:rPr>
          <w:rFonts w:ascii="Times New Roman" w:hAnsi="Times New Roman" w:cs="Times New Roman"/>
          <w:sz w:val="24"/>
          <w:sz-cs w:val="24"/>
          <w:b/>
        </w:rPr>
        <w:t xml:space="preserve">מדינת ישראל נ' נעים</w:t>
      </w:r>
      <w:r>
        <w:rPr>
          <w:rFonts w:ascii="Times New Roman" w:hAnsi="Times New Roman" w:cs="Times New Roman"/>
          <w:sz w:val="24"/>
          <w:sz-cs w:val="24"/>
        </w:rPr>
        <w:t xml:space="preserve"> (לא פורסם).</w:t>
      </w:r>
    </w:p>
    <w:p>
      <w:pPr>
        <w:jc w:val="both"/>
        <w:bidi/>
        <w:ind w:right="567"/>
        <w:spacing w:after="40"/>
      </w:pPr>
      <w:r>
        <w:rPr>
          <w:rFonts w:ascii="Times New Roman" w:hAnsi="Times New Roman" w:cs="Times New Roman"/>
          <w:sz w:val="24"/>
          <w:sz-cs w:val="24"/>
        </w:rPr>
        <w:t xml:space="preserve">[6]</w:t>
        <w:tab/>
        <w:t xml:space="preserve"/>
      </w:r>
      <w:r>
        <w:rPr>
          <w:rFonts w:ascii="Times New Roman" w:hAnsi="Times New Roman" w:cs="Times New Roman"/>
          <w:sz w:val="24"/>
          <w:sz-cs w:val="24"/>
          <w:u w:val="single"/>
          <w:color w:val="0000FF"/>
        </w:rPr>
        <w:t xml:space="preserve">HYPERLINK "http://www.nevo.co.il/case/17930300"</w:t>
      </w:r>
      <w:r>
        <w:rPr>
          <w:rFonts w:ascii="Times New Roman" w:hAnsi="Times New Roman" w:cs="Times New Roman"/>
          <w:sz w:val="24"/>
          <w:sz-cs w:val="24"/>
          <w:u w:val="single"/>
          <w:color w:val="0000FF"/>
        </w:rPr>
        <w:t xml:space="preserve">בג"ץ 691/81 דוד נ' שירות בתי הסוהר, פ"ד לו</w:t>
      </w:r>
      <w:r>
        <w:rPr>
          <w:rFonts w:ascii="Times New Roman" w:hAnsi="Times New Roman" w:cs="Times New Roman"/>
          <w:sz w:val="24"/>
          <w:sz-cs w:val="24"/>
        </w:rPr>
        <w:t xml:space="preserve">(3) 246.</w:t>
      </w:r>
    </w:p>
    <w:p>
      <w:pPr>
        <w:jc w:val="both"/>
        <w:bidi/>
        <w:ind w:right="567"/>
        <w:spacing w:after="40"/>
      </w:pPr>
      <w:r>
        <w:rPr>
          <w:rFonts w:ascii="Times New Roman" w:hAnsi="Times New Roman" w:cs="Times New Roman"/>
          <w:sz w:val="24"/>
          <w:sz-cs w:val="24"/>
        </w:rPr>
        <w:t xml:space="preserve">[7]</w:t>
        <w:tab/>
        <w:t xml:space="preserve"/>
      </w:r>
      <w:r>
        <w:rPr>
          <w:rFonts w:ascii="Times New Roman" w:hAnsi="Times New Roman" w:cs="Times New Roman"/>
          <w:sz w:val="24"/>
          <w:sz-cs w:val="24"/>
          <w:u w:val="single"/>
          <w:color w:val="0000FF"/>
        </w:rPr>
        <w:t xml:space="preserve">HYPERLINK "http://www.nevo.co.il/case/6032952"</w:t>
      </w:r>
      <w:r>
        <w:rPr>
          <w:rFonts w:ascii="Times New Roman" w:hAnsi="Times New Roman" w:cs="Times New Roman"/>
          <w:sz w:val="24"/>
          <w:sz-cs w:val="24"/>
          <w:u w:val="single"/>
          <w:color w:val="0000FF"/>
        </w:rPr>
        <w:t xml:space="preserve">רע"פ 5798/00 ריזי נ' מדינת ישראל, פ"ד נה</w:t>
      </w:r>
      <w:r>
        <w:rPr>
          <w:rFonts w:ascii="Times New Roman" w:hAnsi="Times New Roman" w:cs="Times New Roman"/>
          <w:sz w:val="24"/>
          <w:sz-cs w:val="24"/>
        </w:rPr>
        <w:t xml:space="preserve">(3) 1.</w:t>
      </w:r>
    </w:p>
    <w:p>
      <w:pPr>
        <w:jc w:val="both"/>
        <w:bidi/>
        <w:ind w:right="567"/>
        <w:spacing w:after="40"/>
      </w:pPr>
      <w:r>
        <w:rPr>
          <w:rFonts w:ascii="Times New Roman" w:hAnsi="Times New Roman" w:cs="Times New Roman"/>
          <w:sz w:val="24"/>
          <w:sz-cs w:val="24"/>
        </w:rPr>
        <w:t xml:space="preserve">[8]</w:t>
        <w:tab/>
        <w:t xml:space="preserve">ע"פ 111/99א </w:t>
      </w:r>
      <w:r>
        <w:rPr>
          <w:rFonts w:ascii="Times New Roman" w:hAnsi="Times New Roman" w:cs="Times New Roman"/>
          <w:sz w:val="24"/>
          <w:sz-cs w:val="24"/>
          <w:b/>
        </w:rPr>
        <w:t xml:space="preserve">שוורץ נ' מדינת ישראל</w:t>
      </w:r>
      <w:r>
        <w:rPr>
          <w:rFonts w:ascii="Times New Roman" w:hAnsi="Times New Roman" w:cs="Times New Roman"/>
          <w:sz w:val="24"/>
          <w:sz-cs w:val="24"/>
        </w:rPr>
        <w:t xml:space="preserve">, פ"ד נד(2) 241.</w:t>
      </w:r>
    </w:p>
    <w:p>
      <w:pPr>
        <w:jc w:val="both"/>
        <w:bidi/>
        <w:ind w:right="567"/>
        <w:spacing w:after="40"/>
      </w:pPr>
      <w:r>
        <w:rPr>
          <w:rFonts w:ascii="Times New Roman" w:hAnsi="Times New Roman" w:cs="Times New Roman"/>
          <w:sz w:val="24"/>
          <w:sz-cs w:val="24"/>
        </w:rPr>
        <w:t xml:space="preserve">[9]</w:t>
        <w:tab/>
        <w:t xml:space="preserve"/>
      </w:r>
      <w:r>
        <w:rPr>
          <w:rFonts w:ascii="Times New Roman" w:hAnsi="Times New Roman" w:cs="Times New Roman"/>
          <w:sz w:val="24"/>
          <w:sz-cs w:val="24"/>
          <w:u w:val="single"/>
          <w:color w:val="0000FF"/>
        </w:rPr>
        <w:t xml:space="preserve">HYPERLINK "http://www.nevo.co.il/case/17926508"</w:t>
      </w:r>
      <w:r>
        <w:rPr>
          <w:rFonts w:ascii="Times New Roman" w:hAnsi="Times New Roman" w:cs="Times New Roman"/>
          <w:sz w:val="24"/>
          <w:sz-cs w:val="24"/>
          <w:u w:val="single"/>
          <w:color w:val="0000FF"/>
        </w:rPr>
        <w:t xml:space="preserve">בש"פ 537/95 גנימאת נ' מדינת ישראל, פ"ד מט</w:t>
      </w:r>
      <w:r>
        <w:rPr>
          <w:rFonts w:ascii="Times New Roman" w:hAnsi="Times New Roman" w:cs="Times New Roman"/>
          <w:sz w:val="24"/>
          <w:sz-cs w:val="24"/>
        </w:rPr>
        <w:t xml:space="preserve">(3) 355.</w:t>
      </w:r>
    </w:p>
    <w:p>
      <w:pPr>
        <w:jc w:val="both"/>
        <w:bidi/>
        <w:ind w:right="567"/>
        <w:spacing w:after="40"/>
      </w:pPr>
      <w:r>
        <w:rPr>
          <w:rFonts w:ascii="Times New Roman" w:hAnsi="Times New Roman" w:cs="Times New Roman"/>
          <w:sz w:val="24"/>
          <w:sz-cs w:val="24"/>
        </w:rPr>
        <w:t xml:space="preserve">[10]</w:t>
        <w:tab/>
        <w:t xml:space="preserve"/>
      </w:r>
      <w:r>
        <w:rPr>
          <w:rFonts w:ascii="Times New Roman" w:hAnsi="Times New Roman" w:cs="Times New Roman"/>
          <w:sz w:val="24"/>
          <w:sz-cs w:val="24"/>
          <w:u w:val="single"/>
          <w:color w:val="0000FF"/>
        </w:rPr>
        <w:t xml:space="preserve">HYPERLINK "http://www.nevo.co.il/case/17915466"דנ"פ 2316/95 גנימאת נ' מדינת ישראל, פ"ד מט</w:t>
      </w:r>
      <w:r>
        <w:rPr>
          <w:rFonts w:ascii="Times New Roman" w:hAnsi="Times New Roman" w:cs="Times New Roman"/>
          <w:sz w:val="24"/>
          <w:sz-cs w:val="24"/>
        </w:rPr>
        <w:t xml:space="preserve">(4) 589.</w:t>
      </w:r>
    </w:p>
    <w:p>
      <w:pPr>
        <w:jc w:val="both"/>
        <w:bidi/>
        <w:spacing w:before="240"/>
      </w:pPr>
      <w:r>
        <w:rPr>
          <w:rFonts w:ascii="Times New Roman" w:hAnsi="Times New Roman" w:cs="Times New Roman"/>
          <w:sz w:val="24"/>
          <w:sz-cs w:val="24"/>
        </w:rPr>
        <w:t xml:space="preserve"/>
        <w:br w:type="page"/>
        <w:t xml:space="preserve">ערעורים על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בבאר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שבע (השופט ח' עמר) מיום  5.10.2000 ב</w:t>
      </w:r>
      <w:r>
        <w:rPr>
          <w:rFonts w:ascii="Times New Roman" w:hAnsi="Times New Roman" w:cs="Times New Roman"/>
          <w:sz w:val="24"/>
          <w:sz-cs w:val="24"/>
          <w:u w:val="single"/>
          <w:color w:val="0000FF"/>
        </w:rPr>
        <w:t xml:space="preserve">HYPERLINK "http://www.nevo.co.il/case/5693688"ת"פ 8070/97</w:t>
      </w:r>
      <w:r>
        <w:rPr>
          <w:rFonts w:ascii="Times New Roman" w:hAnsi="Times New Roman" w:cs="Times New Roman"/>
          <w:sz w:val="24"/>
          <w:sz-cs w:val="24"/>
        </w:rPr>
        <w:t xml:space="preserve">. </w:t>
      </w:r>
      <w:r>
        <w:rPr>
          <w:rFonts w:ascii="Times New Roman" w:hAnsi="Times New Roman" w:cs="Times New Roman"/>
          <w:sz w:val="19"/>
          <w:sz-cs w:val="19"/>
        </w:rPr>
        <w:t xml:space="preserve">הערעורים נדחו</w:t>
      </w:r>
      <w:r>
        <w:rPr>
          <w:rFonts w:ascii="Times New Roman" w:hAnsi="Times New Roman" w:cs="Times New Roman"/>
          <w:sz w:val="24"/>
          <w:sz-cs w:val="24"/>
        </w:rPr>
        <w:t xml:space="preserve">.</w:t>
      </w:r>
    </w:p>
    <w:p>
      <w:pPr>
        <w:jc w:val="both"/>
        <w:bidi/>
        <w:ind w:left="284" w:right="284" w:first-line="-284"/>
        <w:spacing w:after="60"/>
      </w:pPr>
      <w:r>
        <w:rPr>
          <w:rFonts w:ascii="Times New Roman" w:hAnsi="Times New Roman" w:cs="Times New Roman"/>
          <w:sz w:val="24"/>
          <w:sz-cs w:val="24"/>
        </w:rPr>
        <w:t xml:space="preserve">חיים קאזיס – בשם המערער ב</w:t>
      </w:r>
      <w:r>
        <w:rPr>
          <w:rFonts w:ascii="Times New Roman" w:hAnsi="Times New Roman" w:cs="Times New Roman"/>
          <w:sz w:val="24"/>
          <w:sz-cs w:val="24"/>
          <w:u w:val="single"/>
          <w:color w:val="0000FF"/>
        </w:rPr>
        <w:t xml:space="preserve">HYPERLINK "http://www.nevo.co.il/case/5689137"</w:t>
      </w:r>
      <w:r>
        <w:rPr>
          <w:rFonts w:ascii="Times New Roman" w:hAnsi="Times New Roman" w:cs="Times New Roman"/>
          <w:sz w:val="24"/>
          <w:sz-cs w:val="24"/>
          <w:u w:val="single"/>
          <w:color w:val="0000FF"/>
        </w:rPr>
        <w:t xml:space="preserve">ע"פ 7510/00</w:t>
      </w:r>
      <w:r>
        <w:rPr>
          <w:rFonts w:ascii="Times New Roman" w:hAnsi="Times New Roman" w:cs="Times New Roman"/>
          <w:sz w:val="24"/>
          <w:sz-cs w:val="24"/>
        </w:rPr>
        <w:t xml:space="preserve"> (המשיב ב</w:t>
      </w:r>
      <w:r>
        <w:rPr>
          <w:rFonts w:ascii="Times New Roman" w:hAnsi="Times New Roman" w:cs="Times New Roman"/>
          <w:sz w:val="24"/>
          <w:sz-cs w:val="24"/>
          <w:u w:val="single"/>
          <w:color w:val="0000FF"/>
        </w:rPr>
        <w:t xml:space="preserve">HYPERLINK "http://www.nevo.co.il/case/5689140"</w:t>
      </w:r>
      <w:r>
        <w:rPr>
          <w:rFonts w:ascii="Times New Roman" w:hAnsi="Times New Roman" w:cs="Times New Roman"/>
          <w:sz w:val="24"/>
          <w:sz-cs w:val="24"/>
          <w:u w:val="single"/>
          <w:color w:val="0000FF"/>
        </w:rPr>
        <w:t xml:space="preserve">ע"פ 8329/00</w:t>
      </w:r>
      <w:r>
        <w:rPr>
          <w:rFonts w:ascii="Times New Roman" w:hAnsi="Times New Roman" w:cs="Times New Roman"/>
          <w:sz w:val="24"/>
          <w:sz-cs w:val="24"/>
        </w:rPr>
        <w:t xml:space="preserve">);</w:t>
      </w:r>
    </w:p>
    <w:p>
      <w:pPr>
        <w:jc w:val="both"/>
        <w:bidi/>
        <w:ind w:left="284" w:right="284" w:first-line="-284"/>
        <w:spacing w:after="60"/>
      </w:pPr>
      <w:r>
        <w:rPr>
          <w:rFonts w:ascii="Times New Roman" w:hAnsi="Times New Roman" w:cs="Times New Roman"/>
          <w:sz w:val="24"/>
          <w:sz-cs w:val="24"/>
        </w:rPr>
        <w:t xml:space="preserve">אורלי מור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אל, סגנית לפרקליטת המדינה – בשם המשיבה ב</w:t>
      </w:r>
      <w:r>
        <w:rPr>
          <w:rFonts w:ascii="Times New Roman" w:hAnsi="Times New Roman" w:cs="Times New Roman"/>
          <w:sz w:val="24"/>
          <w:sz-cs w:val="24"/>
          <w:u w:val="single"/>
          <w:color w:val="0000FF"/>
        </w:rPr>
        <w:t xml:space="preserve">HYPERLINK "http://www.nevo.co.il/case/5689137"</w:t>
      </w:r>
      <w:r>
        <w:rPr>
          <w:rFonts w:ascii="Times New Roman" w:hAnsi="Times New Roman" w:cs="Times New Roman"/>
          <w:sz w:val="24"/>
          <w:sz-cs w:val="24"/>
          <w:u w:val="single"/>
          <w:color w:val="0000FF"/>
        </w:rPr>
        <w:t xml:space="preserve">ע"פ 7510/00</w:t>
      </w:r>
      <w:r>
        <w:rPr>
          <w:rFonts w:ascii="Times New Roman" w:hAnsi="Times New Roman" w:cs="Times New Roman"/>
          <w:sz w:val="24"/>
          <w:sz-cs w:val="24"/>
        </w:rPr>
        <w:t xml:space="preserve"> (המערערת ב</w:t>
      </w:r>
      <w:r>
        <w:rPr>
          <w:rFonts w:ascii="Times New Roman" w:hAnsi="Times New Roman" w:cs="Times New Roman"/>
          <w:sz w:val="24"/>
          <w:sz-cs w:val="24"/>
          <w:u w:val="single"/>
          <w:color w:val="0000FF"/>
        </w:rPr>
        <w:t xml:space="preserve">HYPERLINK "http://www.nevo.co.il/case/5689140"</w:t>
      </w:r>
      <w:r>
        <w:rPr>
          <w:rFonts w:ascii="Times New Roman" w:hAnsi="Times New Roman" w:cs="Times New Roman"/>
          <w:sz w:val="24"/>
          <w:sz-cs w:val="24"/>
          <w:u w:val="single"/>
          <w:color w:val="0000FF"/>
        </w:rPr>
        <w:t xml:space="preserve">ע"פ 8329/00</w:t>
      </w:r>
      <w:r>
        <w:rPr>
          <w:rFonts w:ascii="Times New Roman" w:hAnsi="Times New Roman" w:cs="Times New Roman"/>
          <w:sz w:val="24"/>
          <w:sz-cs w:val="24"/>
        </w:rPr>
        <w:t xml:space="preserve">);</w:t>
      </w:r>
    </w:p>
    <w:p>
      <w:pPr>
        <w:jc w:val="both"/>
        <w:bidi/>
        <w:ind w:left="284" w:right="284" w:first-line="-284"/>
        <w:spacing w:after="60"/>
      </w:pPr>
      <w:r>
        <w:rPr>
          <w:rFonts w:ascii="Times New Roman" w:hAnsi="Times New Roman" w:cs="Times New Roman"/>
          <w:sz w:val="24"/>
          <w:sz-cs w:val="24"/>
        </w:rPr>
        <w:t xml:space="preserve">עמי קובו – בשם הסניגוריה הציבורית.</w:t>
      </w:r>
    </w:p>
    <w:p>
      <w:pPr>
        <w:jc w:val="center"/>
        <w:bidi/>
        <w:spacing w:before="360" w:after="240"/>
      </w:pPr>
      <w:r>
        <w:rPr>
          <w:rFonts w:ascii="Arial" w:hAnsi="Arial" w:cs="Arial"/>
          <w:sz w:val="24"/>
          <w:sz-cs w:val="24"/>
          <w:b/>
          <w:spacing w:val="20"/>
        </w:rPr>
        <w:t xml:space="preserve"/>
        <w:br w:type="page"/>
        <w:t xml:space="preserve">פסק</w:t>
      </w:r>
      <w:r>
        <w:rPr>
          <w:rFonts w:ascii="Arial" w:hAnsi="Arial" w:cs="Arial"/>
          <w:sz w:val="24"/>
          <w:sz-cs w:val="24"/>
          <w:b/>
          <w:position w:val="5"/>
          <w:spacing w:val="20"/>
        </w:rPr>
        <w:t xml:space="preserve">-</w:t>
      </w:r>
      <w:r>
        <w:rPr>
          <w:rFonts w:ascii="Arial" w:hAnsi="Arial" w:cs="Arial"/>
          <w:sz w:val="24"/>
          <w:sz-cs w:val="24"/>
          <w:b/>
          <w:spacing w:val="20"/>
        </w:rPr>
        <w:t xml:space="preserve">דין</w:t>
      </w:r>
    </w:p>
    <w:p>
      <w:pPr>
        <w:jc w:val="both"/>
        <w:bidi/>
        <w:spacing w:after="240"/>
      </w:pPr>
      <w:r>
        <w:rPr>
          <w:rFonts w:ascii="Times New Roman" w:hAnsi="Times New Roman" w:cs="Times New Roman"/>
          <w:sz w:val="24"/>
          <w:sz-cs w:val="24"/>
        </w:rPr>
        <w:t xml:space="preserve">השופטת ד' ביניש1. </w:t>
        <w:tab/>
        <w:t xml:space="preserve">המערער, שהוא המשיב בערעור שכנגד (להלן – המערער), הורשע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בבאר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שבע (השופט ח' עמר) בעבירה של חבלה חמורה בנסיבות מחמירות, לפי סעיפים 333 ו</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335(א)(1)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תשל"ז-1977 (להלן –החוק או חוק העונשין). המעשה שבגינו הורשע אירע בשעות הלילה, ב</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23.6.1997, כאשר בעקבות סכסוך שפרץ בין המערער למתלונן על עניין של מה בכך דקר המערער את המתלונן במברג באזור תת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לסתי וגרם לו לחתך של שלושה ס"מ, וכמו כן גרם לו לפגיעה בקרנית עין שמאל. בגין מעשה זה נגזרו על המערער 8 חודשי מאסר בפועל ו</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12 חודשי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אם יעבור במשך שלוש שנים מיום שחרורו ממאסר עבירה של אלימות שהיא פשע. בקשת המדינה להפעלת עונש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שהיה תלוי ועומד נגד המערער נדחתה. </w:t>
      </w:r>
    </w:p>
    <w:p>
      <w:pPr>
        <w:jc w:val="both"/>
        <w:bidi/>
        <w:spacing w:after="240"/>
      </w:pPr>
      <w:r>
        <w:rPr>
          <w:rFonts w:ascii="Times New Roman" w:hAnsi="Times New Roman" w:cs="Times New Roman"/>
          <w:sz w:val="24"/>
          <w:sz-cs w:val="24"/>
        </w:rPr>
        <w:t xml:space="preserve">המערער ערער לבית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זה הן על הכרעת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והן על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המדינה ערערה על קולת העונש שהוטל על המערער, וכן מערערת היא על אי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הפעלת עונש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שהיה לטענתה תלוי ועומד נגד המערער בעת ביצוע העבירה. </w:t>
      </w:r>
    </w:p>
    <w:p>
      <w:pPr>
        <w:jc w:val="both"/>
        <w:bidi/>
        <w:spacing w:after="240"/>
      </w:pPr>
      <w:r>
        <w:rPr>
          <w:rFonts w:ascii="Times New Roman" w:hAnsi="Times New Roman" w:cs="Times New Roman"/>
          <w:sz w:val="24"/>
          <w:sz-cs w:val="24"/>
        </w:rPr>
        <w:t xml:space="preserve">2.</w:t>
        <w:tab/>
        <w:t xml:space="preserve"/>
      </w:r>
      <w:r>
        <w:rPr>
          <w:rFonts w:ascii="Times New Roman" w:hAnsi="Times New Roman" w:cs="Times New Roman"/>
          <w:sz w:val="24"/>
          <w:sz-cs w:val="24"/>
          <w:b/>
        </w:rPr>
        <w:t xml:space="preserve">הערעור על הכרעת</w:t>
      </w:r>
      <w:r>
        <w:rPr>
          <w:rFonts w:ascii="Times New Roman" w:hAnsi="Times New Roman" w:cs="Times New Roman"/>
          <w:sz w:val="24"/>
          <w:sz-cs w:val="24"/>
          <w:position w:val="4"/>
        </w:rPr>
        <w:t xml:space="preserve">-</w:t>
      </w:r>
      <w:r>
        <w:rPr>
          <w:rFonts w:ascii="Times New Roman" w:hAnsi="Times New Roman" w:cs="Times New Roman"/>
          <w:sz w:val="24"/>
          <w:sz-cs w:val="24"/>
          <w:b/>
        </w:rPr>
        <w:t xml:space="preserve">הדין</w:t>
      </w:r>
    </w:p>
    <w:p>
      <w:pPr>
        <w:jc w:val="both"/>
        <w:bidi/>
        <w:spacing w:after="240"/>
      </w:pPr>
      <w:r>
        <w:rPr>
          <w:rFonts w:ascii="Times New Roman" w:hAnsi="Times New Roman" w:cs="Times New Roman"/>
          <w:sz w:val="24"/>
          <w:sz-cs w:val="24"/>
        </w:rPr>
        <w:t xml:space="preserve">הטענה המרכזית שנטענה בשם המערער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הייתה טענה של הגנה עצמית. לפי טענה זו, במהלך משחק קלפים שניהלו המערער והמתלונן פרץ ביניהם סכסוך שהתפתח לכדי תגרה שבמהלכה תקף המתלונן את המערער. לטענת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 המערער, דקירתו של המתלונן הייתה מעשה של הגנה עצמית, שנועד לחלץ את המערער מידיו של המתלונן שניסה לחנוק אותו. </w:t>
      </w:r>
    </w:p>
    <w:p>
      <w:pPr>
        <w:jc w:val="both"/>
        <w:bidi/>
        <w:spacing w:after="240"/>
      </w:pPr>
      <w:r>
        <w:rPr>
          <w:rFonts w:ascii="Times New Roman" w:hAnsi="Times New Roman" w:cs="Times New Roman"/>
          <w:sz w:val="24"/>
          <w:sz-cs w:val="24"/>
        </w:rPr>
        <w:t xml:space="preserve">בערעור שלפנינו טען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כוחו המלומד של המערער עורך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קאזיס ארוכות כנגד הכרעת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טענותיו התמקדו בשני מישורים: ראשית, הוא חזר וטען כי מעשהו של המערער היה מעשה של הגנה עצמית עקב תקיפתו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המתלונן. שנית, טען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 המערער כי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לא ייחס את החשיבות </w:t>
      </w:r>
    </w:p>
    <w:p>
      <w:pPr>
        <w:jc w:val="both"/>
        <w:bidi/>
        <w:spacing w:after="240"/>
      </w:pPr>
      <w:r>
        <w:rPr>
          <w:rFonts w:ascii="Times New Roman" w:hAnsi="Times New Roman" w:cs="Times New Roman"/>
          <w:sz w:val="24"/>
          <w:sz-cs w:val="24"/>
        </w:rPr>
        <w:t xml:space="preserve"/>
        <w:br w:type="page"/>
        <w:t xml:space="preserve">הראויה לסתירות בדבריו של המתלונן ביחס לכלי שבו ביצע המערער את המעשה, סתירות המקבלות משנה חשיבות, לטענתו, בהתחשב בעובדה כי מדובר בעד יחיד.</w:t>
      </w:r>
    </w:p>
    <w:p>
      <w:pPr>
        <w:jc w:val="both"/>
        <w:bidi/>
        <w:spacing w:after="240"/>
      </w:pPr>
      <w:r>
        <w:rPr>
          <w:rFonts w:ascii="Times New Roman" w:hAnsi="Times New Roman" w:cs="Times New Roman"/>
          <w:sz w:val="24"/>
          <w:sz-cs w:val="24"/>
        </w:rPr>
        <w:t xml:space="preserve">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שמע את גירסת המתלונן ואת גירסת המערער והחליט לבסוף להעדיף את עדותו של המתלונן על עדות המערער. בהתאם לכך דחה את גירסת המערער ביחס לטענת ההגנה העצמית.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ביסס את מסקנתו הן על הסתירות הרבות בין גירסותיו השונות של המערער, והן על העובדה שהמערער עצמו הודה למעשה בהודעתו במשטרה ובחקירה נגדית כי מעשהו לא בוצע מתוך הגנה עצמית, אלא נעשה ברגע של זעם ובלהט המריבה.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הוסיף וקבע כי גם אם היה מקבל את הטענה כי מעשהו של המערער היה מעשה של הגנה עצמית, הרי שאין ספק שמעשהו אינו עומד בתנאים הנדרשים בחוק כדי להחיל את הסייג לאחריות עקב הגנה עצמית, משום שתגובתו חרגה מן הסביר. </w:t>
      </w:r>
    </w:p>
    <w:p>
      <w:pPr>
        <w:jc w:val="both"/>
        <w:bidi/>
        <w:spacing w:after="240"/>
      </w:pPr>
      <w:r>
        <w:rPr>
          <w:rFonts w:ascii="Times New Roman" w:hAnsi="Times New Roman" w:cs="Times New Roman"/>
          <w:sz w:val="24"/>
          <w:sz-cs w:val="24"/>
        </w:rPr>
        <w:t xml:space="preserve">קביעותיו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מתבססות במידה רבה על מימצאי מהימנות אשר נקבעו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ידיו, ואשר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של הערעור ממעט להתערב בהם.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התרשם מעדויותיהם של המתלונן ושל המערער, התייחס לסתירות בעדותו של המערער, ואף נתן דעתו על חוסר הבהירות המסוימת שעלתה מעדות המתלונן, ולבסוף העדיף את גירסת המתלונן על פני גירסתו של המערער. בהתחשב בזאת ולאחר עיון בחומר שלפנינו לא ראינו להתערב בקביעות שעליהן ביסס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את הכרעת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w:t>
      </w:r>
    </w:p>
    <w:p>
      <w:pPr>
        <w:jc w:val="both"/>
        <w:bidi/>
        <w:spacing w:after="240"/>
      </w:pPr>
      <w:r>
        <w:rPr>
          <w:rFonts w:ascii="Times New Roman" w:hAnsi="Times New Roman" w:cs="Times New Roman"/>
          <w:sz w:val="24"/>
          <w:sz-cs w:val="24"/>
        </w:rPr>
        <w:t xml:space="preserve">3.</w:t>
        <w:tab/>
        <w:t xml:space="preserve"/>
      </w:r>
      <w:r>
        <w:rPr>
          <w:rFonts w:ascii="Times New Roman" w:hAnsi="Times New Roman" w:cs="Times New Roman"/>
          <w:sz w:val="24"/>
          <w:sz-cs w:val="24"/>
          <w:b/>
        </w:rPr>
        <w:t xml:space="preserve">ערעור וערעור שכנגד ביחס לעונש</w:t>
      </w:r>
    </w:p>
    <w:p>
      <w:pPr>
        <w:jc w:val="both"/>
        <w:bidi/>
        <w:spacing w:after="240"/>
      </w:pPr>
      <w:r>
        <w:rPr>
          <w:rFonts w:ascii="Times New Roman" w:hAnsi="Times New Roman" w:cs="Times New Roman"/>
          <w:sz w:val="24"/>
          <w:sz-cs w:val="24"/>
        </w:rPr>
        <w:t xml:space="preserve">בגזירת דינו של המערער שקל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שיקולים שונים לקולה ולחומרה.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ראה חומרה בעברו הפלילי העשיר של המערער, הכולל עבירות אלימות שונות, ונתן דעתו על העובדה שהמערער ביצע את העבירה בהיות ערעור שלו תלוי ועומד על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ב</w:t>
      </w:r>
      <w:r>
        <w:rPr>
          <w:rFonts w:ascii="Times New Roman" w:hAnsi="Times New Roman" w:cs="Times New Roman"/>
          <w:sz w:val="24"/>
          <w:sz-cs w:val="24"/>
          <w:u w:val="single"/>
          <w:color w:val="0000FF"/>
        </w:rPr>
        <w:t xml:space="preserve">HYPERLINK "http://www.nevo.co.il/case/7934357"</w:t>
      </w:r>
      <w:r>
        <w:rPr>
          <w:rFonts w:ascii="Times New Roman" w:hAnsi="Times New Roman" w:cs="Times New Roman"/>
          <w:sz w:val="24"/>
          <w:sz-cs w:val="24"/>
          <w:u w:val="single"/>
          <w:color w:val="0000FF"/>
        </w:rPr>
        <w:t xml:space="preserve">ת"פ 367/96</w:t>
      </w:r>
      <w:r>
        <w:rPr>
          <w:rFonts w:ascii="Times New Roman" w:hAnsi="Times New Roman" w:cs="Times New Roman"/>
          <w:sz w:val="24"/>
          <w:sz-cs w:val="24"/>
        </w:rPr>
        <w:t xml:space="preserve"> ו</w:t>
      </w:r>
      <w:r>
        <w:rPr>
          <w:rFonts w:ascii="Times New Roman" w:hAnsi="Times New Roman" w:cs="Times New Roman"/>
          <w:sz w:val="24"/>
          <w:sz-cs w:val="24"/>
          <w:u w:val="single"/>
          <w:color w:val="0000FF"/>
        </w:rPr>
        <w:t xml:space="preserve"> HYPERLINK "http://www.nevo.co.il/links/psika/?link=תפ 283/96" </w:t>
      </w:r>
      <w:r>
        <w:rPr>
          <w:rFonts w:ascii="Times New Roman" w:hAnsi="Times New Roman" w:cs="Times New Roman"/>
          <w:sz w:val="24"/>
          <w:sz-cs w:val="24"/>
          <w:u w:val="single"/>
          <w:color w:val="0000FF"/>
        </w:rPr>
        <w:t xml:space="preserve">ת"פ 283/96</w:t>
      </w:r>
      <w:r>
        <w:rPr>
          <w:rFonts w:ascii="Times New Roman" w:hAnsi="Times New Roman" w:cs="Times New Roman"/>
          <w:sz w:val="24"/>
          <w:sz-cs w:val="24"/>
        </w:rPr>
        <w:t xml:space="preserve">, שעניינם היה בעבירות של זיוף ואלימות. כמו כן ציין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לחומרה את מידת הפגיעה במתלונן ואת היות המעשה בבחינת "מכת מדינה", תופעה שלילית שפושה במקומותינו. בין השיקולים לקולה מנה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את העובדה שהמערער לא נטש את המתלונן בזירת האירוע, אלא גילה דאגה כלפיו ואף הביאו לבית החולים, את העובדה כי המערער שיתף פעולה בחקירתו במשטרה ואת מצבו הבריאותי הרעוע. כן ציין כי גם אם המעשה שבו הוא הורשע לא היה בבחינת הגנה עצמית, הרי שהמעשה נעשה על רקע תגרה בין המערער למתלונן, שבה גם המתלונן לא טמן ידו בצלחת. לזכותו של המערער עמדה גם העובדה </w:t>
      </w:r>
    </w:p>
    <w:p>
      <w:pPr>
        <w:jc w:val="both"/>
        <w:bidi/>
        <w:spacing w:after="240"/>
      </w:pPr>
      <w:r>
        <w:rPr>
          <w:rFonts w:ascii="Times New Roman" w:hAnsi="Times New Roman" w:cs="Times New Roman"/>
          <w:sz w:val="24"/>
          <w:sz-cs w:val="24"/>
        </w:rPr>
        <w:t xml:space="preserve"/>
        <w:br w:type="page"/>
        <w:t xml:space="preserve">כי מאז ביצוע העבירה ועד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שלוש שנים מאוחר יותר, לא היה מעורב בכל עבירה נוספת. בהתבסס על השיקולים לקולה ולחומרה גזר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על המערער מאסר בפועל בן 8 חודשים ומאסר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של 12 חודשים אם יעבור עבירת אלימות מסוג פשע בתוך 3 שנים מיום שחרורו מן המאסר. </w:t>
      </w:r>
    </w:p>
    <w:p>
      <w:pPr>
        <w:jc w:val="both"/>
        <w:bidi/>
        <w:spacing w:after="240"/>
      </w:pPr>
      <w:r>
        <w:rPr>
          <w:rFonts w:ascii="Times New Roman" w:hAnsi="Times New Roman" w:cs="Times New Roman"/>
          <w:sz w:val="24"/>
          <w:sz-cs w:val="24"/>
        </w:rPr>
        <w:t xml:space="preserve">בערעור על חומרת העונש טען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 המערער כי יש להקל בעונש בהתחשב בכך שגם אם תגובתו של המערער חרגה מן הסביר, הרי היא נעשתה בנסיבות של הגנה עצמית. כמו כן ביקש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 המערער לראות בחלוף הזמן הרב מאז ההרשעה שיקול נוסף להקל בעונשו של המערער. מנגד טענה המדינה, כי יש להחמיר בעונשו של המערער בהתחשב בחומרת הפגיעות שנגרמו למתלונן ובהתחשב בעברו הפלילי העשיר של המערער. טענה נוספת של המדינה נוגעת להפעלת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התלוי ועומד נגד המערער. בעניין זה העלתה המדינה טענה משפטית בדבר תחולתו של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נאשם שהורשע והוא ממתין לריצוי עונשו עקב דחיית ביצוע העונש. </w:t>
      </w:r>
    </w:p>
    <w:p>
      <w:pPr>
        <w:jc w:val="both"/>
        <w:bidi/>
        <w:spacing w:after="240"/>
      </w:pPr>
      <w:r>
        <w:rPr>
          <w:rFonts w:ascii="Times New Roman" w:hAnsi="Times New Roman" w:cs="Times New Roman"/>
          <w:sz w:val="24"/>
          <w:sz-cs w:val="24"/>
        </w:rPr>
        <w:t xml:space="preserve">נוכח חשיבותה של השאלה העקרונית האמורה, ובהתחשב בקיומה של פסיקה קודמת שדנה בסוגיה דומה אשר יש לבחון את השלכתה לענייננו (</w:t>
      </w:r>
      <w:r>
        <w:rPr>
          <w:rFonts w:ascii="Times New Roman" w:hAnsi="Times New Roman" w:cs="Times New Roman"/>
          <w:sz w:val="24"/>
          <w:sz-cs w:val="24"/>
          <w:u w:val="single"/>
          <w:color w:val="0000FF"/>
        </w:rPr>
        <w:t xml:space="preserve">HYPERLINK "http://www.nevo.co.il/case/6107834"רע"פ 7589/97</w:t>
      </w:r>
      <w:r>
        <w:rPr>
          <w:rFonts w:ascii="Times New Roman" w:hAnsi="Times New Roman" w:cs="Times New Roman"/>
          <w:sz w:val="24"/>
          <w:sz-cs w:val="24"/>
        </w:rPr>
        <w:t xml:space="preserve"> רחמים נ' מדינת ישראל (להלן – עניין </w:t>
      </w:r>
      <w:r>
        <w:rPr>
          <w:rFonts w:ascii="Times New Roman" w:hAnsi="Times New Roman" w:cs="Times New Roman"/>
          <w:sz w:val="24"/>
          <w:sz-cs w:val="24"/>
          <w:b/>
        </w:rPr>
        <w:t xml:space="preserve">רחמים [1]</w:t>
      </w:r>
      <w:r>
        <w:rPr>
          <w:rFonts w:ascii="Times New Roman" w:hAnsi="Times New Roman" w:cs="Times New Roman"/>
          <w:sz w:val="24"/>
          <w:sz-cs w:val="24"/>
        </w:rPr>
        <w:t xml:space="preserve">)), החליט ההרכב המקורי כי השאלה תידון בפני הרכב מורחב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לפיכך התכנסנו פעם נוספת בהרכב של שבעה שופטים; הוגשו לנו טיעונים מפורטים בכתב, ואף הסניגוריה הציבורית הצטרפה להליך והגישה לנו טיעוניה. כן ניתנה לצדדים הזדמנות להשמיע טיעוני השלמה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פה. בעת הדיון בפני ההרכב המורחב הודיעה באת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 המדינה כי היא אינה עומדת עוד על טיעוניה לעניין החמרת עונשו של המשיב (המערער) עקב הזמן הרב שחלף מאז הגשת הערעור שכנגד, אלא מבקשת היא רק להעמיד את ההלכה על מכונה בנוגע לשאלת ההפעלה של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נאשם שהורשע, ובעת תקופת עיכוב ביצוע העונש שהושת עליו ביצע עבירה נוספת. בנסיבות אלה ומן הטעם של חלוף הזמן בלבד אנו דוחים את הערעור על קולת העונש, אף כי בהתחשב במעשים שהמערער הורשע בהם ובעברו הפלילי העונש שנגזר עליו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נוטה לקולה. בטרם נכריע לעניין עונשו של המערער נוכח חלוף הזמן, אנו מבקשים את חוות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דעתו של הממונה על עבודות השירות בתוך 30 יום אם ניתן להעסיק את המערער בעבודות כאמור. ומכאן לשאלה העקרונית שהוצבה לפתחנו. </w:t>
      </w:r>
    </w:p>
    <w:p>
      <w:pPr>
        <w:jc w:val="both"/>
        <w:bidi/>
        <w:spacing w:after="240"/>
      </w:pPr>
      <w:r>
        <w:rPr>
          <w:rFonts w:ascii="Times New Roman" w:hAnsi="Times New Roman" w:cs="Times New Roman"/>
          <w:sz w:val="24"/>
          <w:sz-cs w:val="24"/>
        </w:rPr>
        <w:t xml:space="preserve"/>
      </w:r>
    </w:p>
    <w:p>
      <w:pPr>
        <w:jc w:val="both"/>
        <w:bidi/>
        <w:spacing w:after="240"/>
      </w:pPr>
      <w:r>
        <w:rPr>
          <w:rFonts w:ascii="Times New Roman" w:hAnsi="Times New Roman" w:cs="Times New Roman"/>
          <w:sz w:val="24"/>
          <w:sz-cs w:val="24"/>
        </w:rPr>
        <w:t xml:space="preserve"/>
        <w:br w:type="page"/>
        <w:t xml:space="preserve">4.</w:t>
        <w:tab/>
        <w:t xml:space="preserve"/>
      </w:r>
      <w:r>
        <w:rPr>
          <w:rFonts w:ascii="Times New Roman" w:hAnsi="Times New Roman" w:cs="Times New Roman"/>
          <w:sz w:val="24"/>
          <w:sz-cs w:val="24"/>
          <w:b/>
        </w:rPr>
        <w:t xml:space="preserve">תחולת המאסר על</w:t>
      </w:r>
      <w:r>
        <w:rPr>
          <w:rFonts w:ascii="Times New Roman" w:hAnsi="Times New Roman" w:cs="Times New Roman"/>
          <w:sz w:val="24"/>
          <w:sz-cs w:val="24"/>
          <w:position w:val="4"/>
        </w:rPr>
        <w:t xml:space="preserve">-</w:t>
      </w:r>
      <w:r>
        <w:rPr>
          <w:rFonts w:ascii="Times New Roman" w:hAnsi="Times New Roman" w:cs="Times New Roman"/>
          <w:sz w:val="24"/>
          <w:sz-cs w:val="24"/>
          <w:b/>
        </w:rPr>
        <w:t xml:space="preserve">תנאי</w:t>
      </w:r>
    </w:p>
    <w:p>
      <w:pPr>
        <w:jc w:val="both"/>
        <w:bidi/>
        <w:spacing w:after="240"/>
      </w:pPr>
      <w:r>
        <w:rPr>
          <w:rFonts w:ascii="Times New Roman" w:hAnsi="Times New Roman" w:cs="Times New Roman"/>
          <w:sz w:val="24"/>
          <w:sz-cs w:val="24"/>
        </w:rPr>
        <w:t xml:space="preserve">השאלה העקרונית הטעונה הכרעה היא אם ביצועה של עבירה נוספת בתקופה שבה עונש המאסר מעוכב מכוח סמכותו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לפי סעיף 87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יביא להפעלת עונש של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הנידון מכוח הוראת סעיף 52(ג) לחוק העונשין.</w:t>
      </w:r>
    </w:p>
    <w:p>
      <w:pPr>
        <w:jc w:val="both"/>
        <w:bidi/>
        <w:spacing w:after="240"/>
      </w:pPr>
      <w:r>
        <w:rPr>
          <w:rFonts w:ascii="Times New Roman" w:hAnsi="Times New Roman" w:cs="Times New Roman"/>
          <w:sz w:val="24"/>
          <w:sz-cs w:val="24"/>
        </w:rPr>
        <w:t xml:space="preserve">הרקע העובדתי</w:t>
      </w:r>
    </w:p>
    <w:p>
      <w:pPr>
        <w:jc w:val="both"/>
        <w:bidi/>
        <w:spacing w:after="240"/>
      </w:pPr>
      <w:r>
        <w:rPr>
          <w:rFonts w:ascii="Times New Roman" w:hAnsi="Times New Roman" w:cs="Times New Roman"/>
          <w:sz w:val="24"/>
          <w:sz-cs w:val="24"/>
        </w:rPr>
        <w:t xml:space="preserve">להלן תיאור השתלשלות האירועים ביחס להרשעתו הקודמת של המערער, שמהווה את המסגרת העובדתית לדיון בשאלת תחולת התנאי על העבירה הנוכחית, נושא הערעור שלפנינו.</w:t>
      </w:r>
    </w:p>
    <w:p>
      <w:pPr>
        <w:jc w:val="both"/>
        <w:bidi/>
        <w:spacing w:after="240"/>
      </w:pPr>
      <w:r>
        <w:rPr>
          <w:rFonts w:ascii="Times New Roman" w:hAnsi="Times New Roman" w:cs="Times New Roman"/>
          <w:sz w:val="24"/>
          <w:sz-cs w:val="24"/>
        </w:rPr>
        <w:t xml:space="preserve">בתאריך 12.2.1997 נגזר דינו של המערער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בבאר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שבע, ב</w:t>
      </w:r>
      <w:r>
        <w:rPr>
          <w:rFonts w:ascii="Times New Roman" w:hAnsi="Times New Roman" w:cs="Times New Roman"/>
          <w:sz w:val="24"/>
          <w:sz-cs w:val="24"/>
          <w:u w:val="single"/>
          <w:color w:val="0000FF"/>
        </w:rPr>
        <w:t xml:space="preserve"> HYPERLINK "http://www.nevo.co.il/links/psika/?link=תפ 283/96" </w:t>
      </w:r>
      <w:r>
        <w:rPr>
          <w:rFonts w:ascii="Times New Roman" w:hAnsi="Times New Roman" w:cs="Times New Roman"/>
          <w:sz w:val="24"/>
          <w:sz-cs w:val="24"/>
          <w:u w:val="single"/>
          <w:color w:val="0000FF"/>
        </w:rPr>
        <w:t xml:space="preserve">ת"פ 283/96</w:t>
      </w:r>
      <w:r>
        <w:rPr>
          <w:rFonts w:ascii="Times New Roman" w:hAnsi="Times New Roman" w:cs="Times New Roman"/>
          <w:sz w:val="24"/>
          <w:sz-cs w:val="24"/>
        </w:rPr>
        <w:t xml:space="preserve"> וב</w:t>
      </w:r>
      <w:r>
        <w:rPr>
          <w:rFonts w:ascii="Times New Roman" w:hAnsi="Times New Roman" w:cs="Times New Roman"/>
          <w:sz w:val="24"/>
          <w:sz-cs w:val="24"/>
          <w:u w:val="single"/>
          <w:color w:val="0000FF"/>
        </w:rPr>
        <w:t xml:space="preserve">HYPERLINK "http://www.nevo.co.il/case/7934357"</w:t>
      </w:r>
      <w:r>
        <w:rPr>
          <w:rFonts w:ascii="Times New Roman" w:hAnsi="Times New Roman" w:cs="Times New Roman"/>
          <w:sz w:val="24"/>
          <w:sz-cs w:val="24"/>
          <w:u w:val="single"/>
          <w:color w:val="0000FF"/>
        </w:rPr>
        <w:t xml:space="preserve">ת"פ 367/96</w:t>
      </w:r>
      <w:r>
        <w:rPr>
          <w:rFonts w:ascii="Times New Roman" w:hAnsi="Times New Roman" w:cs="Times New Roman"/>
          <w:sz w:val="24"/>
          <w:sz-cs w:val="24"/>
        </w:rPr>
        <w:t xml:space="preserve"> (להלן –</w:t>
      </w:r>
      <w:r>
        <w:rPr>
          <w:rFonts w:ascii="Times New Roman" w:hAnsi="Times New Roman" w:cs="Times New Roman"/>
          <w:sz w:val="24"/>
          <w:sz-cs w:val="24"/>
          <w:b/>
        </w:rPr>
        <w:t xml:space="preserve">ההרשעה הקודמת</w:t>
      </w:r>
      <w:r>
        <w:rPr>
          <w:rFonts w:ascii="Times New Roman" w:hAnsi="Times New Roman" w:cs="Times New Roman"/>
          <w:sz w:val="24"/>
          <w:sz-cs w:val="24"/>
        </w:rPr>
        <w:t xml:space="preserve">) בגין שני כתבי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אישום שבהם הודה. על המערער הוטלו 11 חודשי מאסר בפועל, ובהם 8 חודשים בגין ההרשעה ו</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3 חודשים נוספים מתוך 7 חודשי מאסר מותנה שיתרתם הופעלה באופן חופף. כן הוטלו על המערער 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12 חודשי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אם יעבור במשך 3 שנים "</w:t>
      </w:r>
      <w:r>
        <w:rPr>
          <w:rFonts w:ascii="Times New Roman" w:hAnsi="Times New Roman" w:cs="Times New Roman"/>
          <w:sz w:val="24"/>
          <w:sz-cs w:val="24"/>
          <w:b/>
        </w:rPr>
        <w:t xml:space="preserve">מיום שחרורו מן הכלא" </w:t>
      </w:r>
      <w:r>
        <w:rPr>
          <w:rFonts w:ascii="Times New Roman" w:hAnsi="Times New Roman" w:cs="Times New Roman"/>
          <w:sz w:val="24"/>
          <w:sz-cs w:val="24"/>
        </w:rPr>
        <w:t xml:space="preserve">עבירה בניגוד לסעיפים 379, 413ח או 415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או עבירה מסוג פשע. מיד לאחר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בהרשעה הקודמת ביקש המערער לדחות את ריצוי עונש המאסר בטענה שרעייתו עומדת בפני ניתוח.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נעתר לבקשה ודחה את תחילת ריצוי העונש ליום 2.3.1997 תוך שקבע תנאים לשחרורו של המערער בערובה. המערער הגיש ערעור על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בגין ההרשעה הקודמת לבית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ובמסגרתו ביקש את עיכוב ביצוע העונש עד לדיון בערעור. ביום 20.2.1997, בהסכמת המדינה, נעתר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לבקשה והורה על "עיכוב תחילת ריצוי המאסר עד למתן פסק דין בערעור". ביום 23.6.1997, בעת שביצוע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היה מעוכב, ובטרם נדון הערעור ביחס לעונש בגין ההרשעה הקודמת, ביצע המשיב עבירה נוספת – היא העבירה נושא הערעור שלפנינו (להלן –</w:t>
      </w:r>
      <w:r>
        <w:rPr>
          <w:rFonts w:ascii="Times New Roman" w:hAnsi="Times New Roman" w:cs="Times New Roman"/>
          <w:sz w:val="24"/>
          <w:sz-cs w:val="24"/>
          <w:b/>
        </w:rPr>
        <w:t xml:space="preserve">העבירה הנוכחית</w:t>
      </w:r>
      <w:r>
        <w:rPr>
          <w:rFonts w:ascii="Times New Roman" w:hAnsi="Times New Roman" w:cs="Times New Roman"/>
          <w:sz w:val="24"/>
          <w:sz-cs w:val="24"/>
        </w:rPr>
        <w:t xml:space="preserve">). ביום 10.12.1997 ניתן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בערעור על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בגין ההרשעה הקודמת, ובו הפחית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את משך המאסר בפועל והעמידו על 7 חודשים במקום 11 חודשים, ואילו ביחס למאסר המותנה קבע כי יעמוד בעינו. </w:t>
      </w:r>
    </w:p>
    <w:p>
      <w:pPr>
        <w:jc w:val="both"/>
        <w:bidi/>
        <w:spacing w:after="240"/>
      </w:pPr>
      <w:r>
        <w:rPr>
          <w:rFonts w:ascii="Times New Roman" w:hAnsi="Times New Roman" w:cs="Times New Roman"/>
          <w:sz w:val="24"/>
          <w:sz-cs w:val="24"/>
        </w:rPr>
        <w:t xml:space="preserve">5.</w:t>
        <w:tab/>
        <w:t xml:space="preserve"> ביום 5.10.2000 גזר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את דינו של המערער בגין העבירה הנוכחית, נושא הערעור שלפנינו. 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לא נעתר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לבקשת המדינה להפעיל את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שנגזר על המערער בהרשעה הקודמת, משום שסבר </w:t>
      </w:r>
    </w:p>
    <w:p>
      <w:pPr>
        <w:jc w:val="both"/>
        <w:bidi/>
        <w:spacing w:after="240"/>
      </w:pPr>
      <w:r>
        <w:rPr>
          <w:rFonts w:ascii="Times New Roman" w:hAnsi="Times New Roman" w:cs="Times New Roman"/>
          <w:sz w:val="24"/>
          <w:sz-cs w:val="24"/>
        </w:rPr>
        <w:t xml:space="preserve"/>
        <w:br w:type="page"/>
        <w:t xml:space="preserve">כי בעת ביצוע העבירה הנוכחית, בתקופה שבה ביצוע עונש המאסר בשל ההרשעה הקודמת היה מעוכב עד למתן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בערעור, לא היה המערער כפוף לתנאי. על הכרעה זו מערערת המדינה הגורסת כי בתקופה שבה ביצע המערער את העבירה נושא הערעור חל עליו, מכוח 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שהוטל עליו עקב ההרשעה הקודמת. </w:t>
      </w:r>
    </w:p>
    <w:p>
      <w:pPr>
        <w:jc w:val="both"/>
        <w:bidi/>
        <w:spacing w:after="240"/>
      </w:pPr>
      <w:r>
        <w:rPr>
          <w:rFonts w:ascii="Times New Roman" w:hAnsi="Times New Roman" w:cs="Times New Roman"/>
          <w:sz w:val="24"/>
          <w:sz-cs w:val="24"/>
        </w:rPr>
        <w:t xml:space="preserve">השאלה המשפטית</w:t>
      </w:r>
    </w:p>
    <w:p>
      <w:pPr>
        <w:jc w:val="both"/>
        <w:bidi/>
        <w:spacing w:after="240"/>
      </w:pPr>
      <w:r>
        <w:rPr>
          <w:rFonts w:ascii="Times New Roman" w:hAnsi="Times New Roman" w:cs="Times New Roman"/>
          <w:sz w:val="24"/>
          <w:sz-cs w:val="24"/>
        </w:rPr>
        <w:t xml:space="preserve"> 6. </w:t>
        <w:tab/>
        <w:t xml:space="preserve">הוראת החוק החלה על העניין היא ההוראה הקבועה בסעיף 52(ג)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שזו לשונו:</w:t>
      </w:r>
    </w:p>
    <w:p>
      <w:pPr>
        <w:jc w:val="both"/>
        <w:bidi/>
        <w:spacing w:before="40"/>
      </w:pPr>
      <w:r>
        <w:rPr>
          <w:rFonts w:ascii="Times New Roman" w:hAnsi="Times New Roman" w:cs="Times New Roman"/>
          <w:sz w:val="24"/>
          <w:sz-cs w:val="24"/>
        </w:rPr>
        <w:t xml:space="preserve">"</w:t>
      </w:r>
      <w:r>
        <w:rPr>
          <w:rFonts w:ascii="Times New Roman" w:hAnsi="Times New Roman" w:cs="Times New Roman"/>
          <w:sz w:val="20"/>
          <w:sz-cs w:val="20"/>
        </w:rPr>
        <w:t xml:space="preserve">מאסר על   תנאי </w:t>
      </w:r>
      <w:r>
        <w:rPr>
          <w:rFonts w:ascii="Times New Roman" w:hAnsi="Times New Roman" w:cs="Times New Roman"/>
          <w:sz w:val="24"/>
          <w:sz-cs w:val="24"/>
        </w:rPr>
        <w:t xml:space="preserve"/>
      </w:r>
    </w:p>
    <w:p>
      <w:pPr>
        <w:jc w:val="both"/>
        <w:bidi/>
        <w:ind w:right="34"/>
        <w:spacing w:after="120"/>
      </w:pPr>
      <w:r>
        <w:rPr>
          <w:rFonts w:ascii="Times New Roman" w:hAnsi="Times New Roman" w:cs="Times New Roman"/>
          <w:sz w:val="4"/>
          <w:sz-cs w:val="4"/>
          <w:color w:val="FFFFFF"/>
        </w:rPr>
        <w:t xml:space="preserve"/>
      </w:r>
      <w:r>
        <w:rPr>
          <w:rFonts w:ascii="Times New Roman" w:hAnsi="Times New Roman" w:cs="Times New Roman"/>
          <w:sz w:val="24"/>
          <w:sz-cs w:val="24"/>
        </w:rPr>
        <w:t xml:space="preserve">52. (א)   ...</w:t>
      </w:r>
    </w:p>
    <w:p>
      <w:pPr>
        <w:jc w:val="both"/>
        <w:bidi/>
        <w:ind w:left="743" w:right="34" w:first-line="-426"/>
        <w:spacing w:after="120"/>
      </w:pPr>
      <w:r>
        <w:rPr>
          <w:rFonts w:ascii="Times New Roman" w:hAnsi="Times New Roman" w:cs="Times New Roman"/>
          <w:sz w:val="24"/>
          <w:sz-cs w:val="24"/>
        </w:rPr>
        <w:t xml:space="preserve">(ב)   ...</w:t>
      </w:r>
    </w:p>
    <w:p>
      <w:pPr>
        <w:jc w:val="both"/>
        <w:bidi/>
        <w:ind w:left="743" w:right="34" w:first-line="-426"/>
        <w:spacing w:after="240"/>
      </w:pPr>
      <w:r>
        <w:rPr>
          <w:rFonts w:ascii="Times New Roman" w:hAnsi="Times New Roman" w:cs="Times New Roman"/>
          <w:sz w:val="24"/>
          <w:sz-cs w:val="24"/>
        </w:rPr>
        <w:t xml:space="preserve">(ג)   תקופת התנאי תתחיל ביום מתן גזר הדין ואם הנידון נושא אותו זמן עונש מאסר – ביום שחרורו מן המאסר; אולם תקופה שאסיר נמצא בה מחוץ לבית הסוהר בשל שחרור בערובה מכח סימן ב' בפרק ג' ל</w:t>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[נוסח משולב],</w:t>
        <w:br/>
        <w:t xml:space="preserve">התשמ"ב-1982, בשל חופשה מיוחדת או מכח סימן ב1 לפרק ו', יראו אותה כתקופת תנאי מצטברת לתקופת התנאי שקבע בית המשפט; והכל כשבית המשפט לא הורה אחרת".</w:t>
      </w:r>
      <w:r>
        <w:rPr>
          <w:rFonts w:ascii="Times New Roman" w:hAnsi="Times New Roman" w:cs="Times New Roman"/>
          <w:sz w:val="4"/>
          <w:sz-cs w:val="4"/>
          <w:color w:val="FFFFFF"/>
        </w:rPr>
        <w:t xml:space="preserve"/>
      </w:r>
    </w:p>
    <w:p>
      <w:pPr>
        <w:jc w:val="both"/>
        <w:bidi/>
        <w:spacing w:after="240"/>
      </w:pPr>
      <w:r>
        <w:rPr>
          <w:rFonts w:ascii="Times New Roman" w:hAnsi="Times New Roman" w:cs="Times New Roman"/>
          <w:sz w:val="24"/>
          <w:sz-cs w:val="24"/>
        </w:rPr>
        <w:t xml:space="preserve">סעיף זה פורש בפסיקה כמגדיר שתי תקופות שונות שבהן חל התנאי: התקופה הראשונה היא תקופת התנאי שקבע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והיא מכונה "תקופת התנאי השיפוטית". תקופה זו תתחיל ביום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ואם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מוטל על נידון הנושא אותו זמן עונש מאסר, התנאי יתחיל עם שחרורו מן המאסר. כפי שעוד יפורט, קבע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זה כי גם אם הנידון לא היה מצוי במאסר בטרם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אולם 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הוטל עליו עונש של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לצד עונש של מאסר בפועל, תחול תקופת התנאי השיפוטית החל ביום שחרורו ממאסר. כתוצאה מכך התנאי השיפוטי אינו חל על תקופת המאסר בפועל. התקופה השנייה המוגדרת בחוק כ"תקופת תנאי מצטברת </w:t>
      </w:r>
    </w:p>
    <w:p>
      <w:pPr>
        <w:jc w:val="both"/>
        <w:bidi/>
        <w:spacing w:after="240"/>
      </w:pPr>
      <w:r>
        <w:rPr>
          <w:rFonts w:ascii="Times New Roman" w:hAnsi="Times New Roman" w:cs="Times New Roman"/>
          <w:sz w:val="24"/>
          <w:sz-cs w:val="24"/>
        </w:rPr>
        <w:t xml:space="preserve"/>
        <w:br w:type="page"/>
        <w:t xml:space="preserve">לתקופת התנאי שקבע בית המשפט" היא תקופה שבה "האסיר טרם שוחרר ממאסר, אך הלכה למעשה הוא אינו מצוי בבית הסוהר" (</w:t>
      </w:r>
      <w:r>
        <w:rPr>
          <w:rFonts w:ascii="Times New Roman" w:hAnsi="Times New Roman" w:cs="Times New Roman"/>
          <w:sz w:val="24"/>
          <w:sz-cs w:val="24"/>
          <w:u w:val="single"/>
          <w:color w:val="0000FF"/>
        </w:rPr>
        <w:t xml:space="preserve">HYPERLINK "http://www.nevo.co.il/case/17913280"</w:t>
      </w:r>
      <w:r>
        <w:rPr>
          <w:rFonts w:ascii="Times New Roman" w:hAnsi="Times New Roman" w:cs="Times New Roman"/>
          <w:sz w:val="24"/>
          <w:sz-cs w:val="24"/>
          <w:u w:val="single"/>
          <w:color w:val="0000FF"/>
        </w:rPr>
        <w:t xml:space="preserve">ע"פ 1779/92</w:t>
      </w:r>
      <w:r>
        <w:rPr>
          <w:rFonts w:ascii="Times New Roman" w:hAnsi="Times New Roman" w:cs="Times New Roman"/>
          <w:sz w:val="24"/>
          <w:sz-cs w:val="24"/>
        </w:rPr>
        <w:t xml:space="preserve"> מדינת ישראל נ' כחיל (להלן –עניין </w:t>
      </w:r>
      <w:r>
        <w:rPr>
          <w:rFonts w:ascii="Times New Roman" w:hAnsi="Times New Roman" w:cs="Times New Roman"/>
          <w:sz w:val="24"/>
          <w:sz-cs w:val="24"/>
          <w:b/>
        </w:rPr>
        <w:t xml:space="preserve">כחיל [2]</w:t>
      </w:r>
      <w:r>
        <w:rPr>
          <w:rFonts w:ascii="Times" w:hAnsi="Times" w:cs="Times"/>
          <w:sz w:val="24"/>
          <w:sz-cs w:val="24"/>
        </w:rPr>
        <w:t xml:space="preserve">)</w:t>
      </w:r>
      <w:r>
        <w:rPr>
          <w:rFonts w:ascii="Times New Roman" w:hAnsi="Times New Roman" w:cs="Times New Roman"/>
          <w:sz w:val="24"/>
          <w:sz-cs w:val="24"/>
        </w:rPr>
        <w:t xml:space="preserve">, </w:t>
      </w:r>
      <w:r>
        <w:rPr>
          <w:rFonts w:ascii="Times New Roman" w:hAnsi="Times New Roman" w:cs="Times New Roman"/>
          <w:sz w:val="19"/>
          <w:sz-cs w:val="19"/>
        </w:rPr>
        <w:t xml:space="preserve">בעמ' 746</w:t>
      </w:r>
      <w:r>
        <w:rPr>
          <w:rFonts w:ascii="Times New Roman" w:hAnsi="Times New Roman" w:cs="Times New Roman"/>
          <w:sz w:val="24"/>
          <w:sz-cs w:val="24"/>
        </w:rPr>
        <w:t xml:space="preserve">). משום שתקופות אלה אינן נכללות בתקופת התנאי שגוזר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אלא נוספות עליה מכוח החוק, כונו תקופות אלה בפסיקתנו "תקופות התנאי הסטטוטוריות".</w:t>
      </w:r>
    </w:p>
    <w:p>
      <w:pPr>
        <w:jc w:val="both"/>
        <w:bidi/>
        <w:spacing w:after="240"/>
      </w:pPr>
      <w:r>
        <w:rPr>
          <w:rFonts w:ascii="Times New Roman" w:hAnsi="Times New Roman" w:cs="Times New Roman"/>
          <w:sz w:val="24"/>
          <w:sz-cs w:val="24"/>
        </w:rPr>
        <w:t xml:space="preserve"> סעיף 52(ג) לחוק מונה שלוש תקופות שונות הנכללות במסגרת תקופות התנאי הסטטוטוריות:האחת, תקופה שבה אסיר משוחרר בערובה מכוח סימן ב' בפרק ג' ל</w:t>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[נוסח משולב], תשמ"ב-1982 (להלן –חוק סדר הדין הפלילי) (כיום סימן ו' בפרק ב' ל</w:t>
      </w:r>
      <w:r>
        <w:rPr>
          <w:rFonts w:ascii="Times New Roman" w:hAnsi="Times New Roman" w:cs="Times New Roman"/>
          <w:sz w:val="24"/>
          <w:sz-cs w:val="24"/>
          <w:u w:val="single"/>
          <w:color w:val="0000FF"/>
        </w:rPr>
        <w:t xml:space="preserve"> HYPERLINK "http://www.nevo.co.il/law/98568" </w:t>
      </w:r>
      <w:r>
        <w:rPr>
          <w:rFonts w:ascii="Times New Roman" w:hAnsi="Times New Roman" w:cs="Times New Roman"/>
          <w:sz w:val="24"/>
          <w:sz-cs w:val="24"/>
          <w:u w:val="single"/>
          <w:color w:val="0000FF"/>
        </w:rPr>
        <w:t xml:space="preserve">חוק סדר הדין הפלילי (סמכויות אכיפה – מעצרים)</w:t>
      </w:r>
      <w:r>
        <w:rPr>
          <w:rFonts w:ascii="Times New Roman" w:hAnsi="Times New Roman" w:cs="Times New Roman"/>
          <w:sz w:val="24"/>
          <w:sz-cs w:val="24"/>
        </w:rPr>
        <w:t xml:space="preserve">,</w:t>
        <w:br/>
        <w:t xml:space="preserve">תשנ"ו-1996 (להלן – </w:t>
      </w:r>
      <w:r>
        <w:rPr>
          <w:rFonts w:ascii="Times New Roman" w:hAnsi="Times New Roman" w:cs="Times New Roman"/>
          <w:sz w:val="24"/>
          <w:sz-cs w:val="24"/>
          <w:u w:val="single"/>
          <w:color w:val="0000FF"/>
        </w:rPr>
        <w:t xml:space="preserve"> HYPERLINK "http://www.nevo.co.il/law/98568" </w:t>
      </w:r>
      <w:r>
        <w:rPr>
          <w:rFonts w:ascii="Times New Roman" w:hAnsi="Times New Roman" w:cs="Times New Roman"/>
          <w:sz w:val="24"/>
          <w:sz-cs w:val="24"/>
          <w:u w:val="single"/>
          <w:color w:val="0000FF"/>
        </w:rPr>
        <w:t xml:space="preserve">חוק המעצרים</w:t>
      </w:r>
      <w:r>
        <w:rPr>
          <w:rFonts w:ascii="Times New Roman" w:hAnsi="Times New Roman" w:cs="Times New Roman"/>
          <w:sz w:val="24"/>
          <w:sz-cs w:val="24"/>
        </w:rPr>
        <w:t xml:space="preserve">), ובייחוד סעיף 44 לחוק המעצרים). השנייה, תקופה שבה האסיר נמצא בחופשה מיוחדת. והשלישית, תקופה שבה אסיר משוחרר מכוח סימן ב1 לפרק ו'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כשהוא מרצה מאסרו בעבודות שירות. </w:t>
      </w:r>
    </w:p>
    <w:p>
      <w:pPr>
        <w:jc w:val="both"/>
        <w:bidi/>
        <w:spacing w:after="240"/>
      </w:pPr>
      <w:r>
        <w:rPr>
          <w:rFonts w:ascii="Times New Roman" w:hAnsi="Times New Roman" w:cs="Times New Roman"/>
          <w:sz w:val="24"/>
          <w:sz-cs w:val="24"/>
        </w:rPr>
        <w:t xml:space="preserve">7. </w:t>
        <w:tab/>
        <w:t xml:space="preserve">השאלה הנשאלת היא אם ביצוע עבירה נוספת בתקופה שבה עונש המאסר בפועל שנגזר בגין הרשעה קודמת מעוכב עד למתן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בערעור, יביא להפעלת המאסר המותנה. או במילים אחרות, האם תקופת עיכוב הביצוע נכללת בתקופת התנאי. במצב זה קיימות למעשה שלוש אפשרויות פרשניות: אפשרות אחת היא שבתקופה שבה מעוכב עונש המאסר בפועל תחול תקופת התנאי השיפוטית; אפשרות שנייה היא שהתקופה שבה מעוכב עונש המאסר בפועל נכללת בתקופת התנאי הסטטוטורית, כלומר: שתקופת העיכוב אמנם אינה נכללת בתקופת התנאי שגזר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אולם נכללת היא במסגרת תקופות התנאי המצטברות הקבועות בסעיף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אפשרות שלישית היא שהתנאי אינו חל כלל בתקופה שבה מעוכב ביצוע עונש המאסר בפועל ובטרם החל ריצוי המאסר – והכול כשבית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שהטיל את התנאי לא הורה לעניין זה הוראה אחרת. </w:t>
      </w:r>
    </w:p>
    <w:p>
      <w:pPr>
        <w:jc w:val="both"/>
        <w:bidi/>
        <w:spacing w:after="240"/>
      </w:pPr>
      <w:r>
        <w:rPr>
          <w:rFonts w:ascii="Times New Roman" w:hAnsi="Times New Roman" w:cs="Times New Roman"/>
          <w:sz w:val="24"/>
          <w:sz-cs w:val="24"/>
        </w:rPr>
        <w:t xml:space="preserve">8. </w:t>
        <w:tab/>
        <w:t xml:space="preserve">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סבר בעניין שלפנינו כי בתקופת עיכוב הביצוע של עונש המאסר אין המערער מצוי בתקופת התנאי השיפוטית שנגזרה עליו, ואף לא בתקופת התנאי הסטטוטורית מכוח סעיף 52(ג) לחוק, ולכן אין מקום להפעיל את המאסר המותנה שנגזר עליו בהרשעתו הקודמת. אשר לתקופת התנאי השיפוטית, הפעלת התנאי נמנעת, לדעת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בשל האמירה המפורשת 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ולפיה תקופת התנאי השיפוטית תחל "מיום שחרורו [של המערער] מהכלא", ועל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תקופה זו אינה חלה בעת עיכוב הביצוע </w:t>
      </w:r>
      <w:r>
        <w:rPr>
          <w:rFonts w:ascii="Times New Roman" w:hAnsi="Times New Roman" w:cs="Times New Roman"/>
          <w:sz w:val="24"/>
          <w:sz-cs w:val="24"/>
          <w:b/>
        </w:rPr>
        <w:t xml:space="preserve">בטרם</w:t>
      </w:r>
      <w:r>
        <w:rPr>
          <w:rFonts w:ascii="Times New Roman" w:hAnsi="Times New Roman" w:cs="Times New Roman"/>
          <w:sz w:val="24"/>
          <w:sz-cs w:val="24"/>
        </w:rPr>
        <w:t xml:space="preserve"> כניסתו לכלא. ביחס לתקופת התנאי הסטטוטורית מכוח סעיף 52(ג) לחוק סבר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כי היא אינה חלה על </w:t>
      </w:r>
    </w:p>
    <w:p>
      <w:pPr>
        <w:jc w:val="both"/>
        <w:bidi/>
        <w:spacing w:after="240"/>
      </w:pPr>
      <w:r>
        <w:rPr>
          <w:rFonts w:ascii="Times New Roman" w:hAnsi="Times New Roman" w:cs="Times New Roman"/>
          <w:sz w:val="24"/>
          <w:sz-cs w:val="24"/>
        </w:rPr>
        <w:t xml:space="preserve"/>
        <w:br w:type="page"/>
        <w:t xml:space="preserve">המקרה שלפנינו, משום שמלשון הסעיף עולה כי תקופת התנאי הסטטוטורית חלה רק על </w:t>
      </w:r>
      <w:r>
        <w:rPr>
          <w:rFonts w:ascii="Times New Roman" w:hAnsi="Times New Roman" w:cs="Times New Roman"/>
          <w:sz w:val="24"/>
          <w:sz-cs w:val="24"/>
          <w:b/>
        </w:rPr>
        <w:t xml:space="preserve">אסיר</w:t>
      </w:r>
      <w:r>
        <w:rPr>
          <w:rFonts w:ascii="Times New Roman" w:hAnsi="Times New Roman" w:cs="Times New Roman"/>
          <w:sz w:val="24"/>
          <w:sz-cs w:val="24"/>
        </w:rPr>
        <w:t xml:space="preserve"> היוצא מבית הסוהר, ואילו בעת ביצוע העבירה הנוספת היה המערער מחוץ לבית הסוהר </w:t>
      </w:r>
      <w:r>
        <w:rPr>
          <w:rFonts w:ascii="Times New Roman" w:hAnsi="Times New Roman" w:cs="Times New Roman"/>
          <w:sz w:val="24"/>
          <w:sz-cs w:val="24"/>
          <w:b/>
        </w:rPr>
        <w:t xml:space="preserve">לפני</w:t>
      </w:r>
      <w:r>
        <w:rPr>
          <w:rFonts w:ascii="Times New Roman" w:hAnsi="Times New Roman" w:cs="Times New Roman"/>
          <w:sz w:val="24"/>
          <w:sz-cs w:val="24"/>
        </w:rPr>
        <w:t xml:space="preserve"> שהפך לאסיר.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ציין כי תקופת עיכוב הביצוע של עונש המאסר בשל הגשת ערעור יכולה להימשך זמן רב, ולכן אין זה מוצדק להוסיף תקופה זו כך שתצטבר לתקופת התנאי השיפוטית שתחול על האסיר עם שחרורו. עמדה זו אינה מקובלת על המדינה. לטענת באת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כוחה, מתוך בחינת תכליתו של סעיף 52(ג) לחוק וההיסטוריה החקיקתית שלו עולה כי יש לראות בתקופת עיכוב הביצוע של עונש המאסר תקופת תנאי סטטוטורית, כך שביצוע עבירה בתקופה זו יביא להפעלת התנאי.   </w:t>
      </w:r>
    </w:p>
    <w:p>
      <w:pPr>
        <w:jc w:val="both"/>
        <w:bidi/>
        <w:spacing w:after="240"/>
      </w:pPr>
      <w:r>
        <w:rPr>
          <w:rFonts w:ascii="Times New Roman" w:hAnsi="Times New Roman" w:cs="Times New Roman"/>
          <w:sz w:val="24"/>
          <w:sz-cs w:val="24"/>
        </w:rPr>
        <w:t xml:space="preserve">9.</w:t>
        <w:tab/>
        <w:t xml:space="preserve"> כדי להכריע בערעור שלפנינו עלינו לעמוד על פרשנותו של סעיף 52(ג) לחוק על רקע תכליתו וההיסטוריה החקיקתית שלו. נוסחו של סעיף 52(ג) לחוק, לפני תיקונו, היה כדלקמן: </w:t>
      </w:r>
    </w:p>
    <w:p>
      <w:pPr>
        <w:jc w:val="both"/>
        <w:bidi/>
        <w:spacing w:before="40"/>
      </w:pPr>
      <w:r>
        <w:rPr>
          <w:rFonts w:ascii="Times New Roman" w:hAnsi="Times New Roman" w:cs="Times New Roman"/>
          <w:sz w:val="24"/>
          <w:sz-cs w:val="24"/>
        </w:rPr>
        <w:t xml:space="preserve">"</w:t>
      </w:r>
      <w:r>
        <w:rPr>
          <w:rFonts w:ascii="Times New Roman" w:hAnsi="Times New Roman" w:cs="Times New Roman"/>
          <w:sz w:val="20"/>
          <w:sz-cs w:val="20"/>
        </w:rPr>
        <w:t xml:space="preserve">מאסר על   תנאי </w:t>
      </w:r>
      <w:r>
        <w:rPr>
          <w:rFonts w:ascii="Times New Roman" w:hAnsi="Times New Roman" w:cs="Times New Roman"/>
          <w:sz w:val="24"/>
          <w:sz-cs w:val="24"/>
        </w:rPr>
        <w:t xml:space="preserve"/>
      </w:r>
    </w:p>
    <w:p>
      <w:pPr>
        <w:jc w:val="both"/>
        <w:bidi/>
        <w:ind w:right="34"/>
        <w:spacing w:after="120"/>
      </w:pPr>
      <w:r>
        <w:rPr>
          <w:rFonts w:ascii="Times New Roman" w:hAnsi="Times New Roman" w:cs="Times New Roman"/>
          <w:sz w:val="4"/>
          <w:sz-cs w:val="4"/>
          <w:color w:val="FFFFFF"/>
        </w:rPr>
        <w:t xml:space="preserve"/>
      </w:r>
    </w:p>
    <w:p>
      <w:pPr>
        <w:jc w:val="both"/>
        <w:bidi/>
        <w:ind w:right="34"/>
        <w:spacing w:after="120"/>
      </w:pPr>
      <w:r>
        <w:rPr>
          <w:rFonts w:ascii="Times New Roman" w:hAnsi="Times New Roman" w:cs="Times New Roman"/>
          <w:sz w:val="24"/>
          <w:sz-cs w:val="24"/>
        </w:rPr>
        <w:t xml:space="preserve">52. (א)   ...</w:t>
      </w:r>
    </w:p>
    <w:p>
      <w:pPr>
        <w:jc w:val="both"/>
        <w:bidi/>
        <w:ind w:left="743" w:right="34" w:first-line="-426"/>
        <w:spacing w:after="120"/>
      </w:pPr>
      <w:r>
        <w:rPr>
          <w:rFonts w:ascii="Times New Roman" w:hAnsi="Times New Roman" w:cs="Times New Roman"/>
          <w:sz w:val="24"/>
          <w:sz-cs w:val="24"/>
        </w:rPr>
        <w:t xml:space="preserve">(ב)   ...</w:t>
      </w:r>
    </w:p>
    <w:p>
      <w:pPr>
        <w:jc w:val="both"/>
        <w:bidi/>
        <w:ind w:left="743" w:right="34" w:first-line="-426"/>
        <w:spacing w:after="240"/>
      </w:pPr>
      <w:r>
        <w:rPr>
          <w:rFonts w:ascii="Times New Roman" w:hAnsi="Times New Roman" w:cs="Times New Roman"/>
          <w:sz w:val="24"/>
          <w:sz-cs w:val="24"/>
        </w:rPr>
        <w:t xml:space="preserve">(ג)   תקופת התנאי תתחיל מיום גזר הדין, ואם הנידון נושא אותו זמן עונש מאסר – מיום שחרורו מן המאסר; והכל כשבית המשפט לא הורה אחרת".</w:t>
      </w:r>
      <w:r>
        <w:rPr>
          <w:rFonts w:ascii="Times New Roman" w:hAnsi="Times New Roman" w:cs="Times New Roman"/>
          <w:sz w:val="4"/>
          <w:sz-cs w:val="4"/>
          <w:color w:val="FFFFFF"/>
        </w:rPr>
        <w:t xml:space="preserve"/>
      </w:r>
    </w:p>
    <w:p>
      <w:pPr>
        <w:jc w:val="both"/>
        <w:bidi/>
        <w:spacing w:after="240"/>
      </w:pPr>
      <w:r>
        <w:rPr>
          <w:rFonts w:ascii="Times New Roman" w:hAnsi="Times New Roman" w:cs="Times New Roman"/>
          <w:sz w:val="24"/>
          <w:sz-cs w:val="24"/>
        </w:rPr>
        <w:t xml:space="preserve">ההסדר שנקבע בסעיף בנוסחו זה ביטא את הכלל הרחב שלפיו עם גזירת הדין יחל הנאשם לרצות את עונשו. בהתאם לכך, הכלל שנקבע בסעיף 52(ג) לחוק הוא כי מיום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כפוף הנאשם לתנאי שהוטל עליו 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בדומה לכלל שנקבע ביחס לעונש מאסר בפועל, שריצויו מתחיל עם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(ראו סעיף 43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אלא שבצד הכלל שנקבע בסעיף נקבע גם </w:t>
      </w:r>
      <w:r>
        <w:rPr>
          <w:rFonts w:ascii="Times New Roman" w:hAnsi="Times New Roman" w:cs="Times New Roman"/>
          <w:sz w:val="24"/>
          <w:sz-cs w:val="24"/>
          <w:b/>
        </w:rPr>
        <w:t xml:space="preserve">חריג לכלל, </w:t>
      </w:r>
      <w:r>
        <w:rPr>
          <w:rFonts w:ascii="Times New Roman" w:hAnsi="Times New Roman" w:cs="Times New Roman"/>
          <w:sz w:val="24"/>
          <w:sz-cs w:val="24"/>
        </w:rPr>
        <w:t xml:space="preserve">והוא מובא בסעיף בזו הלשון:</w:t>
      </w:r>
    </w:p>
    <w:p>
      <w:pPr>
        <w:jc w:val="both"/>
        <w:bidi/>
        <w:ind w:left="567" w:right="567"/>
        <w:spacing w:after="120"/>
      </w:pPr>
      <w:r>
        <w:rPr>
          <w:rFonts w:ascii="Times New Roman" w:hAnsi="Times New Roman" w:cs="Times New Roman"/>
          <w:sz w:val="24"/>
          <w:sz-cs w:val="24"/>
        </w:rPr>
        <w:t xml:space="preserve">"...ואם הנידון נושא אותו זמן עונש מאסר – ביום שחרורו מן המאסר".</w:t>
      </w:r>
    </w:p>
    <w:p>
      <w:pPr>
        <w:jc w:val="both"/>
        <w:bidi/>
        <w:spacing w:after="240"/>
      </w:pPr>
      <w:r>
        <w:rPr>
          <w:rFonts w:ascii="Times New Roman" w:hAnsi="Times New Roman" w:cs="Times New Roman"/>
          <w:sz w:val="24"/>
          <w:sz-cs w:val="24"/>
        </w:rPr>
        <w:t xml:space="preserve">לאמור: במצב שבו נגזר עונש של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נאשם המצוי במאסר תידחה תחילת תקופת התנאי השיפוטית עד למועד שחרורו מן המאסר. חריג זה נועד לשמור על האפקטיביות של התנאי במצב שבו הנאשם מרצה עונש מאסר. כפי שנאמר ב</w:t>
      </w:r>
      <w:r>
        <w:rPr>
          <w:rFonts w:ascii="Times New Roman" w:hAnsi="Times New Roman" w:cs="Times New Roman"/>
          <w:sz w:val="24"/>
          <w:sz-cs w:val="24"/>
          <w:u w:val="single"/>
          <w:color w:val="0000FF"/>
        </w:rPr>
        <w:t xml:space="preserve"> HYPERLINK "http://www.nevo.co.il/case/17930299" ע"פ 691/78</w:t>
      </w:r>
      <w:r>
        <w:rPr>
          <w:rFonts w:ascii="Times New Roman" w:hAnsi="Times New Roman" w:cs="Times New Roman"/>
          <w:sz w:val="24"/>
          <w:sz-cs w:val="24"/>
        </w:rPr>
        <w:t xml:space="preserve"> </w:t>
      </w:r>
      <w:r>
        <w:rPr>
          <w:rFonts w:ascii="Times New Roman" w:hAnsi="Times New Roman" w:cs="Times New Roman"/>
          <w:sz w:val="24"/>
          <w:sz-cs w:val="24"/>
          <w:b/>
        </w:rPr>
        <w:t xml:space="preserve">מור יוסף נ' מדינת ישראל (להלן – עניין מור יוסף [3])</w:t>
      </w:r>
      <w:r>
        <w:rPr>
          <w:rFonts w:ascii="Times New Roman" w:hAnsi="Times New Roman" w:cs="Times New Roman"/>
          <w:sz w:val="24"/>
          <w:sz-cs w:val="24"/>
        </w:rPr>
        <w:t xml:space="preserve">, בעמ' 501, מפי השופט י' כהן:</w:t>
      </w:r>
    </w:p>
    <w:p>
      <w:pPr>
        <w:jc w:val="both"/>
        <w:bidi/>
        <w:ind w:left="567" w:right="567"/>
        <w:spacing w:after="120"/>
      </w:pPr>
      <w:r>
        <w:rPr>
          <w:rFonts w:ascii="Times New Roman" w:hAnsi="Times New Roman" w:cs="Times New Roman"/>
          <w:sz w:val="24"/>
          <w:sz-cs w:val="24"/>
        </w:rPr>
        <w:t xml:space="preserve"/>
        <w:br w:type="page"/>
        <w:t xml:space="preserve">"הטעם להוראה שבסעיף 52(ג) של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הוא, שבדרך כלל אין תועלת בכך, שתקופת התנאי, שהיא מעין תקופת מבחן שבה צריך לעמוד נאשם, תתחיל ותימשך בזמן שהנאשם נמצא בבית הסוהר".</w:t>
      </w:r>
    </w:p>
    <w:p>
      <w:pPr>
        <w:jc w:val="both"/>
        <w:bidi/>
        <w:spacing w:after="240"/>
      </w:pPr>
      <w:r>
        <w:rPr>
          <w:rFonts w:ascii="Times New Roman" w:hAnsi="Times New Roman" w:cs="Times New Roman"/>
          <w:sz w:val="24"/>
          <w:sz-cs w:val="24"/>
        </w:rPr>
        <w:t xml:space="preserve"> החריג משעה אפוא את כניסתו לתוקף של התנאי עד לשחרורו של הנידון מן המאסר בפועל כדי שהתנאי, שהוא אמצעי שנועד להרתעה, יחול עליו בהיותו אדם חופשי היכול לבצע עבירות נוספות, ולא יחול עליו כאשר הוא ממילא נתון במאסר ומוגבל במעשיו. וכך נאמר לעניין זה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הנשיא שמגר: </w:t>
      </w:r>
    </w:p>
    <w:p>
      <w:pPr>
        <w:jc w:val="both"/>
        <w:bidi/>
        <w:ind w:left="567" w:right="567"/>
        <w:spacing w:after="120"/>
      </w:pPr>
      <w:r>
        <w:rPr>
          <w:rFonts w:ascii="Times New Roman" w:hAnsi="Times New Roman" w:cs="Times New Roman"/>
          <w:sz w:val="24"/>
          <w:sz-cs w:val="24"/>
        </w:rPr>
        <w:t xml:space="preserve">"סעיף 52(ג) ביקש לקבוע, כי בדרך כלל תחל תקופת תנאי מעת השחרור מן המאסר. זוהי התקופה בה יוצא האסיר משליטת הרשויות המופקדות על כליאתו, ועיקרו של דבר, בתקופה האמורה מתחילה התמודדותו כאדם חופשי עם המבחנים שנקבעו בהחלטה בדבר 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w:t>
      </w:r>
    </w:p>
    <w:p>
      <w:pPr>
        <w:jc w:val="both"/>
        <w:bidi/>
        <w:ind w:left="567" w:right="567"/>
        <w:spacing w:after="120"/>
      </w:pPr>
      <w:r>
        <w:rPr>
          <w:rFonts w:ascii="Times New Roman" w:hAnsi="Times New Roman" w:cs="Times New Roman"/>
          <w:sz w:val="24"/>
          <w:sz-cs w:val="24"/>
        </w:rPr>
        <w:t xml:space="preserve">במלים אחרות, ההתמודדות של מי שנידון, שביטוייה בהימנעות מביצוע עבירות נוספות, מתחילה, בדרך כלל, ביום תום ריצוי עונש המאסר, כאשר הנידון יוצא לחופשי" (</w:t>
      </w:r>
      <w:r>
        <w:rPr>
          <w:rFonts w:ascii="Times New Roman" w:hAnsi="Times New Roman" w:cs="Times New Roman"/>
          <w:sz w:val="20"/>
          <w:sz-cs w:val="20"/>
          <w:u w:val="single"/>
          <w:color w:val="0000FF"/>
        </w:rPr>
        <w:t xml:space="preserve"> HYPERLINK "http://www.nevo.co.il/links/psika/?link=רעפ 258/91" רע"פ 258/91</w:t>
      </w:r>
      <w:r>
        <w:rPr>
          <w:rFonts w:ascii="Times New Roman" w:hAnsi="Times New Roman" w:cs="Times New Roman"/>
          <w:sz w:val="20"/>
          <w:sz-cs w:val="20"/>
        </w:rPr>
        <w:t xml:space="preserve"> שרעבי נ' מדינת ישראל </w:t>
      </w:r>
      <w:r>
        <w:rPr>
          <w:rFonts w:ascii="Times New Roman" w:hAnsi="Times New Roman" w:cs="Times New Roman"/>
          <w:sz w:val="24"/>
          <w:sz-cs w:val="24"/>
        </w:rPr>
        <w:t xml:space="preserve">(להלן – עניין </w:t>
      </w:r>
      <w:r>
        <w:rPr>
          <w:rFonts w:ascii="Times New Roman" w:hAnsi="Times New Roman" w:cs="Times New Roman"/>
          <w:sz w:val="19"/>
          <w:sz-cs w:val="19"/>
        </w:rPr>
        <w:t xml:space="preserve">שרעבי </w:t>
      </w:r>
      <w:r>
        <w:rPr>
          <w:rFonts w:ascii="Times New Roman" w:hAnsi="Times New Roman" w:cs="Times New Roman"/>
          <w:sz w:val="20"/>
          <w:sz-cs w:val="20"/>
        </w:rPr>
        <w:t xml:space="preserve">[4]</w:t>
      </w:r>
      <w:r>
        <w:rPr>
          <w:rFonts w:ascii="Times New Roman" w:hAnsi="Times New Roman" w:cs="Times New Roman"/>
          <w:sz w:val="24"/>
          <w:sz-cs w:val="24"/>
        </w:rPr>
        <w:t xml:space="preserve">), </w:t>
      </w:r>
      <w:r>
        <w:rPr>
          <w:rFonts w:ascii="Times New Roman" w:hAnsi="Times New Roman" w:cs="Times New Roman"/>
          <w:sz w:val="20"/>
          <w:sz-cs w:val="20"/>
        </w:rPr>
        <w:t xml:space="preserve">בעמ' 585</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כדי להגשים תכלית זאת נקבע ב</w:t>
      </w:r>
      <w:r>
        <w:rPr>
          <w:rFonts w:ascii="Times New Roman" w:hAnsi="Times New Roman" w:cs="Times New Roman"/>
          <w:sz w:val="24"/>
          <w:sz-cs w:val="24"/>
          <w:u w:val="single"/>
          <w:color w:val="0000FF"/>
        </w:rPr>
        <w:t xml:space="preserve">HYPERLINK "http://www.nevo.co.il/case/17922343"</w:t>
      </w:r>
      <w:r>
        <w:rPr>
          <w:rFonts w:ascii="Times New Roman" w:hAnsi="Times New Roman" w:cs="Times New Roman"/>
          <w:sz w:val="24"/>
          <w:sz-cs w:val="24"/>
          <w:u w:val="single"/>
          <w:color w:val="0000FF"/>
        </w:rPr>
        <w:t xml:space="preserve">ע"פ 4180/92</w:t>
      </w:r>
      <w:r>
        <w:rPr>
          <w:rFonts w:ascii="Times New Roman" w:hAnsi="Times New Roman" w:cs="Times New Roman"/>
          <w:sz w:val="24"/>
          <w:sz-cs w:val="24"/>
        </w:rPr>
        <w:t xml:space="preserve"> מדינת ישראל נ' </w:t>
      </w:r>
      <w:r>
        <w:rPr>
          <w:rFonts w:ascii="Times New Roman" w:hAnsi="Times New Roman" w:cs="Times New Roman"/>
          <w:sz w:val="24"/>
          <w:sz-cs w:val="24"/>
          <w:b/>
        </w:rPr>
        <w:t xml:space="preserve">נעים</w:t>
      </w:r>
      <w:r>
        <w:rPr>
          <w:rFonts w:ascii="Times New Roman" w:hAnsi="Times New Roman" w:cs="Times New Roman"/>
          <w:sz w:val="24"/>
          <w:sz-cs w:val="24"/>
        </w:rPr>
        <w:t xml:space="preserve"> </w:t>
      </w:r>
      <w:r>
        <w:rPr>
          <w:rFonts w:ascii="Times New Roman" w:hAnsi="Times New Roman" w:cs="Times New Roman"/>
          <w:sz w:val="24"/>
          <w:sz-cs w:val="24"/>
          <w:b/>
        </w:rPr>
        <w:t xml:space="preserve">[5],</w:t>
      </w:r>
      <w:r>
        <w:rPr>
          <w:rFonts w:ascii="Times New Roman" w:hAnsi="Times New Roman" w:cs="Times New Roman"/>
          <w:sz w:val="24"/>
          <w:sz-cs w:val="24"/>
        </w:rPr>
        <w:t xml:space="preserve"> כי גם אם נאשם לא שהה במאסר בעת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אולם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כלל עונש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לצד עונש של מאסר בפועל, הרי שעניינו ייכלל בגדר החריג, ותקופת התנאי השיפוטית תחל רק עם שחרורו ממאסרו. בהתאם לכך, נידון "הנושא אותו זמן עונש מאסר" הוא גם נאשם שהוטל עליו עונש מאסר.</w:t>
      </w:r>
    </w:p>
    <w:p>
      <w:pPr>
        <w:jc w:val="both"/>
        <w:bidi/>
        <w:spacing w:after="240"/>
      </w:pPr>
      <w:r>
        <w:rPr>
          <w:rFonts w:ascii="Times New Roman" w:hAnsi="Times New Roman" w:cs="Times New Roman"/>
          <w:sz w:val="24"/>
          <w:sz-cs w:val="24"/>
        </w:rPr>
        <w:t xml:space="preserve"> במשך הזמן הסתבר כי הכלל והחריג לו אמנם מגשימים את תכלית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במצבים הרגילים, אך אינם נותנים מענה למצבים מיוחדים שבהם האסיר טרם סיים את תקופת מאסרו, אולם הוא נמצא בפועל מחוץ לכלא, ועל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הוא יכול לבצע עבירות נוספות. מקרה כזה התעורר למשל ב</w:t>
      </w:r>
      <w:r>
        <w:rPr>
          <w:rFonts w:ascii="Times New Roman" w:hAnsi="Times New Roman" w:cs="Times New Roman"/>
          <w:sz w:val="24"/>
          <w:sz-cs w:val="24"/>
          <w:u w:val="single"/>
          <w:color w:val="0000FF"/>
        </w:rPr>
        <w:t xml:space="preserve">HYPERLINK "http://www.nevo.co.il/case/17930300"</w:t>
      </w:r>
      <w:r>
        <w:rPr>
          <w:rFonts w:ascii="Times New Roman" w:hAnsi="Times New Roman" w:cs="Times New Roman"/>
          <w:sz w:val="24"/>
          <w:sz-cs w:val="24"/>
          <w:u w:val="single"/>
          <w:color w:val="0000FF"/>
        </w:rPr>
        <w:t xml:space="preserve">בג"ץ 691/81</w:t>
      </w:r>
      <w:r>
        <w:rPr>
          <w:rFonts w:ascii="Times New Roman" w:hAnsi="Times New Roman" w:cs="Times New Roman"/>
          <w:sz w:val="24"/>
          <w:sz-cs w:val="24"/>
        </w:rPr>
        <w:t xml:space="preserve"> דוד נ' שירות בתי הסוהר (להלן – עניין </w:t>
      </w:r>
      <w:r>
        <w:rPr>
          <w:rFonts w:ascii="Times New Roman" w:hAnsi="Times New Roman" w:cs="Times New Roman"/>
          <w:sz w:val="24"/>
          <w:sz-cs w:val="24"/>
          <w:b/>
        </w:rPr>
        <w:t xml:space="preserve">דוד [6]</w:t>
      </w:r>
      <w:r>
        <w:rPr>
          <w:rFonts w:ascii="Times New Roman" w:hAnsi="Times New Roman" w:cs="Times New Roman"/>
          <w:sz w:val="24"/>
          <w:sz-cs w:val="24"/>
        </w:rPr>
        <w:t xml:space="preserve">). באותו עניין נגזר על </w:t>
      </w:r>
      <w:r>
        <w:rPr>
          <w:rFonts w:ascii="Times New Roman" w:hAnsi="Times New Roman" w:cs="Times New Roman"/>
          <w:sz w:val="24"/>
          <w:sz-cs w:val="24"/>
          <w:b/>
        </w:rPr>
        <w:t xml:space="preserve">דוד </w:t>
      </w:r>
      <w:r>
        <w:rPr>
          <w:rFonts w:ascii="Times New Roman" w:hAnsi="Times New Roman" w:cs="Times New Roman"/>
          <w:sz w:val="24"/>
          <w:sz-cs w:val="24"/>
        </w:rPr>
        <w:t xml:space="preserve">עונש מאסר בפועל לצד עונש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ובגזר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נאמר כי תקופת התנאי תידחה למועד שחרורו מן הכלא. במהלך תקופת מאסרו שוחרר דוד בערובה ממאסרו עד להכרעה בערעורו, ובעת ששהה מחוץ לכלא ביצע עבירה נוספת.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קבע באותו מקרה, כי כיוון שתקופת התנאי מתחילה רק עם השחרור הסופי מן המאסר, לא יחול התנאי על אסיר המשוחרר בערובה באופן זמני במהלך מאסרו. </w:t>
      </w:r>
    </w:p>
    <w:p>
      <w:pPr>
        <w:jc w:val="both"/>
        <w:bidi/>
        <w:spacing w:after="240"/>
      </w:pPr>
      <w:r>
        <w:rPr>
          <w:rFonts w:ascii="Times New Roman" w:hAnsi="Times New Roman" w:cs="Times New Roman"/>
          <w:sz w:val="24"/>
          <w:sz-cs w:val="24"/>
        </w:rPr>
        <w:t xml:space="preserve"/>
        <w:br w:type="page"/>
        <w:t xml:space="preserve">בעקבות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זה תוקן סעיף 52(ג) לחוק ב</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(תיקון מס' 23), תשמ"ח-1988 וקיבל את נוסחו הנוכחי שכבר הובא לעיל. הנוסח המתוקן כלל את התוספת הזו: </w:t>
      </w:r>
    </w:p>
    <w:p>
      <w:pPr>
        <w:jc w:val="both"/>
        <w:bidi/>
        <w:ind w:left="567" w:right="567"/>
        <w:spacing w:after="120"/>
      </w:pPr>
      <w:r>
        <w:rPr>
          <w:rFonts w:ascii="Times New Roman" w:hAnsi="Times New Roman" w:cs="Times New Roman"/>
          <w:sz w:val="24"/>
          <w:sz-cs w:val="24"/>
        </w:rPr>
        <w:t xml:space="preserve">"אולם תקופה שאסיר נמצא בה מחוץ לבית הסוהר בשל שחרור בערובה מכח סימן ב' בפרק ג' ל</w:t>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[נוסח משולב],</w:t>
        <w:br/>
        <w:t xml:space="preserve">התשמ"ב-1982, בשל חופשה מיוחדת או מכח סימן ב1 לפרק ו', יראו אותה כתקופת תנאי מצטברת לתקופת התנאי שקבע בית המשפט".</w:t>
      </w:r>
    </w:p>
    <w:p>
      <w:pPr>
        <w:jc w:val="both"/>
        <w:bidi/>
        <w:spacing w:after="240"/>
      </w:pPr>
      <w:r>
        <w:rPr>
          <w:rFonts w:ascii="Times New Roman" w:hAnsi="Times New Roman" w:cs="Times New Roman"/>
          <w:sz w:val="24"/>
          <w:sz-cs w:val="24"/>
        </w:rPr>
        <w:t xml:space="preserve">התוספת לסעיף היא למעשה בבחינת חריג לחריג. חריג זה קובע תקופות תנאי סטטוטוריות המוחלות מכוח החוק. חריג לחריג אמרנו, משום שהוא נוגע רק לנידונים שנכנסו בגדר החריג לכלל, כלומר: נידונים שנגזר עליהם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כתוספת למאסר בפועל, ולכן נדחה מירוץ תקופת התנאי עד למועד שחרורם מן המאסר. ביחס לנידונים אלה נועד התיקון לענות על הבעיה הקשורה בתקופות שבהן האסיר עדיין אינו משוחרר ממאסרו, אולם הוא נמצא באופן זמני מחוץ לבית הכלא מסיבות שונות (כמו בעניין </w:t>
      </w:r>
      <w:r>
        <w:rPr>
          <w:rFonts w:ascii="Times New Roman" w:hAnsi="Times New Roman" w:cs="Times New Roman"/>
          <w:sz w:val="24"/>
          <w:sz-cs w:val="24"/>
          <w:b/>
        </w:rPr>
        <w:t xml:space="preserve">דוד [6]</w:t>
      </w:r>
      <w:r>
        <w:rPr>
          <w:rFonts w:ascii="Times New Roman" w:hAnsi="Times New Roman" w:cs="Times New Roman"/>
          <w:sz w:val="24"/>
          <w:sz-cs w:val="24"/>
        </w:rPr>
        <w:t xml:space="preserve">). בתקופות אלה הנידון חופשי, ולכן עלול לבצע עבירות, אולם תקופת התנאי השיפוטית עדיין אינה חלה עליו, משום שכאמור היא נדחית עד לשחרורו הסופי מן המאסר. תקופת התנאי הסטטוטורית נועדה לגשר על פני "חללים" אלה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מתן תחולה לתנאי מכוח החוק על אסיר היוצא לחופשה, אסיר המשוחרר בערובה ממאסרו בשל הגשת ערעור ואסיר המרצה את מאסרו בעבודות שירות. </w:t>
      </w:r>
    </w:p>
    <w:p>
      <w:pPr>
        <w:jc w:val="both"/>
        <w:bidi/>
        <w:spacing w:after="240"/>
      </w:pPr>
      <w:r>
        <w:rPr>
          <w:rFonts w:ascii="Times New Roman" w:hAnsi="Times New Roman" w:cs="Times New Roman"/>
          <w:sz w:val="24"/>
          <w:sz-cs w:val="24"/>
        </w:rPr>
        <w:t xml:space="preserve">מן הראוי להזכיר כי ההצעה לתיקון החוק כאמור נוסחה מלכתחילה באופן גורף, ולפיה הייתה תקופת התנאי הסטטוטורית אמורה לחול לאורך כל תקופת המאסר (הצעת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(תיקון מס' 27), תשמ"ז-1987). הנוסח שאושר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המחוקק לבסוף צמצם את התחולה והחיל את תקופת התנאי הסטטוטורית רק על המצבים שנמנו בסעיף. לאחר שסקר את תולדות תיקון החוק בעניין זה בפסק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בעניין </w:t>
      </w:r>
      <w:r>
        <w:rPr>
          <w:rFonts w:ascii="Times New Roman" w:hAnsi="Times New Roman" w:cs="Times New Roman"/>
          <w:sz w:val="24"/>
          <w:sz-cs w:val="24"/>
          <w:b/>
        </w:rPr>
        <w:t xml:space="preserve">כחיל </w:t>
      </w:r>
      <w:r>
        <w:rPr>
          <w:rFonts w:ascii="Times New Roman" w:hAnsi="Times New Roman" w:cs="Times New Roman"/>
          <w:sz w:val="24"/>
          <w:sz-cs w:val="24"/>
        </w:rPr>
        <w:t xml:space="preserve">[2], קבע השופט ברק, כי:</w:t>
      </w:r>
    </w:p>
    <w:p>
      <w:pPr>
        <w:jc w:val="both"/>
        <w:bidi/>
        <w:ind w:left="567" w:right="567"/>
        <w:spacing w:after="120"/>
      </w:pPr>
      <w:r>
        <w:rPr>
          <w:rFonts w:ascii="Times New Roman" w:hAnsi="Times New Roman" w:cs="Times New Roman"/>
          <w:sz w:val="24"/>
          <w:sz-cs w:val="24"/>
        </w:rPr>
        <w:t xml:space="preserve">"...תקופת התנאי החקוקה מכסה תקופות שבהן האסיר טרם שוחרר ממאסר, אך הלכה למעשה הוא אינו מצוי בבית הסוהר. תקופות אלה משתרעות על שחרור בערובה, חופשה מיוחדת ועבודת שירות. בתקופות אלה, חרף העובדה שהאסיר לא שוחרר מן המאסר, הרי הלכה למעשה הוא מצוי מחוץ לכותלי בית הסוהר, ומן הראוי הוא שהאפקט המרתיע והמחנך של המאסר</w:t>
      </w:r>
      <w:r>
        <w:rPr>
          <w:rFonts w:ascii="Times New Roman" w:hAnsi="Times New Roman" w:cs="Times New Roman"/>
          <w:sz w:val="20"/>
          <w:sz-cs w:val="20"/>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יפעל את פעולתו, וזאת מבלי </w:t>
      </w:r>
    </w:p>
    <w:p>
      <w:pPr>
        <w:jc w:val="both"/>
        <w:bidi/>
        <w:ind w:left="567" w:right="567"/>
        <w:spacing w:after="120"/>
      </w:pPr>
      <w:r>
        <w:rPr>
          <w:rFonts w:ascii="Times New Roman" w:hAnsi="Times New Roman" w:cs="Times New Roman"/>
          <w:sz w:val="24"/>
          <w:sz-cs w:val="24"/>
        </w:rPr>
        <w:t xml:space="preserve"/>
        <w:br w:type="page"/>
        <w:t xml:space="preserve">שינגוס בתקופת התנאי השיפוטית, העומדת על רגליה היא ואשר תחל עם השחרור מן המאסר" (</w:t>
      </w:r>
      <w:r>
        <w:rPr>
          <w:rFonts w:ascii="Times New Roman" w:hAnsi="Times New Roman" w:cs="Times New Roman"/>
          <w:sz w:val="19"/>
          <w:sz-cs w:val="19"/>
        </w:rPr>
        <w:t xml:space="preserve">שם [2]</w:t>
      </w:r>
      <w:r>
        <w:rPr>
          <w:rFonts w:ascii="Times New Roman" w:hAnsi="Times New Roman" w:cs="Times New Roman"/>
          <w:sz w:val="24"/>
          <w:sz-cs w:val="24"/>
        </w:rPr>
        <w:t xml:space="preserve">, </w:t>
      </w:r>
      <w:r>
        <w:rPr>
          <w:rFonts w:ascii="Times New Roman" w:hAnsi="Times New Roman" w:cs="Times New Roman"/>
          <w:sz w:val="19"/>
          <w:sz-cs w:val="19"/>
        </w:rPr>
        <w:t xml:space="preserve">בעמ' 746</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10.</w:t>
        <w:tab/>
        <w:t xml:space="preserve">מה דינו של נידון שנגזר עליו עונש מאסר בפועל ומאסר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אולם בטרם נכנס לבית הסוהר עוכב עונש המאסר שנגזר עליו? האם בתקופת עיכוב הביצוע חלה עליו תקופת התנאי השיפוטית? תקופת התנאי הסטטוטורית? או שמא אין הוא בתקופת תנאי כלל? </w:t>
      </w:r>
    </w:p>
    <w:p>
      <w:pPr>
        <w:jc w:val="both"/>
        <w:bidi/>
        <w:spacing w:after="240"/>
      </w:pPr>
      <w:r>
        <w:rPr>
          <w:rFonts w:ascii="Times New Roman" w:hAnsi="Times New Roman" w:cs="Times New Roman"/>
          <w:sz w:val="24"/>
          <w:sz-cs w:val="24"/>
        </w:rPr>
        <w:t xml:space="preserve">אם נבחן את סעיף 52(ג) לחוק לאור הניתוח שהוצג, נמצא כי נידון כאמור נכנס בגדרי החריג הראשון שהוזכר לעיל, שכן מדובר ב"[]נידון [ה]נושא אותו זמן עונש מאסר...". כפי שכבר הסברנו, נכנס בגדרו גם נאשם שלא שהה במאסר טרם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אולם נגזר עליו עונש של מאסר בפועל לצד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כמו המערער שלפנינו. מכאן, שתקופת התנאי השיפוטית שנגזרה על המערער תחול רק עם שחרורו מן המאסר, ועל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אינה חלה עליו בעת עיכוב הביצוע </w:t>
      </w:r>
      <w:r>
        <w:rPr>
          <w:rFonts w:ascii="Times New Roman" w:hAnsi="Times New Roman" w:cs="Times New Roman"/>
          <w:sz w:val="24"/>
          <w:sz-cs w:val="24"/>
          <w:b/>
        </w:rPr>
        <w:t xml:space="preserve">טרם </w:t>
      </w:r>
      <w:r>
        <w:rPr>
          <w:rFonts w:ascii="Times New Roman" w:hAnsi="Times New Roman" w:cs="Times New Roman"/>
          <w:sz w:val="24"/>
          <w:sz-cs w:val="24"/>
        </w:rPr>
        <w:t xml:space="preserve">מאסרו. בעניין שלפנינו תחול תקופת התנאי השיפוטית רק לאחר ריצוי המאסר בפועל לא רק מכוח הוראת החוק, אלא גם מכיוון שכך הורה במפורש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שגזר את דינו של המערער וקבע כי תקופת התנאי השיפוטית תחל "עם שחרורו מהכלא". </w:t>
      </w:r>
    </w:p>
    <w:p>
      <w:pPr>
        <w:jc w:val="both"/>
        <w:bidi/>
        <w:spacing w:after="240"/>
      </w:pPr>
      <w:r>
        <w:rPr>
          <w:rFonts w:ascii="Times New Roman" w:hAnsi="Times New Roman" w:cs="Times New Roman"/>
          <w:sz w:val="24"/>
          <w:sz-cs w:val="24"/>
        </w:rPr>
        <w:t xml:space="preserve">אוסיף עוד כי עשויה להישאל השאלה העקרונית מדוע ככלל אין להחיל בתקופת דחיית הביצוע את תקופת התנאי השיפוטית. כאמור, במקרה הפרטני צדק השופט המחוזי בקובעו כי 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של המערער בנוגע לעבירה שבה הוטל התנאי נשללה במפורש האפשרות להחיל את תקופת התנאי השיפוטית טרם סיום ריצוי עונש המאסר בפועל. </w:t>
      </w:r>
    </w:p>
    <w:p>
      <w:pPr>
        <w:jc w:val="both"/>
        <w:bidi/>
        <w:spacing w:after="240"/>
      </w:pPr>
      <w:r>
        <w:rPr>
          <w:rFonts w:ascii="Times New Roman" w:hAnsi="Times New Roman" w:cs="Times New Roman"/>
          <w:sz w:val="24"/>
          <w:sz-cs w:val="24"/>
        </w:rPr>
        <w:t xml:space="preserve">במישור העקרוני קיימים טעמים מספר שלא להחיל תקופת תנאי שיפוטית בעת דחיית ביצוע עד למתן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בערעור. הטעם האחד הוא כי דחיית ביצוע העונש 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ואם לא נאמר אחרת, כשמה כן היא – דוחה את העונש על כל חלקיו. משסבר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הדן בדחיית ביצוע העונש כי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המבחנים הראויים יש לחרוג מן הכלל הרגיל של ריצוי העונש מיד לאחר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ולהימנע מלבצע את העונש עד להכרעה בערעור, הרי שבדרך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הטעם המצדיק דחיית ביצוע והמתנה להכרעת ערכאת הערעור מצדיק גם את דחיית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המאסר, הן בפועל והן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הוא ככלל יחידה עונשית אחת. בעניין זה כבר נאמר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ידינו, כי:</w:t>
      </w:r>
    </w:p>
    <w:p>
      <w:pPr>
        <w:jc w:val="both"/>
        <w:bidi/>
        <w:ind w:left="567" w:right="567"/>
        <w:spacing w:after="120"/>
      </w:pPr>
      <w:r>
        <w:rPr>
          <w:rFonts w:ascii="Times New Roman" w:hAnsi="Times New Roman" w:cs="Times New Roman"/>
          <w:sz w:val="24"/>
          <w:sz-cs w:val="24"/>
        </w:rPr>
        <w:t xml:space="preserve">"במהותו עונש מאסר, בין אם שנקבע לריצוי בפועל ובין שהוטל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הוא אותו עונש. אלא שעונש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הוא בבחינת מאסר </w:t>
      </w:r>
    </w:p>
    <w:p>
      <w:pPr>
        <w:jc w:val="both"/>
        <w:bidi/>
        <w:ind w:left="567" w:right="567"/>
        <w:spacing w:after="120"/>
      </w:pPr>
      <w:r>
        <w:rPr>
          <w:rFonts w:ascii="Times New Roman" w:hAnsi="Times New Roman" w:cs="Times New Roman"/>
          <w:sz w:val="24"/>
          <w:sz-cs w:val="24"/>
        </w:rPr>
        <w:t xml:space="preserve"/>
        <w:br w:type="page"/>
        <w:t xml:space="preserve">שריצויו נדחה. לפיכך, כאשר מוטל על נאשם עונש שחלקו לריצוי בפועל וחלקו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יש לראות בעונש המותנה חלק מתקופת המאסר הכוללת שהושתה על הנאשם. המאסר בפועל והמאסר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הם שני חלקים של אותו עונש, ועל שניהם חלים אותם כללים" (</w:t>
      </w:r>
      <w:r>
        <w:rPr>
          <w:rFonts w:ascii="Times New Roman" w:hAnsi="Times New Roman" w:cs="Times New Roman"/>
          <w:sz w:val="20"/>
          <w:sz-cs w:val="20"/>
          <w:u w:val="single"/>
          <w:color w:val="0000FF"/>
        </w:rPr>
        <w:t xml:space="preserve">HYPERLINK "http://www.nevo.co.il/case/6032952"רע"פ 5798/00</w:t>
      </w:r>
      <w:r>
        <w:rPr>
          <w:rFonts w:ascii="Times New Roman" w:hAnsi="Times New Roman" w:cs="Times New Roman"/>
          <w:sz w:val="20"/>
          <w:sz-cs w:val="20"/>
        </w:rPr>
        <w:t xml:space="preserve"> ריזי נ' מדינת ישראל </w:t>
      </w:r>
      <w:r>
        <w:rPr>
          <w:rFonts w:ascii="Times New Roman" w:hAnsi="Times New Roman" w:cs="Times New Roman"/>
          <w:sz w:val="24"/>
          <w:sz-cs w:val="24"/>
        </w:rPr>
        <w:t xml:space="preserve">(להלן – עניין </w:t>
      </w:r>
      <w:r>
        <w:rPr>
          <w:rFonts w:ascii="Times New Roman" w:hAnsi="Times New Roman" w:cs="Times New Roman"/>
          <w:sz w:val="20"/>
          <w:sz-cs w:val="20"/>
        </w:rPr>
        <w:t xml:space="preserve">ריזי [7]</w:t>
      </w:r>
      <w:r>
        <w:rPr>
          <w:rFonts w:ascii="Times New Roman" w:hAnsi="Times New Roman" w:cs="Times New Roman"/>
          <w:sz w:val="24"/>
          <w:sz-cs w:val="24"/>
        </w:rPr>
        <w:t xml:space="preserve">), </w:t>
      </w:r>
      <w:r>
        <w:rPr>
          <w:rFonts w:ascii="Times New Roman" w:hAnsi="Times New Roman" w:cs="Times New Roman"/>
          <w:sz w:val="19"/>
          <w:sz-cs w:val="19"/>
        </w:rPr>
        <w:t xml:space="preserve">בעמ' 11</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בהתאם לכך, באותם מקרים שבהם מצא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לראוי לדחות את ביצוע העונש בשל ערעור תלוי ועומד, ולא קבע הוראה מפורשת המבחינה בין מאסר בפועל למאסר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לעניין דחיית הביצוע, יידחה העונש כולו כחטיבה אחת. </w:t>
      </w:r>
    </w:p>
    <w:p>
      <w:pPr>
        <w:jc w:val="both"/>
        <w:bidi/>
        <w:spacing w:after="240"/>
      </w:pPr>
      <w:r>
        <w:rPr>
          <w:rFonts w:ascii="Times New Roman" w:hAnsi="Times New Roman" w:cs="Times New Roman"/>
          <w:sz w:val="24"/>
          <w:sz-cs w:val="24"/>
        </w:rPr>
        <w:t xml:space="preserve">הטעם הנוסף שלא להחיל את תקופת התנאי השיפוטית בעת דחיית ביצוע העונש עד לשמיעת הערעור הוא כי החלת תקופת התנאי השיפוטית בעת דחיית הביצוע עלולה להביא לכך שעונש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יפוצל – חלקו יחול בתקופה שעד לתחילת ריצוי המאסר בפועל, וחלקו האחר יחול לאחר סיום ריצוי המאסר בפועל. תוצאה זו נוגדת את התכלית החקיקתית של 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שהרי לו סבר המחוקק כי ניתן לפצל את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לא היה רואה לקבוע כי תקופות התנאי המנויות בסיפה של סעיף 52(ג) לחוק יחולו באופן מצטבר לתקופת התנאי השיפוטית. מסקנה זו מוצאת אחיזה גם בפרשנות שניתנה להוראת החוק האמורה בפסקי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קודמים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זה (ראו: עניין </w:t>
      </w:r>
      <w:r>
        <w:rPr>
          <w:rFonts w:ascii="Times New Roman" w:hAnsi="Times New Roman" w:cs="Times New Roman"/>
          <w:sz w:val="24"/>
          <w:sz-cs w:val="24"/>
          <w:b/>
        </w:rPr>
        <w:t xml:space="preserve">מור יוסף </w:t>
      </w:r>
      <w:r>
        <w:rPr>
          <w:rFonts w:ascii="Times New Roman" w:hAnsi="Times New Roman" w:cs="Times New Roman"/>
          <w:sz w:val="24"/>
          <w:sz-cs w:val="24"/>
        </w:rPr>
        <w:t xml:space="preserve">הנ"ל [3], בעמ' 501; עניין שרעבי הנ"ל [4], בעמ' 585; עניין כחיל הנ"ל [2], בעמ' 743). לכך יש להוסיף כי גם מבחינה מעשית, פיצול תקופת התנאי השיפוטית עלול להביא לאי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בהירות, שתפחית מכוחה המרתיע של תקופת תנאי רצופה וברורה. הבהירות חשובה כדי שאדם שנידון לעונש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יוכל לכלכל דרכו בזהירות ובקפידה כדי שלא ייכשל בהפרת התנאי שהוטל עליו. </w:t>
      </w:r>
    </w:p>
    <w:p>
      <w:pPr>
        <w:jc w:val="both"/>
        <w:bidi/>
        <w:spacing w:after="240"/>
      </w:pPr>
      <w:r>
        <w:rPr>
          <w:rFonts w:ascii="Times New Roman" w:hAnsi="Times New Roman" w:cs="Times New Roman"/>
          <w:sz w:val="24"/>
          <w:sz-cs w:val="24"/>
        </w:rPr>
        <w:t xml:space="preserve">ערה אני לכך כי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בעניין </w:t>
      </w:r>
      <w:r>
        <w:rPr>
          <w:rFonts w:ascii="Times New Roman" w:hAnsi="Times New Roman" w:cs="Times New Roman"/>
          <w:sz w:val="24"/>
          <w:sz-cs w:val="24"/>
          <w:b/>
        </w:rPr>
        <w:t xml:space="preserve">רחמים [1]</w:t>
      </w:r>
      <w:r>
        <w:rPr>
          <w:rFonts w:ascii="Times New Roman" w:hAnsi="Times New Roman" w:cs="Times New Roman"/>
          <w:sz w:val="24"/>
          <w:sz-cs w:val="24"/>
        </w:rPr>
        <w:t xml:space="preserve"> יצא מן ההנחה כי ראוי שתקופת התנאי השיפוטית תחול ממועד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ועד לתחילת ריצוי המאסר שביצועו עוכב, וכי אין להתיר את תקופת הביניים שבין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לבין תחילת ריצוי המאסר בלי שיחל מירוץ תקופת התנאי השיפוטית, שנועדה להרתיע נאשם שנמצא מחוץ לכלא לאחר הרשעתו. עם זאת יש לראות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זה על רקע הנסיבות המיוחדות של העניין הנדון שם: באותו מקרה דובר בעיכוב ביצוע עונש מאסר בעבודות שירות, ועל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לא עמדה לדיון שאלת האפשרות כי תוצאתה של המסקנה תהיה פיצול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לתקופה שטרם ריצוי מאסר בפועל ולתקופה שלאחר הריצוי. כפי שיפורט להלן, הרחבת היריעה והבאה בחשבון של הבעייתיות הנובעת מהפרשנות האמורה של סעיף 52(ג) לחוק מחייבות מסקנה כי בצדק נקבע באותו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שאין תחולה לתקופת התנאי הסטטוטורית. עם זאת מתחייבת גם המסקנה כי אף תקופת התנאי השיפוטית לא תחול בעת עיכוב </w:t>
      </w:r>
    </w:p>
    <w:p>
      <w:pPr>
        <w:jc w:val="both"/>
        <w:bidi/>
        <w:spacing w:after="240"/>
      </w:pPr>
      <w:r>
        <w:rPr>
          <w:rFonts w:ascii="Times New Roman" w:hAnsi="Times New Roman" w:cs="Times New Roman"/>
          <w:sz w:val="24"/>
          <w:sz-cs w:val="24"/>
        </w:rPr>
        <w:t xml:space="preserve"/>
        <w:br w:type="page"/>
        <w:t xml:space="preserve">הביצוע. בעניין זה סבורה אני כי עלינו לסטות מהילכת </w:t>
      </w:r>
      <w:r>
        <w:rPr>
          <w:rFonts w:ascii="Times New Roman" w:hAnsi="Times New Roman" w:cs="Times New Roman"/>
          <w:sz w:val="24"/>
          <w:sz-cs w:val="24"/>
          <w:b/>
        </w:rPr>
        <w:t xml:space="preserve">רחמים [1]</w:t>
      </w:r>
      <w:r>
        <w:rPr>
          <w:rFonts w:ascii="Times New Roman" w:hAnsi="Times New Roman" w:cs="Times New Roman"/>
          <w:sz w:val="24"/>
          <w:sz-cs w:val="24"/>
        </w:rPr>
        <w:t xml:space="preserve">,</w:t>
      </w:r>
      <w:r>
        <w:rPr>
          <w:rFonts w:ascii="Times New Roman" w:hAnsi="Times New Roman" w:cs="Times New Roman"/>
          <w:sz w:val="24"/>
          <w:sz-cs w:val="24"/>
          <w:b/>
        </w:rPr>
        <w:t xml:space="preserve"> </w:t>
      </w:r>
      <w:r>
        <w:rPr>
          <w:rFonts w:ascii="Times New Roman" w:hAnsi="Times New Roman" w:cs="Times New Roman"/>
          <w:sz w:val="24"/>
          <w:sz-cs w:val="24"/>
        </w:rPr>
        <w:t xml:space="preserve">וכי ההלכה האמורה הייתה נכונה בנסיבות העניין הקונקרטי שנדון שם. </w:t>
      </w:r>
    </w:p>
    <w:p>
      <w:pPr>
        <w:jc w:val="both"/>
        <w:bidi/>
        <w:spacing w:after="240"/>
      </w:pPr>
      <w:r>
        <w:rPr>
          <w:rFonts w:ascii="Times New Roman" w:hAnsi="Times New Roman" w:cs="Times New Roman"/>
          <w:sz w:val="24"/>
          <w:sz-cs w:val="24"/>
        </w:rPr>
        <w:t xml:space="preserve">עוד אוסיף, כי בכל הנוגע לקביעת תקופת התנאי, לעולם רשאי השופט הגוזר את הדין לסטות מן הכלל ולקבוע הוראה מיוחדת. אלא שהוראה אשר תביא להחלת התנאי השיפוטי לאלתר ואת תחילת המאסר בפועל לאחריה, עלולה להותיר את מרבית תחולתו של התנאי לתקופת המאסר בפועל נוכח גישת המחוקק כי אין ליצור פיצול בעונש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קביעת תנאי כאמור אינה רצויה 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ואינה תואמת את גישתו של המחוקק בעניין ההפרדה הראויה בין תקופת המאסר בפועל לתחולת התנאי. </w:t>
      </w:r>
    </w:p>
    <w:p>
      <w:pPr>
        <w:jc w:val="both"/>
        <w:bidi/>
        <w:spacing w:after="240"/>
      </w:pPr>
      <w:r>
        <w:rPr>
          <w:rFonts w:ascii="Times New Roman" w:hAnsi="Times New Roman" w:cs="Times New Roman"/>
          <w:sz w:val="24"/>
          <w:sz-cs w:val="24"/>
        </w:rPr>
        <w:t xml:space="preserve">11.</w:t>
        <w:tab/>
        <w:t xml:space="preserve">כאמור, טענת המדינה היא כי תקופת התנאי השיפוטית אמנם נדחית למועד שחרורו של המערער מן המאסר, אך עם זאת מתקיים גם החריג לחריג, כלומר: יש להחיל על המערער את תקופת התנאי הסטטוטורית. מבין שלושת המקרים שבהם חלה תקופת התנאי הסטטוטורית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לשון סעיף 52(ג) לחוק, המקרה הרלוונטי לענייננו, לפי הטענה, הוא הראשון: </w:t>
      </w:r>
    </w:p>
    <w:p>
      <w:pPr>
        <w:jc w:val="both"/>
        <w:bidi/>
        <w:ind w:left="567" w:right="567"/>
        <w:spacing w:after="120"/>
      </w:pPr>
      <w:r>
        <w:rPr>
          <w:rFonts w:ascii="Times New Roman" w:hAnsi="Times New Roman" w:cs="Times New Roman"/>
          <w:sz w:val="24"/>
          <w:sz-cs w:val="24"/>
        </w:rPr>
        <w:t xml:space="preserve">"תקופה שאסיר נמצא בה מחוץ לבית הסוהר בשל שחרור בערובה מכח </w:t>
      </w:r>
      <w:r>
        <w:rPr>
          <w:rFonts w:ascii="Times New Roman" w:hAnsi="Times New Roman" w:cs="Times New Roman"/>
          <w:sz w:val="24"/>
          <w:sz-cs w:val="24"/>
          <w:spacing w:val="-4"/>
        </w:rPr>
        <w:t xml:space="preserve">סימן ב' בפרק ג' ל</w:t>
      </w:r>
      <w:r>
        <w:rPr>
          <w:rFonts w:ascii="Times New Roman" w:hAnsi="Times New Roman" w:cs="Times New Roman"/>
          <w:sz w:val="24"/>
          <w:sz-cs w:val="24"/>
          <w:u w:val="single"/>
          <w:spacing w:val="-4"/>
          <w:color w:val="0000FF"/>
        </w:rPr>
        <w:t xml:space="preserve"> HYPERLINK "http://www.nevo.co.il/law/74903" חוק סדר הדין הפלילי</w:t>
      </w:r>
      <w:r>
        <w:rPr>
          <w:rFonts w:ascii="Times New Roman" w:hAnsi="Times New Roman" w:cs="Times New Roman"/>
          <w:sz w:val="24"/>
          <w:sz-cs w:val="24"/>
          <w:spacing w:val="-4"/>
        </w:rPr>
        <w:t xml:space="preserve"> [נוסח משולב], התשמ"ב</w:t>
      </w:r>
      <w:r>
        <w:rPr>
          <w:rFonts w:ascii="Times New Roman" w:hAnsi="Times New Roman" w:cs="Times New Roman"/>
          <w:sz w:val="24"/>
          <w:sz-cs w:val="24"/>
        </w:rPr>
        <w:t xml:space="preserve">-</w:t>
      </w:r>
      <w:r>
        <w:rPr>
          <w:rFonts w:ascii="Times New Roman" w:hAnsi="Times New Roman" w:cs="Times New Roman"/>
          <w:sz w:val="24"/>
          <w:sz-cs w:val="24"/>
          <w:spacing w:val="-4"/>
        </w:rPr>
        <w:t xml:space="preserve">1982</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חריג זה חל במצבים שבהם האסיר משוחרר בערובה מכוח סימן ב' בפרק ג' ל</w:t>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(כיום סימן ו' בפרק ב' ל</w:t>
      </w:r>
      <w:r>
        <w:rPr>
          <w:rFonts w:ascii="Times New Roman" w:hAnsi="Times New Roman" w:cs="Times New Roman"/>
          <w:sz w:val="24"/>
          <w:sz-cs w:val="24"/>
          <w:u w:val="single"/>
          <w:color w:val="0000FF"/>
        </w:rPr>
        <w:t xml:space="preserve"> HYPERLINK "http://www.nevo.co.il/law/98568" </w:t>
      </w:r>
      <w:r>
        <w:rPr>
          <w:rFonts w:ascii="Times New Roman" w:hAnsi="Times New Roman" w:cs="Times New Roman"/>
          <w:sz w:val="24"/>
          <w:sz-cs w:val="24"/>
          <w:u w:val="single"/>
          <w:color w:val="0000FF"/>
        </w:rPr>
        <w:t xml:space="preserve">חוק המעצרים</w:t>
      </w:r>
      <w:r>
        <w:rPr>
          <w:rFonts w:ascii="Times New Roman" w:hAnsi="Times New Roman" w:cs="Times New Roman"/>
          <w:sz w:val="24"/>
          <w:sz-cs w:val="24"/>
        </w:rPr>
        <w:t xml:space="preserve">, ובמיוחד סעיף 44 לחוק זה), הוא הסימן בחוק הדן בשחרור בערובה של נאשם או של נידון שערעור תלוי ועומד על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האם המערער במקרה שלפנינו נכנס בגדרי חריג זה?</w:t>
      </w:r>
    </w:p>
    <w:p>
      <w:pPr>
        <w:jc w:val="both"/>
        <w:bidi/>
        <w:spacing w:after="240"/>
      </w:pPr>
      <w:r>
        <w:rPr>
          <w:rFonts w:ascii="Times New Roman" w:hAnsi="Times New Roman" w:cs="Times New Roman"/>
          <w:sz w:val="24"/>
          <w:sz-cs w:val="24"/>
        </w:rPr>
        <w:t xml:space="preserve">לכאורה ועל פני הדברים, שני מכשולים עומדים בפני הפרשנות שמבקשת התביעה ליתן לחלופה הראשונה בסיפה של סעיף 52(ג)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המכשול האחד נעוץ בעובדה כי תחולת תקופת התנאי הסטטוטורית מותנית בכך שמדובר ב"אסיר" הנמצא מחוץ לבית הסוהר, ושאלה היא אם ניתן לקבוע כי אדם שנגזר עליו עונש מאסר, אך טרם החל לרצות את עונשו עקב עיכוב ביצוע, הוא בגדר "אסיר" כמשמעותו בסעיף 52(ג) לחוק לעניין תחולת התנאי. המכשול האחר הוא שסעיף 52(ג) לחוק מתייחס בפירוט לחלופות אשר בגינן נמצא האסיר מחוץ לכלא; החלופה הראשונה, שהיא הקרובה לענייננו, מתייחסת לתקופה שבה משוחרר האסיר בערובה מכוח סימן ב' בפרק ג' ל</w:t>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(כיום סימן ו' בפרק ב' ל</w:t>
      </w:r>
      <w:r>
        <w:rPr>
          <w:rFonts w:ascii="Times New Roman" w:hAnsi="Times New Roman" w:cs="Times New Roman"/>
          <w:sz w:val="24"/>
          <w:sz-cs w:val="24"/>
          <w:u w:val="single"/>
          <w:color w:val="0000FF"/>
        </w:rPr>
        <w:t xml:space="preserve"> HYPERLINK "http://www.nevo.co.il/law/98568" חוק המעצרים</w:t>
      </w:r>
      <w:r>
        <w:rPr>
          <w:rFonts w:ascii="Times New Roman" w:hAnsi="Times New Roman" w:cs="Times New Roman"/>
          <w:sz w:val="24"/>
          <w:sz-cs w:val="24"/>
        </w:rPr>
        <w:t xml:space="preserve">, ובייחוד סעיף 44 לחוק זה), ואינה דנה במפורש בתקופת שחרור בערובה בגין עיכוב ביצוע לפי סעיף 87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טרם תחילת ריצוי המאסר בפועל. </w:t>
      </w:r>
    </w:p>
    <w:p>
      <w:pPr>
        <w:jc w:val="both"/>
        <w:bidi/>
        <w:spacing w:after="240"/>
      </w:pPr>
      <w:r>
        <w:rPr>
          <w:rFonts w:ascii="Times New Roman" w:hAnsi="Times New Roman" w:cs="Times New Roman"/>
          <w:sz w:val="24"/>
          <w:sz-cs w:val="24"/>
        </w:rPr>
        <w:t xml:space="preserve"/>
        <w:br w:type="page"/>
        <w:t xml:space="preserve">התלבטתי לא מעט אם ניתן לפרש את הסעיף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הפרשנות המוצעת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התביעה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אף שני המכשולים האמורים. קרובה הייתי למסקנה כי מכשולים אלה אינם מכשולים של ממש מבחינה פרשנית. כבר נאמר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ידינו בעבר, כי ה"נושא אותו זמן עונש מאסר", כמשמעותו ברישה של סעיף 52(ג) לחוק, הוא מי שנידון למאסר וצריך להתחיל לרצותו. באופן דומה, ניתן לומר מבחינה פרשנית כי מי שנידון למאסר ואמור להתחיל לרצות את עונשו הוא "אסיר" כמשמעותו בסיפה של סעיף 52(ג) לחוק. לפי הפרשנות המוצעת האמורה, היה אפשר לכאורה לקבוע כי נידון שעונשו נדחה, והוא ממתין להכרעה בערעורו, הוא "אסיר" באופן המרחיב את משמעותו הנורמטיבית של הביטוי "אסיר" לעניין הסעיף האמור. הוטרדתי גם מהשאלה אם יש טעם ענייני להבחין בין נאשם שריצוי עונשו נדחה לפי סעיף 87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והוא משוחרר בערבות מטעם זה, לבין נאשם שהחל בריצוי עונשו, ולאחר תקופה קצרה שוחרר בערובה לפי סעיף 44 ל</w:t>
      </w:r>
      <w:r>
        <w:rPr>
          <w:rFonts w:ascii="Times New Roman" w:hAnsi="Times New Roman" w:cs="Times New Roman"/>
          <w:sz w:val="24"/>
          <w:sz-cs w:val="24"/>
          <w:u w:val="single"/>
          <w:color w:val="0000FF"/>
        </w:rPr>
        <w:t xml:space="preserve"> HYPERLINK "http://www.nevo.co.il/law/98568" </w:t>
      </w:r>
      <w:r>
        <w:rPr>
          <w:rFonts w:ascii="Times New Roman" w:hAnsi="Times New Roman" w:cs="Times New Roman"/>
          <w:sz w:val="24"/>
          <w:sz-cs w:val="24"/>
          <w:u w:val="single"/>
          <w:color w:val="0000FF"/>
        </w:rPr>
        <w:t xml:space="preserve">חוק המעצרים</w:t>
      </w:r>
      <w:r>
        <w:rPr>
          <w:rFonts w:ascii="Times New Roman" w:hAnsi="Times New Roman" w:cs="Times New Roman"/>
          <w:sz w:val="24"/>
          <w:sz-cs w:val="24"/>
        </w:rPr>
        <w:t xml:space="preserve"> עד להכרעה בערעורו. על משוחרר בערובה לפי סעיף 44 ל</w:t>
      </w:r>
      <w:r>
        <w:rPr>
          <w:rFonts w:ascii="Times New Roman" w:hAnsi="Times New Roman" w:cs="Times New Roman"/>
          <w:sz w:val="24"/>
          <w:sz-cs w:val="24"/>
          <w:u w:val="single"/>
          <w:color w:val="0000FF"/>
        </w:rPr>
        <w:t xml:space="preserve"> HYPERLINK "http://www.nevo.co.il/law/98568" </w:t>
      </w:r>
      <w:r>
        <w:rPr>
          <w:rFonts w:ascii="Times New Roman" w:hAnsi="Times New Roman" w:cs="Times New Roman"/>
          <w:sz w:val="24"/>
          <w:sz-cs w:val="24"/>
          <w:u w:val="single"/>
          <w:color w:val="0000FF"/>
        </w:rPr>
        <w:t xml:space="preserve">חוק המעצרים</w:t>
      </w:r>
      <w:r>
        <w:rPr>
          <w:rFonts w:ascii="Times New Roman" w:hAnsi="Times New Roman" w:cs="Times New Roman"/>
          <w:sz w:val="24"/>
          <w:sz-cs w:val="24"/>
        </w:rPr>
        <w:t xml:space="preserve"> יחול התנאי הסטטוטורי הקבוע בסעיף 52(ג) לחוק. הלכה למעשה, בשני המקרים – הן בשחרור בערובה לפי סעיף 44 האמור והן בדחיית ביצוע לפי סעיף 87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 הנאשם 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משוחרר בערובה, ובשניהם תקופת השחרור אינה מוגבלת בזמן ידוע מראש. לפיכך ניתן לכאורה לתהות כי אם על הראשון חל התנאי הסטטוטורי, מדוע לא יחול גם על משוחרר בערובה הנמצא בדחיית ביצוע.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אף זאת הגעתי לכלל מסקנה כי אפילו היה ניתן להתגבר על המכשולים הפרשניים האמורים, אין זה ראוי לפרש את הוראת סעיף 52(ג) לחוק כפי שנתבקשנו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התביעה. ואלה הטעמים למסקנה זו: </w:t>
      </w:r>
    </w:p>
    <w:p>
      <w:pPr>
        <w:jc w:val="both"/>
        <w:bidi/>
        <w:spacing w:after="240"/>
      </w:pPr>
      <w:r>
        <w:rPr>
          <w:rFonts w:ascii="Times New Roman" w:hAnsi="Times New Roman" w:cs="Times New Roman"/>
          <w:sz w:val="24"/>
          <w:sz-cs w:val="24"/>
        </w:rPr>
        <w:t xml:space="preserve">הוראת סעיף 52(ג) סיפה לחוק, ככל שהיא נוגעת לתקופת התנאי הסטטוטורית המצטברת לתקופת התנאי השיפוטית, היא הוראה חריגה שבה קבע המחוקק תקופה של סנקציה עונשית המיתוספת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דין לעונש שנגזר על הנאשם במשפטו. כאמור לעיל, נועדה תקופה זו לגשר על פני "חללים" הנוצרים בתקופות שבהן אדם השוהה במאסר מצוי באופן זמני מחוץ לכותלי הכלא. ככלל, יחולו תקופות התנאי הסטטוטוריות על תקופות זמן מוגדרות, וברוב המקרים גם קצרות, שבהן יוצא האסיר מן הכלא לתקופה זמנית. עקרון החוקיות מחייב כי תוספת תקופת תנאי תהיה מעוגנת בהוראה מפורשת של המחוקק. החלופה הראשונה בסיפה של סעיף 52(ג) לחוק הנוגעת לתקופת השחרור בערובה שבה יחול התנאי, היא כשלעצמה מעוררת קושי, משום שלעתים עלולה היא להתמשך עקב ההמתנה לבירור הערעור. עם זאת מדובר בהוראה מפורשת וברורה של המחוקק, שאף נחקקה טרם עידן חוקי היסוד החדשים. הוראה כזו אינה בנמצא לגבי תקופה שבה הנאשם טרם החל בריצוי המאסר בפועל, והוא ממתין לריצוי עונשו עקב </w:t>
      </w:r>
    </w:p>
    <w:p>
      <w:pPr>
        <w:jc w:val="both"/>
        <w:bidi/>
        <w:spacing w:after="240"/>
      </w:pPr>
      <w:r>
        <w:rPr>
          <w:rFonts w:ascii="Times New Roman" w:hAnsi="Times New Roman" w:cs="Times New Roman"/>
          <w:sz w:val="24"/>
          <w:sz-cs w:val="24"/>
        </w:rPr>
        <w:t xml:space="preserve"/>
        <w:br w:type="page"/>
        <w:t xml:space="preserve">עיכוב ביצוע שניתן לו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סעיף 87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לכאורה, די בטעם זה בלבד כדי לדחות את הטענה בדבר תחולת תקופת התנאי הסטטוטורית. ואמנם, טענת המדינה הועלתה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ידיה כבר בעבר, ונדחתה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זה, אשר קבע מפי השופטת דורנר: </w:t>
      </w:r>
    </w:p>
    <w:p>
      <w:pPr>
        <w:jc w:val="both"/>
        <w:bidi/>
        <w:ind w:left="567" w:right="567"/>
        <w:spacing w:after="120"/>
      </w:pPr>
      <w:r>
        <w:rPr>
          <w:rFonts w:ascii="Times New Roman" w:hAnsi="Times New Roman" w:cs="Times New Roman"/>
          <w:sz w:val="24"/>
          <w:sz-cs w:val="24"/>
        </w:rPr>
        <w:t xml:space="preserve">"המאסר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הוא סוג של עונש, ולכן החלתו במצבים החורגים מהגבולות שהותוו בהוראת סעיף 52(ג)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באופן שיש בו כדי להחמיר עם הנאשם, מנוגדת לעקרון החוקיות במשפט הפלילי, עיקרון שזכה לעיגון חקיקתי עם חקיקת חוק העונשין (תיקון מס' 39) (חלק מקדמי וחלק כללי), תשנ"ד-1994. יפים לכאן דבריו של ח' ה' כהן </w:t>
      </w:r>
      <w:r>
        <w:rPr>
          <w:rFonts w:ascii="Times New Roman" w:hAnsi="Times New Roman" w:cs="Times New Roman"/>
          <w:sz w:val="24"/>
          <w:sz-cs w:val="24"/>
          <w:spacing w:val="-2"/>
        </w:rPr>
        <w:t xml:space="preserve">בספרו </w:t>
      </w:r>
      <w:r>
        <w:rPr>
          <w:rFonts w:ascii="Times New Roman" w:hAnsi="Times New Roman" w:cs="Times New Roman"/>
          <w:sz w:val="19"/>
          <w:sz-cs w:val="19"/>
          <w:spacing w:val="-2"/>
        </w:rPr>
        <w:t xml:space="preserve">המשפט</w:t>
      </w:r>
      <w:r>
        <w:rPr>
          <w:rFonts w:ascii="Times New Roman" w:hAnsi="Times New Roman" w:cs="Times New Roman"/>
          <w:sz w:val="24"/>
          <w:sz-cs w:val="24"/>
          <w:spacing w:val="-2"/>
        </w:rPr>
        <w:t xml:space="preserve">, </w:t>
      </w:r>
      <w:r>
        <w:rPr>
          <w:rFonts w:ascii="Times New Roman" w:hAnsi="Times New Roman" w:cs="Times New Roman"/>
          <w:sz w:val="19"/>
          <w:sz-cs w:val="19"/>
          <w:spacing w:val="-2"/>
        </w:rPr>
        <w:t xml:space="preserve">בעמ' 665</w:t>
      </w:r>
      <w:r>
        <w:rPr>
          <w:rFonts w:ascii="Times New Roman" w:hAnsi="Times New Roman" w:cs="Times New Roman"/>
          <w:sz w:val="19"/>
          <w:sz-cs w:val="19"/>
        </w:rPr>
        <w:t xml:space="preserve">-</w:t>
      </w:r>
      <w:r>
        <w:rPr>
          <w:rFonts w:ascii="Times New Roman" w:hAnsi="Times New Roman" w:cs="Times New Roman"/>
          <w:sz w:val="19"/>
          <w:sz-cs w:val="19"/>
          <w:spacing w:val="-2"/>
        </w:rPr>
        <w:t xml:space="preserve">664</w:t>
      </w:r>
      <w:r>
        <w:rPr>
          <w:rFonts w:ascii="Times New Roman" w:hAnsi="Times New Roman" w:cs="Times New Roman"/>
          <w:sz w:val="24"/>
          <w:sz-cs w:val="24"/>
        </w:rPr>
        <w:t xml:space="preserve">:</w:t>
      </w:r>
    </w:p>
    <w:p>
      <w:pPr>
        <w:jc w:val="both"/>
        <w:bidi/>
        <w:ind w:left="851" w:right="851"/>
        <w:spacing w:after="120"/>
      </w:pPr>
      <w:r>
        <w:rPr>
          <w:rFonts w:ascii="Times New Roman" w:hAnsi="Times New Roman" w:cs="Times New Roman"/>
          <w:sz w:val="24"/>
          <w:sz-cs w:val="24"/>
        </w:rPr>
        <w:t xml:space="preserve">'אין עונשין לא מקל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וחומר ולא מגזירה שווה ולא מהיקש או אנלוגיה, לא ממנהג ולא מנוהג, לא מפוליטיקה ולא מאידיאולוגיה, לא מצורכי השעה ולא משיקולי הכרח – רק מן החוק הכתוב והחקוק שבו נעשה מעשה פלוני, על מרכיביו המוגדרים, לעבירה פלילית. מה שלא עשה החוק בלשון ברורה ומפורשת, שום פרשנות ושום היגיון אינם יכולים לעשות'" (עניין</w:t>
      </w:r>
      <w:r>
        <w:rPr>
          <w:rFonts w:ascii="Times New Roman" w:hAnsi="Times New Roman" w:cs="Times New Roman"/>
          <w:sz w:val="20"/>
          <w:sz-cs w:val="20"/>
        </w:rPr>
        <w:t xml:space="preserve"> רחמים הנ"ל [1]</w:t>
      </w:r>
      <w:r>
        <w:rPr>
          <w:rFonts w:ascii="Times New Roman" w:hAnsi="Times New Roman" w:cs="Times New Roman"/>
          <w:sz w:val="24"/>
          <w:sz-cs w:val="24"/>
        </w:rPr>
        <w:t xml:space="preserve">, </w:t>
      </w:r>
      <w:r>
        <w:rPr>
          <w:rFonts w:ascii="Times New Roman" w:hAnsi="Times New Roman" w:cs="Times New Roman"/>
          <w:sz w:val="20"/>
          <w:sz-cs w:val="20"/>
        </w:rPr>
        <w:t xml:space="preserve">בעמ' 661</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דברים אלה של חברתי השופטת דורנר מקובלים עליי. </w:t>
      </w:r>
    </w:p>
    <w:p>
      <w:pPr>
        <w:jc w:val="both"/>
        <w:bidi/>
        <w:spacing w:after="240"/>
      </w:pPr>
      <w:r>
        <w:rPr>
          <w:rFonts w:ascii="Times New Roman" w:hAnsi="Times New Roman" w:cs="Times New Roman"/>
          <w:sz w:val="24"/>
          <w:sz-cs w:val="24"/>
        </w:rPr>
        <w:t xml:space="preserve">נציין עוד, כי בעניין שלפנינו טענה המדינה שהמערער טרם החל בריצוי עונשו לא רק מכוח החלטת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לדחות את ביצוע העונש לפי סעיף 87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אלא גם משום שבית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שחררו בערובה לפי סעיף 44 ל</w:t>
      </w:r>
      <w:r>
        <w:rPr>
          <w:rFonts w:ascii="Times New Roman" w:hAnsi="Times New Roman" w:cs="Times New Roman"/>
          <w:sz w:val="24"/>
          <w:sz-cs w:val="24"/>
          <w:u w:val="single"/>
          <w:color w:val="0000FF"/>
        </w:rPr>
        <w:t xml:space="preserve"> HYPERLINK "http://www.nevo.co.il/law/98568" חוק המעצרים</w:t>
      </w:r>
      <w:r>
        <w:rPr>
          <w:rFonts w:ascii="Times New Roman" w:hAnsi="Times New Roman" w:cs="Times New Roman"/>
          <w:sz w:val="24"/>
          <w:sz-cs w:val="24"/>
        </w:rPr>
        <w:t xml:space="preserve">. טענה זו אינה משכנעת; המבחן לעניין תחולתה של תקופת התנאי הסטטוטורית הקבועה בחלופה הראשונה של הסיפה בסעיף 52(ג) לחוק, אינו אם הנאשם גם משוחרר בערובה לפי סעיף 44 ל</w:t>
      </w:r>
      <w:r>
        <w:rPr>
          <w:rFonts w:ascii="Times New Roman" w:hAnsi="Times New Roman" w:cs="Times New Roman"/>
          <w:sz w:val="24"/>
          <w:sz-cs w:val="24"/>
          <w:u w:val="single"/>
          <w:color w:val="0000FF"/>
        </w:rPr>
        <w:t xml:space="preserve"> HYPERLINK "http://www.nevo.co.il/law/98568" חוק המעצרים</w:t>
      </w:r>
      <w:r>
        <w:rPr>
          <w:rFonts w:ascii="Times New Roman" w:hAnsi="Times New Roman" w:cs="Times New Roman"/>
          <w:sz w:val="24"/>
          <w:sz-cs w:val="24"/>
        </w:rPr>
        <w:t xml:space="preserve">, אלא מכוח איזו הוראת חוק נדחה ביצוע עונשו מלכתחילה. בעניין שלפנינו החלטת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בתוקף סמכותו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סעיף 87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היא שדחתה את ביצוע העונש (בתנאי שחרור בערובה כמו תמיד), ובית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רק האריך דחייה זו. בנסיבות אלה אין לראות בדחיית הביצוע שניתנה משום שחרור האסיר בערובה לפי סעיף 44 ל</w:t>
      </w:r>
      <w:r>
        <w:rPr>
          <w:rFonts w:ascii="Times New Roman" w:hAnsi="Times New Roman" w:cs="Times New Roman"/>
          <w:sz w:val="24"/>
          <w:sz-cs w:val="24"/>
          <w:u w:val="single"/>
          <w:color w:val="0000FF"/>
        </w:rPr>
        <w:t xml:space="preserve"> HYPERLINK "http://www.nevo.co.il/law/98568" חוק המעצרים</w:t>
      </w:r>
      <w:r>
        <w:rPr>
          <w:rFonts w:ascii="Times New Roman" w:hAnsi="Times New Roman" w:cs="Times New Roman"/>
          <w:sz w:val="24"/>
          <w:sz-cs w:val="24"/>
        </w:rPr>
        <w:t xml:space="preserve">, שרק הוא מקיים את החלופה הראשונה בסעיף 52(ג) לחוק.</w:t>
      </w:r>
    </w:p>
    <w:p>
      <w:pPr>
        <w:jc w:val="both"/>
        <w:bidi/>
        <w:spacing w:after="240"/>
      </w:pPr>
      <w:r>
        <w:rPr>
          <w:rFonts w:ascii="Times New Roman" w:hAnsi="Times New Roman" w:cs="Times New Roman"/>
          <w:sz w:val="24"/>
          <w:sz-cs w:val="24"/>
        </w:rPr>
        <w:t xml:space="preserve"/>
        <w:br w:type="page"/>
        <w:t xml:space="preserve">12.</w:t>
        <w:tab/>
        <w:t xml:space="preserve">אנו מודעים לכך שהתוצאה שאליה הגענו מעוררת קשיים לא מבוטלים. יש לזכור כי עיכוב ביצוע של עונש המאסר שהוטל על אדם אינו בבחינת הכלל אלא בבחינת החריג (סעיף 43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אין לנאשם שהורשע בדין זכות קנויה לעיכוב ביצוע, אלא מדובר בצעד שהוא לכאורה בגדר היוצא מן הכלל (ראו ע"פ 111/99א שוורץ נ' מדינת ישראל [8], בעמ' 266). אם כך הדבר, יהיה מי שיטען כי אין סיבה לפטור את הנידון שביקש לעשות שימוש בכלי של עיכוב ביצוע המאסר בפועל מנשיאה בתנאי בתקופה זו. לפי אותה טענה, משבחר הנידון לבקש מבית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לעכב את ביצוע עונשו לאחר שכבר הורשע ונשללה ממנו חזקת החפות, עליו להביא בחשבון כי לצד ההטבה הכרוכה בעיכוב הביצוע הוא נתון כבר בשלב זה בתקופה שבה עליו להיזהר במיוחד במעשיו, כיוון שתלוי ועומד נגדו עונש מותנה בגין מעשה שביצע בעבר. גם המגמה כי בתקופה שבה אדם כבר נידון והושת עליו עונש שנועד להרתיעו על רקע עברו מביצוע עבירות התנאי – עלולה להיפגע, לפחות לגבי אותה תקופה שבה נתון הנאשם בעיכוב ביצוע. עם זאת במכלול השיקולים, כשאנו מביאים בחשבון את האיזונים המתחייבים מן העקרונות שקבענו לעיל, נראה כי מחויבותנו לעקרון החוקיות וכן הצורך שלא להרחיב את העונש – תקופת תחולת התנאי – מעבר לכוונתו המקורית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שגזר אותו, הם השיקולים הגוברים והם שצריכים להכריע את הכף. </w:t>
      </w:r>
    </w:p>
    <w:p>
      <w:pPr>
        <w:jc w:val="both"/>
        <w:bidi/>
        <w:spacing w:after="240"/>
      </w:pPr>
      <w:r>
        <w:rPr>
          <w:rFonts w:ascii="Times New Roman" w:hAnsi="Times New Roman" w:cs="Times New Roman"/>
          <w:sz w:val="24"/>
          <w:sz-cs w:val="24"/>
        </w:rPr>
        <w:t xml:space="preserve"/>
        <w:br w:type="page"/>
        <w:t xml:space="preserve"/>
      </w:r>
      <w:r>
        <w:rPr>
          <w:rFonts w:ascii="Times New Roman" w:hAnsi="Times New Roman" w:cs="Times New Roman"/>
          <w:sz w:val="24"/>
          <w:sz-cs w:val="24"/>
        </w:rPr>
        <w:t xml:space="preserve">נוסיף עוד שסוגיה זו, כמו כל סוגיית הכללים הנוגעים להפעלת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ראויה להסדרה חקיקתית (ראו גם עניין ריזי הנ"ל [7], </w:t>
      </w:r>
      <w:r>
        <w:rPr>
          <w:rFonts w:ascii="Times New Roman" w:hAnsi="Times New Roman" w:cs="Times New Roman"/>
          <w:sz w:val="19"/>
          <w:sz-cs w:val="19"/>
        </w:rPr>
        <w:t xml:space="preserve">בעמ' 21-20</w:t>
      </w:r>
      <w:r>
        <w:rPr>
          <w:rFonts w:ascii="Times New Roman" w:hAnsi="Times New Roman" w:cs="Times New Roman"/>
          <w:sz w:val="24"/>
          <w:sz-cs w:val="24"/>
        </w:rPr>
        <w:t xml:space="preserve">). מן הראוי שהמחוקק ייתן דעתו על ההיבטים השונים השבים ומעסיקים את בתי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בכל הנוגע לעונשי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והפעלתם תוך מתן תשובה מפורשת בחוק לשאלות השונות שסוגיות אלה מעוררות.   </w:t>
      </w:r>
    </w:p>
    <w:p>
      <w:pPr>
        <w:jc w:val="both"/>
        <w:bidi/>
        <w:spacing w:after="240"/>
      </w:pPr>
      <w:r>
        <w:rPr>
          <w:rFonts w:ascii="Times New Roman" w:hAnsi="Times New Roman" w:cs="Times New Roman"/>
          <w:sz w:val="24"/>
          <w:sz-cs w:val="24"/>
        </w:rPr>
        <w:t xml:space="preserve">סיכומם של דברים: ככלל, בעת תקופת עיכוב ביצוע עונש המאסר לפי סעיף 87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לא תחול תקופת התנאי השיפוטית, אלא אם כן קבע אחרת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שגזר את העונש. זאת ועוד, בתקופת עיכוב הביצוע לא תחול הוראת סעיף 52(ג)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המורה על תוספת תקופת תנאי סטטוטורית. אשר לעונשו של המערער, אנו מבקשים את חוות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דעתו של הממונה על עבודות השירות בתוך 30 יום אם ניתן להעסיק את המערער בעבודות כאמור. </w:t>
      </w:r>
    </w:p>
    <w:p>
      <w:pPr>
        <w:jc w:val="both"/>
        <w:bidi/>
        <w:spacing w:before="240"/>
      </w:pPr>
      <w:r>
        <w:rPr>
          <w:rFonts w:ascii="Arial" w:hAnsi="Arial" w:cs="Arial"/>
          <w:sz w:val="24"/>
          <w:sz-cs w:val="24"/>
        </w:rPr>
        <w:t xml:space="preserve"/>
        <w:br w:type="page"/>
        <w:t xml:space="preserve">הנשיא א' ברק</w:t>
      </w:r>
    </w:p>
    <w:p>
      <w:pPr>
        <w:jc w:val="both"/>
        <w:bidi/>
        <w:ind w:first-line="720"/>
        <w:spacing w:after="240"/>
      </w:pPr>
      <w:r>
        <w:rPr>
          <w:rFonts w:ascii="Times New Roman" w:hAnsi="Times New Roman" w:cs="Times New Roman"/>
          <w:sz w:val="24"/>
          <w:sz-cs w:val="24"/>
        </w:rPr>
        <w:t xml:space="preserve">אני מסכים לפסק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דינה של השופטת ביניש. </w:t>
      </w:r>
    </w:p>
    <w:p>
      <w:pPr>
        <w:jc w:val="both"/>
        <w:bidi/>
        <w:spacing w:before="240"/>
      </w:pPr>
      <w:r>
        <w:rPr>
          <w:rFonts w:ascii="Arial" w:hAnsi="Arial" w:cs="Arial"/>
          <w:sz w:val="24"/>
          <w:sz-cs w:val="24"/>
        </w:rPr>
        <w:t xml:space="preserve">השופט א' מצא</w:t>
      </w:r>
    </w:p>
    <w:p>
      <w:pPr>
        <w:jc w:val="both"/>
        <w:bidi/>
        <w:ind w:first-line="720"/>
        <w:spacing w:after="240"/>
      </w:pPr>
      <w:r>
        <w:rPr>
          <w:rFonts w:ascii="Times New Roman" w:hAnsi="Times New Roman" w:cs="Times New Roman"/>
          <w:sz w:val="24"/>
          <w:sz-cs w:val="24"/>
        </w:rPr>
        <w:t xml:space="preserve">אני מסכים לפסק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דינה של השופטת ביניש. </w:t>
      </w:r>
    </w:p>
    <w:p>
      <w:pPr>
        <w:jc w:val="both"/>
        <w:bidi/>
        <w:spacing w:before="240"/>
      </w:pPr>
      <w:r>
        <w:rPr>
          <w:rFonts w:ascii="Arial" w:hAnsi="Arial" w:cs="Arial"/>
          <w:sz w:val="24"/>
          <w:sz-cs w:val="24"/>
        </w:rPr>
        <w:t xml:space="preserve">השופט מ' חשין</w:t>
      </w:r>
    </w:p>
    <w:p>
      <w:pPr>
        <w:jc w:val="both"/>
        <w:bidi/>
        <w:ind w:first-line="720"/>
        <w:spacing w:after="240"/>
      </w:pPr>
      <w:r>
        <w:rPr>
          <w:rFonts w:ascii="Times New Roman" w:hAnsi="Times New Roman" w:cs="Times New Roman"/>
          <w:sz w:val="24"/>
          <w:sz-cs w:val="24"/>
        </w:rPr>
        <w:t xml:space="preserve">אני מסכים לפסק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דינה של השופטת ביניש. </w:t>
      </w:r>
    </w:p>
    <w:p>
      <w:pPr>
        <w:jc w:val="both"/>
        <w:bidi/>
        <w:spacing w:before="240"/>
      </w:pPr>
      <w:r>
        <w:rPr>
          <w:rFonts w:ascii="Arial" w:hAnsi="Arial" w:cs="Arial"/>
          <w:sz w:val="24"/>
          <w:sz-cs w:val="24"/>
        </w:rPr>
        <w:t xml:space="preserve">השופט א' א' לוי</w:t>
      </w:r>
    </w:p>
    <w:p>
      <w:pPr>
        <w:jc w:val="both"/>
        <w:bidi/>
        <w:ind w:first-line="720"/>
        <w:spacing w:after="240"/>
      </w:pPr>
      <w:r>
        <w:rPr>
          <w:rFonts w:ascii="Times New Roman" w:hAnsi="Times New Roman" w:cs="Times New Roman"/>
          <w:sz w:val="24"/>
          <w:sz-cs w:val="24"/>
        </w:rPr>
        <w:t xml:space="preserve">אני מסכים לפסק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דינה של השופטת ביניש. </w:t>
      </w:r>
    </w:p>
    <w:p>
      <w:pPr>
        <w:jc w:val="both"/>
        <w:bidi/>
        <w:spacing w:before="240"/>
      </w:pPr>
      <w:r>
        <w:rPr>
          <w:rFonts w:ascii="Arial" w:hAnsi="Arial" w:cs="Arial"/>
          <w:sz w:val="24"/>
          <w:sz-cs w:val="24"/>
        </w:rPr>
        <w:t xml:space="preserve">השופטת ד' דורנר</w:t>
      </w:r>
    </w:p>
    <w:p>
      <w:pPr>
        <w:jc w:val="both"/>
        <w:bidi/>
        <w:spacing w:after="240"/>
      </w:pPr>
      <w:r>
        <w:rPr>
          <w:rFonts w:ascii="Times New Roman" w:hAnsi="Times New Roman" w:cs="Times New Roman"/>
          <w:sz w:val="24"/>
          <w:sz-cs w:val="24"/>
        </w:rPr>
        <w:t xml:space="preserve">1.</w:t>
        <w:tab/>
        <w:t xml:space="preserve">עקרון יסוד חוקתי במשפטנו הפלילי שולל ענישה שרירותית או מקרית.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הוא סוג של עונש, שתקופת התנאי הכלולה בו הוגבלה בסעיף 52(ב)(1)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(להלן – החוק או חוק העונשין) לשלוש שנים, ושאף הוגדר כעונש "מאסר" בסעיף 52(א) לחוק העונשין, שבו נקבע: "הטיל בית המשפט עונש מאסר, רשאי הוא להורות בגזר הדין שהעונש, כולו או מקצתו, יהיה על תנאי". קציבה שרירותית או מקרית של תקופת התנאי מנוגדת לעיקרון זה ואף ל</w:t>
      </w:r>
      <w:r>
        <w:rPr>
          <w:rFonts w:ascii="Times New Roman" w:hAnsi="Times New Roman" w:cs="Times New Roman"/>
          <w:sz w:val="24"/>
          <w:sz-cs w:val="24"/>
          <w:u w:val="single"/>
          <w:color w:val="0000FF"/>
        </w:rPr>
        <w:t xml:space="preserve"> HYPERLINK "http://www.nevo.co.il/law/70320" </w:t>
      </w:r>
      <w:r>
        <w:rPr>
          <w:rFonts w:ascii="Times New Roman" w:hAnsi="Times New Roman" w:cs="Times New Roman"/>
          <w:sz w:val="24"/>
          <w:sz-cs w:val="24"/>
          <w:u w:val="single"/>
          <w:color w:val="0000FF"/>
        </w:rPr>
        <w:t xml:space="preserve">חוק-יסוד: כבוד האדם וחירותו</w:t>
      </w:r>
      <w:r>
        <w:rPr>
          <w:rFonts w:ascii="Times New Roman" w:hAnsi="Times New Roman" w:cs="Times New Roman"/>
          <w:sz w:val="24"/>
          <w:sz-cs w:val="24"/>
        </w:rPr>
        <w:t xml:space="preserve"> (להלן – חוק היסוד), שכן היא פוגעת בזכות לחירות מפני מאסר (הקבועה בסעיף 5 לחוק היסוד) במידה העולה על הנדרש. </w:t>
      </w:r>
    </w:p>
    <w:p>
      <w:pPr>
        <w:jc w:val="both"/>
        <w:bidi/>
        <w:spacing w:after="240"/>
      </w:pP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ספק רב בעיניי אם 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 המאריך את תקופת התנאי שנקבעה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למשך זמן מקרי ושרירותי באורך בלתי מוגבל שבמציאות חיינו עשוי להשתרע על פני שנים, ואף מעבר לתקופה שנקבעה בסעיף 52(ב)(1) כמרבית – הולם את הוראות חוק היסוד. אלא שתוקפו של 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
        <w:br w:type="page"/>
        <w:t xml:space="preserve">שנחקק בטרם כניסת חוק היסוד לתוקף, נשמר מכוח סעיף 10 לחוק היסוד, ואולם ברי כי יש לפרש את הסעיף, ככל שהדבר ניתן, ברוח הוראות חוק היסוד. ראו: </w:t>
      </w:r>
      <w:r>
        <w:rPr>
          <w:rFonts w:ascii="Times New Roman" w:hAnsi="Times New Roman" w:cs="Times New Roman"/>
          <w:sz w:val="24"/>
          <w:sz-cs w:val="24"/>
          <w:u w:val="single"/>
          <w:color w:val="0000FF"/>
        </w:rPr>
        <w:t xml:space="preserve">HYPERLINK "http://www.nevo.co.il/case/17926508"</w:t>
      </w:r>
      <w:r>
        <w:rPr>
          <w:rFonts w:ascii="Times New Roman" w:hAnsi="Times New Roman" w:cs="Times New Roman"/>
          <w:sz w:val="24"/>
          <w:sz-cs w:val="24"/>
          <w:u w:val="single"/>
          <w:color w:val="0000FF"/>
        </w:rPr>
        <w:t xml:space="preserve">בש"פ 537/95</w:t>
      </w:r>
      <w:r>
        <w:rPr>
          <w:rFonts w:ascii="Times New Roman" w:hAnsi="Times New Roman" w:cs="Times New Roman"/>
          <w:sz w:val="24"/>
          <w:sz-cs w:val="24"/>
        </w:rPr>
        <w:t xml:space="preserve"> גנימאת</w:t>
      </w:r>
      <w:r>
        <w:rPr>
          <w:rFonts w:ascii="Times New Roman" w:hAnsi="Times New Roman" w:cs="Times New Roman"/>
          <w:sz w:val="24"/>
          <w:sz-cs w:val="24"/>
          <w:b/>
        </w:rPr>
        <w:t xml:space="preserve"> נ' מדינת ישראל [9]</w:t>
      </w:r>
      <w:r>
        <w:rPr>
          <w:rFonts w:ascii="Times New Roman" w:hAnsi="Times New Roman" w:cs="Times New Roman"/>
          <w:sz w:val="24"/>
          <w:sz-cs w:val="24"/>
        </w:rPr>
        <w:t xml:space="preserve">, בעמ' 375, 410; </w:t>
      </w:r>
      <w:r>
        <w:rPr>
          <w:rFonts w:ascii="Times New Roman" w:hAnsi="Times New Roman" w:cs="Times New Roman"/>
          <w:sz w:val="24"/>
          <w:sz-cs w:val="24"/>
          <w:u w:val="single"/>
          <w:color w:val="0000FF"/>
        </w:rPr>
        <w:t xml:space="preserve">HYPERLINK "http://www.nevo.co.il/case/17915466"</w:t>
      </w:r>
      <w:r>
        <w:rPr>
          <w:rFonts w:ascii="Times New Roman" w:hAnsi="Times New Roman" w:cs="Times New Roman"/>
          <w:sz w:val="24"/>
          <w:sz-cs w:val="24"/>
          <w:u w:val="single"/>
          <w:color w:val="0000FF"/>
        </w:rPr>
        <w:t xml:space="preserve">דנ"פ 2316/95</w:t>
      </w:r>
      <w:r>
        <w:rPr>
          <w:rFonts w:ascii="Times New Roman" w:hAnsi="Times New Roman" w:cs="Times New Roman"/>
          <w:sz w:val="24"/>
          <w:sz-cs w:val="24"/>
        </w:rPr>
        <w:t xml:space="preserve"> גנימאת נ' </w:t>
      </w:r>
      <w:r>
        <w:rPr>
          <w:rFonts w:ascii="Times New Roman" w:hAnsi="Times New Roman" w:cs="Times New Roman"/>
          <w:sz w:val="24"/>
          <w:sz-cs w:val="24"/>
          <w:b/>
        </w:rPr>
        <w:t xml:space="preserve">מדינת ישראל [10]</w:t>
      </w:r>
      <w:r>
        <w:rPr>
          <w:rFonts w:ascii="Times New Roman" w:hAnsi="Times New Roman" w:cs="Times New Roman"/>
          <w:sz w:val="24"/>
          <w:sz-cs w:val="24"/>
        </w:rPr>
        <w:t xml:space="preserve">, בעמ' 655. זאת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מתן פירוש דווקני, המצמצם ככל הניתן את תקופות התנאי הסטטוטוריות.</w:t>
      </w:r>
    </w:p>
    <w:p>
      <w:pPr>
        <w:jc w:val="both"/>
        <w:bidi/>
        <w:spacing w:after="240"/>
      </w:pPr>
      <w:r>
        <w:rPr>
          <w:rFonts w:ascii="Times New Roman" w:hAnsi="Times New Roman" w:cs="Times New Roman"/>
          <w:sz w:val="24"/>
          <w:sz-cs w:val="24"/>
        </w:rPr>
        <w:t xml:space="preserve">2.</w:t>
        <w:tab/>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הפירוש שמציעה המדינה, תתווסף מכוח 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לתקופת התנאי שקבע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תקופה המשתרעת על פני משך הזמן שבו עוכב ביצוע העונש. </w:t>
      </w:r>
    </w:p>
    <w:p>
      <w:pPr>
        <w:jc w:val="both"/>
        <w:bidi/>
        <w:spacing w:after="240"/>
      </w:pPr>
      <w:r>
        <w:rPr>
          <w:rFonts w:ascii="Times New Roman" w:hAnsi="Times New Roman" w:cs="Times New Roman"/>
          <w:sz w:val="24"/>
          <w:sz-cs w:val="24"/>
        </w:rPr>
        <w:t xml:space="preserve">פשוט הוא בעיניי כי פירוש זה, המוביל להארכת תקופת התנאי לפרק זמן בלתי מוגבל, ואף כאמור למשך זמן העולה על התקופה המרבית שנקבעה בחוק עצמו – וכל זאת בדרך של פרשנות מרחיבה של הוראת עונשין בניגוד לעקרון החוקיות – אינו יכול להתקבל. ואכן, כך נפסק ב</w:t>
      </w:r>
      <w:r>
        <w:rPr>
          <w:rFonts w:ascii="Times New Roman" w:hAnsi="Times New Roman" w:cs="Times New Roman"/>
          <w:sz w:val="24"/>
          <w:sz-cs w:val="24"/>
          <w:u w:val="single"/>
          <w:color w:val="0000FF"/>
        </w:rPr>
        <w:t xml:space="preserve">HYPERLINK "http://www.nevo.co.il/case/6107834"</w:t>
      </w:r>
      <w:r>
        <w:rPr>
          <w:rFonts w:ascii="Times New Roman" w:hAnsi="Times New Roman" w:cs="Times New Roman"/>
          <w:sz w:val="24"/>
          <w:sz-cs w:val="24"/>
          <w:u w:val="single"/>
          <w:color w:val="0000FF"/>
        </w:rPr>
        <w:t xml:space="preserve">רע"פ 7589/97</w:t>
      </w:r>
      <w:r>
        <w:rPr>
          <w:rFonts w:ascii="Times New Roman" w:hAnsi="Times New Roman" w:cs="Times New Roman"/>
          <w:sz w:val="24"/>
          <w:sz-cs w:val="24"/>
        </w:rPr>
        <w:t xml:space="preserve"> הנ"ל (להלן – רע"פ </w:t>
      </w:r>
      <w:r>
        <w:rPr>
          <w:rFonts w:ascii="Times New Roman" w:hAnsi="Times New Roman" w:cs="Times New Roman"/>
          <w:sz w:val="24"/>
          <w:sz-cs w:val="24"/>
          <w:b/>
        </w:rPr>
        <w:t xml:space="preserve">רחמים [1]</w:t>
      </w:r>
      <w:r>
        <w:rPr>
          <w:rFonts w:ascii="Times New Roman" w:hAnsi="Times New Roman" w:cs="Times New Roman"/>
          <w:sz w:val="24"/>
          <w:sz-cs w:val="24"/>
        </w:rPr>
        <w:t xml:space="preserve">), שבו נקבע שסעיף 52(ג) בא להבטיח "כי בפרקי הזמן שבהם האסיר, מסיבות שונות, אינו נמצא בין כותלי הכלא והוא חופשי לבצע עבירות, יחול עליו התנאי. תקופת התנאי הסטטוטורית ממלאת אפוא חללים בתקופת הכליאה שנוצרו בשל ההוראה הקובעת כי התנאי השיפוטי לא יחול על תקופת המאסר" (</w:t>
      </w:r>
      <w:r>
        <w:rPr>
          <w:rFonts w:ascii="Times New Roman" w:hAnsi="Times New Roman" w:cs="Times New Roman"/>
          <w:sz w:val="24"/>
          <w:sz-cs w:val="24"/>
          <w:b/>
        </w:rPr>
        <w:t xml:space="preserve">שם</w:t>
      </w:r>
      <w:r>
        <w:rPr>
          <w:rFonts w:ascii="Times New Roman" w:hAnsi="Times New Roman" w:cs="Times New Roman"/>
          <w:sz w:val="24"/>
          <w:sz-cs w:val="24"/>
        </w:rPr>
        <w:t xml:space="preserve">, בעמ' 657), וכי כוונת המחוקק "להכפיף את הנידון לתנאי מכוח החוק התייחסה רק לתקופה שבה הנידון מרצה עונש מאסר בפועל" (</w:t>
      </w:r>
      <w:r>
        <w:rPr>
          <w:rFonts w:ascii="Times New Roman" w:hAnsi="Times New Roman" w:cs="Times New Roman"/>
          <w:sz w:val="24"/>
          <w:sz-cs w:val="24"/>
          <w:b/>
        </w:rPr>
        <w:t xml:space="preserve">שם</w:t>
      </w:r>
      <w:r>
        <w:rPr>
          <w:rFonts w:ascii="Times New Roman" w:hAnsi="Times New Roman" w:cs="Times New Roman"/>
          <w:sz w:val="24"/>
          <w:sz-cs w:val="24"/>
        </w:rPr>
        <w:t xml:space="preserve">, בעמ' 660).</w:t>
      </w:r>
    </w:p>
    <w:p>
      <w:pPr>
        <w:jc w:val="both"/>
        <w:bidi/>
        <w:spacing w:after="240"/>
      </w:pPr>
      <w:r>
        <w:rPr>
          <w:rFonts w:ascii="Times New Roman" w:hAnsi="Times New Roman" w:cs="Times New Roman"/>
          <w:sz w:val="24"/>
          <w:sz-cs w:val="24"/>
        </w:rPr>
        <w:t xml:space="preserve">3.</w:t>
        <w:tab/>
        <w:t xml:space="preserve">שאלה קשה יותר היא אם בתקופה שבה מעוכב העונש חל התנאי השיפוטי.</w:t>
      </w:r>
    </w:p>
    <w:p>
      <w:pPr>
        <w:jc w:val="both"/>
        <w:bidi/>
        <w:spacing w:after="240"/>
      </w:pPr>
      <w:r>
        <w:rPr>
          <w:rFonts w:ascii="Times New Roman" w:hAnsi="Times New Roman" w:cs="Times New Roman"/>
          <w:sz w:val="24"/>
          <w:sz-cs w:val="24"/>
        </w:rPr>
        <w:t xml:space="preserve"/>
        <w:br w:type="page"/>
        <w:t xml:space="preserve">על פני הדברים, הן מלשון סעיף 52(ג)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הקובע כי תקופת התנאי השיפוטי מתחילה ביום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אלא אם הנידון נושא אותה שעה עונש מאסר בפועל, והן מתכליתו של החוק להרתיע את הנידון שעה שאינו נמצא מאחורי סורג ובריח, מתבקשת המסקנה כי התנאי השיפוטי חל בתקופה שבה מעוכב ביצוע עונש המאסר בפועל. כך הוחלט גם ברע"פ </w:t>
      </w:r>
      <w:r>
        <w:rPr>
          <w:rFonts w:ascii="Times New Roman" w:hAnsi="Times New Roman" w:cs="Times New Roman"/>
          <w:sz w:val="24"/>
          <w:sz-cs w:val="24"/>
          <w:b/>
        </w:rPr>
        <w:t xml:space="preserve">רחמים [1]</w:t>
      </w:r>
      <w:r>
        <w:rPr>
          <w:rFonts w:ascii="Times New Roman" w:hAnsi="Times New Roman" w:cs="Times New Roman"/>
          <w:sz w:val="24"/>
          <w:sz-cs w:val="24"/>
        </w:rPr>
        <w:t xml:space="preserve">, שדן במקרה שבו עוכב ביצוע העונש למשך תקופה רצופה ממושכת. </w:t>
      </w:r>
    </w:p>
    <w:p>
      <w:pPr>
        <w:jc w:val="both"/>
        <w:bidi/>
        <w:spacing w:after="240"/>
      </w:pPr>
      <w:r>
        <w:rPr>
          <w:rFonts w:ascii="Times New Roman" w:hAnsi="Times New Roman" w:cs="Times New Roman"/>
          <w:sz w:val="24"/>
          <w:sz-cs w:val="24"/>
        </w:rPr>
        <w:t xml:space="preserve">אלא שתחולת התנאי השיפוטי במקרים שבהם העונש עוכב לתקופה קצרה, שלאחריה נכלא הנידון, פוגעת באפקטיביות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שכן, באין אפשרות לפצל את תקופת התנאי השיפוטי, הרי שתחילת התקופה מן היום שבו עוכב ריצוי </w:t>
      </w:r>
    </w:p>
    <w:p>
      <w:pPr>
        <w:jc w:val="both"/>
        <w:bidi/>
        <w:spacing w:after="240"/>
      </w:pPr>
      <w:r>
        <w:rPr>
          <w:rFonts w:ascii="Times New Roman" w:hAnsi="Times New Roman" w:cs="Times New Roman"/>
          <w:sz w:val="24"/>
          <w:sz-cs w:val="24"/>
        </w:rPr>
        <w:t xml:space="preserve"/>
        <w:br w:type="page"/>
        <w:t xml:space="preserve">המאסר תביא לכך שתקופת התנאי "תרוץ" גם בעת שהנידון ישהה בין כותלי בית הסוהר באופן שיפגע באפקטיביות של התנאי.</w:t>
      </w:r>
    </w:p>
    <w:p>
      <w:pPr>
        <w:jc w:val="both"/>
        <w:bidi/>
        <w:spacing w:after="240"/>
      </w:pPr>
      <w:r>
        <w:rPr>
          <w:rFonts w:ascii="Times New Roman" w:hAnsi="Times New Roman" w:cs="Times New Roman"/>
          <w:sz w:val="24"/>
          <w:sz-cs w:val="24"/>
        </w:rPr>
        <w:t xml:space="preserve">מקובל עליי הפתרון הפרשני לקושי זה שמציעה חברתי השופטת ביניש, שעל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פיו תקופת התנאי השיפוטי לא תתחיל להימנות בתקופה שבה מעוכב ביצוע העונש, וככלל, צו לעיכוב ביצוע העונש יחול על המאסר כיחידה אחת, לרבות על עונש המאסר המותנה.</w:t>
      </w:r>
    </w:p>
    <w:p>
      <w:pPr>
        <w:jc w:val="both"/>
        <w:bidi/>
        <w:spacing w:after="240"/>
      </w:pPr>
      <w:r>
        <w:rPr>
          <w:rFonts w:ascii="Times New Roman" w:hAnsi="Times New Roman" w:cs="Times New Roman"/>
          <w:sz w:val="24"/>
          <w:sz-cs w:val="24"/>
        </w:rPr>
        <w:t xml:space="preserve">אשר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אני מסכימה לדחיית הערעור. </w:t>
      </w:r>
    </w:p>
    <w:p>
      <w:pPr>
        <w:jc w:val="both"/>
        <w:bidi/>
        <w:spacing w:after="240"/>
      </w:pPr>
      <w:r>
        <w:rPr>
          <w:rFonts w:ascii="Arial" w:hAnsi="Arial" w:cs="Arial"/>
          <w:sz w:val="24"/>
          <w:sz-cs w:val="24"/>
        </w:rPr>
        <w:t xml:space="preserve">השופט ת' אור</w:t>
      </w:r>
    </w:p>
    <w:p>
      <w:pPr>
        <w:jc w:val="both"/>
        <w:bidi/>
        <w:spacing w:after="240"/>
      </w:pPr>
      <w:r>
        <w:rPr>
          <w:rFonts w:ascii="Times New Roman" w:hAnsi="Times New Roman" w:cs="Times New Roman"/>
          <w:sz w:val="24"/>
          <w:sz-cs w:val="24"/>
        </w:rPr>
        <w:t xml:space="preserve">1. </w:t>
        <w:tab/>
        <w:t xml:space="preserve">מצטרף אני לתוצאה שאליה הגיעה חברתי השופטת ביניש. גם בנושא טענת המדינה בדבר הפעלת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המערער, מצטרף אני למסקנתה של חברתי, ולפיה תקופת התנאי לא חלה על המערער בעת שביצע את העבירה נושא הערעור. ברם בעניין זה הנימוק העומד ביסוד מסקנתי שונה. </w:t>
      </w:r>
    </w:p>
    <w:p>
      <w:pPr>
        <w:jc w:val="both"/>
        <w:bidi/>
        <w:spacing w:after="240"/>
      </w:pPr>
      <w:r>
        <w:rPr>
          <w:rFonts w:ascii="Times New Roman" w:hAnsi="Times New Roman" w:cs="Times New Roman"/>
          <w:sz w:val="24"/>
          <w:sz-cs w:val="24"/>
        </w:rPr>
        <w:t xml:space="preserve">2. </w:t>
        <w:tab/>
        <w:t xml:space="preserve">העובדות הצריכות לעניין מפורטות בפסק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דינה של חברתי השופטת ביניש. המחלוקת בין הצדדים מתמקדת בשאלה אם נכללת התקופה שבה עוכב ביצוע עונשו של המערער בגדר תקופת התנאי. הסעיף הדן בקביעת התקופות שבהן חל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הוא סעיף 52(ג)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הסעיף קובע, כדלקמן:</w:t>
      </w:r>
    </w:p>
    <w:p>
      <w:pPr>
        <w:jc w:val="both"/>
        <w:bidi/>
        <w:ind w:left="567" w:right="567"/>
        <w:spacing w:after="120"/>
      </w:pPr>
      <w:r>
        <w:rPr>
          <w:rFonts w:ascii="Times New Roman" w:hAnsi="Times New Roman" w:cs="Times New Roman"/>
          <w:sz w:val="24"/>
          <w:sz-cs w:val="24"/>
        </w:rPr>
        <w:t xml:space="preserve">"תקופת התנאי תתחיל ביום מתן גזר הדין ואם הנידון נושא אותו זמן עונש מאסר – ביום שחרורו מן המאסר; אולם תקופה שאסיר נמצא בה מחוץ לבית הסוהר בשל שחרור בערובה מכח סימן ב' בפרק ג' ל</w:t>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[נוסח משולב], התשמ"ב-1982, בשל חופשה מיוחדת או מכח סימן ב1 לפרק ו', יראו אותה כתקופת תנאי מצטברת לתקופת התנאי שקבע בית המשפט; </w:t>
      </w:r>
      <w:r>
        <w:rPr>
          <w:rFonts w:ascii="Times New Roman" w:hAnsi="Times New Roman" w:cs="Times New Roman"/>
          <w:sz w:val="24"/>
          <w:sz-cs w:val="24"/>
          <w:b/>
        </w:rPr>
        <w:t xml:space="preserve">והכל כשבית המשפט לא הורה אחרת</w:t>
      </w:r>
      <w:r>
        <w:rPr>
          <w:rFonts w:ascii="Times New Roman" w:hAnsi="Times New Roman" w:cs="Times New Roman"/>
          <w:sz w:val="24"/>
          <w:sz-cs w:val="24"/>
        </w:rPr>
        <w:t xml:space="preserve">" (ההדגשה שלי – ת' א').</w:t>
      </w:r>
    </w:p>
    <w:p>
      <w:pPr>
        <w:jc w:val="both"/>
        <w:bidi/>
        <w:spacing w:after="240"/>
      </w:pPr>
      <w:r>
        <w:rPr>
          <w:rFonts w:ascii="Times New Roman" w:hAnsi="Times New Roman" w:cs="Times New Roman"/>
          <w:sz w:val="24"/>
          <w:sz-cs w:val="24"/>
        </w:rPr>
        <w:t xml:space="preserve"/>
        <w:br w:type="page"/>
        <w:t xml:space="preserve">הכלל הבסיסי הקבוע בסעיף 52(ג) רישה הוא שתקופת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מתחילה ביום מתן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לכלל זה קיים חריג: אם הנידון נושא אותו זמן עונש מאסר, הרי שתקופת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תידחה ותחול רק ביום שחרורו מן המאסר. בפסיקה נקבע, כי לצורך תחולת חריג זה די בכך שבגזר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הושת על הנאשם מאסר בפועל עם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w:t>
      </w:r>
      <w:r>
        <w:rPr>
          <w:rFonts w:ascii="Times New Roman" w:hAnsi="Times New Roman" w:cs="Times New Roman"/>
          <w:sz w:val="24"/>
          <w:sz-cs w:val="24"/>
          <w:u w:val="single"/>
          <w:color w:val="0000FF"/>
        </w:rPr>
        <w:t xml:space="preserve">HYPERLINK "http://www.nevo.co.il/case/17922343"</w:t>
      </w:r>
      <w:r>
        <w:rPr>
          <w:rFonts w:ascii="Times New Roman" w:hAnsi="Times New Roman" w:cs="Times New Roman"/>
          <w:sz w:val="24"/>
          <w:sz-cs w:val="24"/>
          <w:u w:val="single"/>
          <w:color w:val="0000FF"/>
        </w:rPr>
        <w:t xml:space="preserve">ע"פ 4180/92</w:t>
      </w:r>
      <w:r>
        <w:rPr>
          <w:rFonts w:ascii="Times New Roman" w:hAnsi="Times New Roman" w:cs="Times New Roman"/>
          <w:sz w:val="24"/>
          <w:sz-cs w:val="24"/>
        </w:rPr>
        <w:t xml:space="preserve"> הנ"ל [5]). המשכו של סעיף 52(ג) מתייחס לחריג זה וקובע כי </w:t>
      </w:r>
    </w:p>
    <w:p>
      <w:pPr>
        <w:jc w:val="both"/>
        <w:bidi/>
        <w:spacing w:after="240"/>
      </w:pPr>
      <w:r>
        <w:rPr>
          <w:rFonts w:ascii="Times New Roman" w:hAnsi="Times New Roman" w:cs="Times New Roman"/>
          <w:sz w:val="24"/>
          <w:sz-cs w:val="24"/>
        </w:rPr>
        <w:t xml:space="preserve"/>
        <w:br w:type="page"/>
        <w:t xml:space="preserve">בנסיבות שבהן הוא חל, קרי בנסיבות שבהן תקופת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מתחילה ביום שחרורו של אסיר מן הכלא (ולא מיום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יראו בתקופות הספציפיות הקבועות בסעיף, כגון תקופה שבה נמצא האסיר בחופשה מיוחדת, כתקופת תנאי מצטברת לתקופת התנאי שקבע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תקופות אלה מכונות בפסיקה "תקופות תנאי סטטוטוריות". </w:t>
      </w:r>
    </w:p>
    <w:p>
      <w:pPr>
        <w:jc w:val="both"/>
        <w:bidi/>
        <w:spacing w:after="240"/>
      </w:pPr>
      <w:r>
        <w:rPr>
          <w:rFonts w:ascii="Times New Roman" w:hAnsi="Times New Roman" w:cs="Times New Roman"/>
          <w:sz w:val="24"/>
          <w:sz-cs w:val="24"/>
        </w:rPr>
        <w:t xml:space="preserve">ההוראה הקבועה בסיפה של סעיף 52(ג) – "והכל כשבית המשפט לא הורה אחרת" – מתייחסת לכל הנאמר לפניה: הן לכלל שלפיו מועד תחילת תקופת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מתחיל מיום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הן לחריג לכלל שלפיו כאשר נידון נושא עונש מאסר תתחיל תקופת התנאי ביום שחרורו מהמאסר והן לתקופות המאסר הסטטוטוריות החלות כאשר חל החריג לכלל.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רשאי אפוא, אם כך הוא רואה לנכון לעשות במקרה המתאים, לקבוע מועד אחר לתחילת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מזה הקבוע בסעיף 52(ג) רישה. כמו כן רשאי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לקבוע כי הוראה אחרת תחול בנוגע לתקופות התנאי הסטטוטוריות, כולל האפשרות שבית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יורה כי הנידון לא יהיה כפוף כלל בתקופות אלה לתנאי. בתמצית, ההוראות הקבועות בסעיף 52(ג) כפופות לשיקול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דעתו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ובנסיבות המתאימות רשאי הוא לקבוע הוראות אחרות אשר לדעתו משרתות טוב יותר את התכלית שלשמה הוטל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w:t>
      </w:r>
    </w:p>
    <w:p>
      <w:pPr>
        <w:jc w:val="both"/>
        <w:bidi/>
        <w:spacing w:after="240"/>
      </w:pPr>
      <w:r>
        <w:rPr>
          <w:rFonts w:ascii="Times New Roman" w:hAnsi="Times New Roman" w:cs="Times New Roman"/>
          <w:sz w:val="24"/>
          <w:sz-cs w:val="24"/>
        </w:rPr>
        <w:t xml:space="preserve">3.</w:t>
        <w:tab/>
        <w:t xml:space="preserve">במקרה שבפנינו השית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על המערער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כדלקמן:</w:t>
      </w:r>
    </w:p>
    <w:p>
      <w:pPr>
        <w:jc w:val="both"/>
        <w:bidi/>
        <w:ind w:left="567" w:right="567"/>
        <w:spacing w:after="120"/>
      </w:pPr>
      <w:r>
        <w:rPr>
          <w:rFonts w:ascii="Times New Roman" w:hAnsi="Times New Roman" w:cs="Times New Roman"/>
          <w:sz w:val="24"/>
          <w:sz-cs w:val="24"/>
        </w:rPr>
        <w:t xml:space="preserve">"12 חודשי מאסר על תנאי שלא יעבור במשך 3 שנים </w:t>
      </w:r>
      <w:r>
        <w:rPr>
          <w:rFonts w:ascii="Times New Roman" w:hAnsi="Times New Roman" w:cs="Times New Roman"/>
          <w:sz w:val="24"/>
          <w:sz-cs w:val="24"/>
          <w:b/>
        </w:rPr>
        <w:t xml:space="preserve">מיום שחרורו מן הכלא </w:t>
      </w:r>
      <w:r>
        <w:rPr>
          <w:rFonts w:ascii="Times New Roman" w:hAnsi="Times New Roman" w:cs="Times New Roman"/>
          <w:sz w:val="24"/>
          <w:sz-cs w:val="24"/>
        </w:rPr>
        <w:t xml:space="preserve">עבירה בניגוד לסעיף 379, 413ח או 415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w:t>
        <w:br/>
        <w:t xml:space="preserve">תשל"ז-1977, או עבירה מסוג פשע" (ההדגשה שלי – ת' א').</w:t>
      </w:r>
    </w:p>
    <w:p>
      <w:pPr>
        <w:jc w:val="both"/>
        <w:bidi/>
        <w:spacing w:after="240"/>
      </w:pPr>
      <w:r>
        <w:rPr>
          <w:rFonts w:ascii="Times New Roman" w:hAnsi="Times New Roman" w:cs="Times New Roman"/>
          <w:sz w:val="24"/>
          <w:sz-cs w:val="24"/>
        </w:rPr>
        <w:t xml:space="preserve">בדבריו אלה קובע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במפורש, כי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אשר הושת על המערער יתחיל מיום שחרורו מהכלא. כאמור,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מוסמך, לפי שיקול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דעתו, לקבוע הוראות אחרות מאלו הקבועות בסעיף 52(ג). דעתי היא שכך פעל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השלום בקביעתו זו. יש לפרש את הוראת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כפשוטה, קרי: שתחילת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שהוטל עליו היא ביום שחרורו מהמאסר, וכי בכל התקופה הקודמת לכך לא תחול תקופת תנאי כלשהי, לא שיפוטית ואף לא סטטוטורית. לדעתי, אין לפרש את הוראת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בקובעו מתי תתחיל תקופת התנאי, כאילו התכוון לחזור על האמור בסעיף 52(ג) לעניין התחלת מועד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בנסיבות שבהן הנידון נושא עונש מאסר, וכי כל יתר תנאי הסעיף נשארים בתוקפם. ראשית, פירוש כזה </w:t>
      </w:r>
    </w:p>
    <w:p>
      <w:pPr>
        <w:jc w:val="both"/>
        <w:bidi/>
        <w:spacing w:after="240"/>
      </w:pPr>
      <w:r>
        <w:rPr>
          <w:rFonts w:ascii="Times New Roman" w:hAnsi="Times New Roman" w:cs="Times New Roman"/>
          <w:sz w:val="24"/>
          <w:sz-cs w:val="24"/>
        </w:rPr>
        <w:t xml:space="preserve"/>
        <w:br w:type="page"/>
        <w:t xml:space="preserve">נוטל מהוראת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כל חשיבות. שנית, הנוסח שנקט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שונה מילולית מהנוסח שבחוק.</w:t>
      </w:r>
    </w:p>
    <w:p>
      <w:pPr>
        <w:jc w:val="both"/>
        <w:bidi/>
        <w:spacing w:after="240"/>
      </w:pPr>
      <w:r>
        <w:rPr>
          <w:rFonts w:ascii="Times New Roman" w:hAnsi="Times New Roman" w:cs="Times New Roman"/>
          <w:sz w:val="24"/>
          <w:sz-cs w:val="24"/>
        </w:rPr>
        <w:t xml:space="preserve">במילים אחרות,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השתמש בשיקול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הדעת שהוקנה לו בסעיף 52(ג) סיפה וקבע כי תקופת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לא תחול כלל על המערער עד לתום ריצוי עונש המאסר בפועל. לפיכך בין שנקבל את עמדת המדינה כי מקרהו של המערער נכנס בגדר שחרור בערובה לפי סעיף 44 ל</w:t>
      </w:r>
      <w:r>
        <w:rPr>
          <w:rFonts w:ascii="Times New Roman" w:hAnsi="Times New Roman" w:cs="Times New Roman"/>
          <w:sz w:val="24"/>
          <w:sz-cs w:val="24"/>
          <w:u w:val="single"/>
          <w:color w:val="0000FF"/>
        </w:rPr>
        <w:t xml:space="preserve"> HYPERLINK "http://www.nevo.co.il/law/98568" </w:t>
      </w:r>
      <w:r>
        <w:rPr>
          <w:rFonts w:ascii="Times New Roman" w:hAnsi="Times New Roman" w:cs="Times New Roman"/>
          <w:sz w:val="24"/>
          <w:sz-cs w:val="24"/>
          <w:u w:val="single"/>
          <w:color w:val="0000FF"/>
        </w:rPr>
        <w:t xml:space="preserve">חוק סדר הדין הפלילי (סמכויות אכיפה – מעצרים)</w:t>
      </w:r>
      <w:r>
        <w:rPr>
          <w:rFonts w:ascii="Times New Roman" w:hAnsi="Times New Roman" w:cs="Times New Roman"/>
          <w:sz w:val="24"/>
          <w:sz-cs w:val="24"/>
        </w:rPr>
        <w:t xml:space="preserve"> ובין שלאו, במקרה שלפנינו תתחיל תקופת התנאי ביום שחרורו של המערער מן הכלא למשך שלוש שנים. די בנימוק זה כדי לדחות את טענת המדינה שלפיה בתקופה שבה עוכב ביצוע עונשו חלה על המערער תקופת התנאי הסטטוטורית. </w:t>
      </w:r>
    </w:p>
    <w:p>
      <w:pPr>
        <w:jc w:val="both"/>
        <w:bidi/>
        <w:spacing w:after="240"/>
      </w:pPr>
      <w:r>
        <w:rPr>
          <w:rFonts w:ascii="Times New Roman" w:hAnsi="Times New Roman" w:cs="Times New Roman"/>
          <w:sz w:val="24"/>
          <w:sz-cs w:val="24"/>
        </w:rPr>
        <w:t xml:space="preserve">4. </w:t>
        <w:tab/>
        <w:t xml:space="preserve">נוכח מסקנתי כאמור איני רואה צורך להידרש להנמקתה של חברתי השופטת ביניש. אבקש רק להעיר כי בניגוד למה שעלול להשתמע מעמדת חברתי, איני רואה כל מניעה לכך שבית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יקבע כי בתקופת עיכוב הביצוע תחול תקופת התנאי השיפוטית. במילים אחרות,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מוסמך לקבוע כי הוא דוחה את ביצוע המאסר בפועל בלבד עד לתום הדיון בערעור, בעוד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יישאר על כנו. השופטת ביניש דוחה אפשרות זו משני טעמים: האחד, שבדרך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הטעם המצדיק דחיית ביצוע והמתנה להכרעת ערכאת הערעור מצדיק גם את דחיית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השני, שהחלת תקופת התנאי השיפוטית בעת דחיית הביצוע עלולה להביא לכך שעונש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יפוצל – חלקו יחול בתקופה שעד ריצוי המאסר בפועל, וחלקו האחר יחול לאחר סיום ריצוי המאסר בפועל.  </w:t>
      </w:r>
    </w:p>
    <w:p>
      <w:pPr>
        <w:jc w:val="both"/>
        <w:bidi/>
        <w:spacing w:after="240"/>
      </w:pPr>
      <w:r>
        <w:rPr>
          <w:rFonts w:ascii="Times New Roman" w:hAnsi="Times New Roman" w:cs="Times New Roman"/>
          <w:sz w:val="24"/>
          <w:sz-cs w:val="24"/>
        </w:rPr>
        <w:t xml:space="preserve">אשר לטעם הראשון, ייתכן כי 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הטעם לדחיית המאסר בפועל יצדיק אף את דחיית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אולם אין לקבוע מסמרות בעניין זה. לעתים הערעור מצומצם לערעור על תקופת המאסר בפועל, והנאשם אינו מבקש לעכב את ביצוע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יש סמכות במקרה כזה לעכב את ביצוע עונש המאסר בפועל בלבד.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עשוי להחליט כך במקרים שיש חשיבות שנגד הנאשם יעמוד מיידית עונש מרתיע, אך עדיין יש סיכוי שבעונש המאסר בפועל עשוי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שלערעור להתערב. </w:t>
      </w:r>
    </w:p>
    <w:p>
      <w:pPr>
        <w:jc w:val="both"/>
        <w:bidi/>
        <w:spacing w:after="240"/>
      </w:pPr>
      <w:r>
        <w:rPr>
          <w:rFonts w:ascii="Times New Roman" w:hAnsi="Times New Roman" w:cs="Times New Roman"/>
          <w:sz w:val="24"/>
          <w:sz-cs w:val="24"/>
        </w:rPr>
        <w:t xml:space="preserve">אשר לפיצול תקופת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דעתי היא כי פיצול כאמור אינו מתרחש כלל. כאשר קובע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כי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לא יעוכב, והוא יתחיל מיום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או מועד אחר שקבע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הרי שמאסר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יתחיל ממועד זה והוא יימשך עד </w:t>
      </w:r>
    </w:p>
    <w:p>
      <w:pPr>
        <w:jc w:val="both"/>
        <w:bidi/>
        <w:spacing w:after="240"/>
      </w:pPr>
      <w:r>
        <w:rPr>
          <w:rFonts w:ascii="Times New Roman" w:hAnsi="Times New Roman" w:cs="Times New Roman"/>
          <w:sz w:val="24"/>
          <w:sz-cs w:val="24"/>
        </w:rPr>
        <w:t xml:space="preserve"/>
        <w:br w:type="page"/>
        <w:t xml:space="preserve">לתום תקופת התנאי. הקושי הטמון במקרה כזה הוא שהמאסר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עלול "לגלוש" לתוך תקופת ריצוי המאסר בפועל. לכאורה, אין צומחת כל תועלת מכך שבתקופת התנאי, שהיא מעין תקופת מבחן שבה צריך לעמוד הנאשם, תימשך בתקופת שהות הנאשם בכלא (ראו </w:t>
      </w:r>
      <w:r>
        <w:rPr>
          <w:rFonts w:ascii="Times New Roman" w:hAnsi="Times New Roman" w:cs="Times New Roman"/>
          <w:sz w:val="24"/>
          <w:sz-cs w:val="24"/>
          <w:u w:val="single"/>
          <w:color w:val="0000FF"/>
        </w:rPr>
        <w:t xml:space="preserve">HYPERLINK "http://www.nevo.co.il/case/17930300"בג"ץ 691/81</w:t>
      </w:r>
      <w:r>
        <w:rPr>
          <w:rFonts w:ascii="Times New Roman" w:hAnsi="Times New Roman" w:cs="Times New Roman"/>
          <w:sz w:val="24"/>
          <w:sz-cs w:val="24"/>
        </w:rPr>
        <w:t xml:space="preserve"> הנ"ל [6], </w:t>
      </w:r>
      <w:r>
        <w:rPr>
          <w:rFonts w:ascii="Times New Roman" w:hAnsi="Times New Roman" w:cs="Times New Roman"/>
          <w:sz w:val="19"/>
          <w:sz-cs w:val="19"/>
        </w:rPr>
        <w:t xml:space="preserve">בעמ' 249 </w:t>
      </w:r>
      <w:r>
        <w:rPr>
          <w:rFonts w:ascii="Times New Roman" w:hAnsi="Times New Roman" w:cs="Times New Roman"/>
          <w:sz w:val="24"/>
          <w:sz-cs w:val="24"/>
        </w:rPr>
        <w:t xml:space="preserve">והאסמכתאות </w:t>
      </w:r>
      <w:r>
        <w:rPr>
          <w:rFonts w:ascii="Times New Roman" w:hAnsi="Times New Roman" w:cs="Times New Roman"/>
          <w:sz w:val="19"/>
          <w:sz-cs w:val="19"/>
        </w:rPr>
        <w:t xml:space="preserve">שם</w:t>
      </w:r>
      <w:r>
        <w:rPr>
          <w:rFonts w:ascii="Times New Roman" w:hAnsi="Times New Roman" w:cs="Times New Roman"/>
          <w:sz w:val="24"/>
          <w:sz-cs w:val="24"/>
        </w:rPr>
        <w:t xml:space="preserve">). אכן, ייתכן כי במקרים רבים הפעלת תקופת התנאי על נאשם בעת שהותו בין כותלי הכלא תהיה בלתי יעילה. עם זאת איני רואה כל מניעה שבמקרה המתאים יחליט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למרות הקושי האמור, שלא לעכב את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לדוגמה, כאשר מדובר במאסר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שהושת על נאשם בעבירות של סחר בסמים או עבירות של אלימות, עשוי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לסבור כי יעילות הטלתו אינה נפגמת גם כאשר חלה תקופת התנאי בעת שהותו של הנידון בין כותלי הכלא, שכן הסיכון שהוא יבצע עבירות אלה עומד בעינו גם שם. מובן שבעת החלטתו לדחות ביצוע עונש מאסר בפועל בלבד, אך לא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לתת דעתו על כל הנסיבות ולשקול אם המקרה ראוי לכך. </w:t>
      </w:r>
    </w:p>
    <w:p>
      <w:pPr>
        <w:jc w:val="both"/>
        <w:bidi/>
        <w:spacing w:before="240" w:after="120"/>
      </w:pPr>
      <w:r>
        <w:rPr>
          <w:rFonts w:ascii="Times New Roman" w:hAnsi="Times New Roman" w:cs="Times New Roman"/>
          <w:sz w:val="24"/>
          <w:sz-cs w:val="24"/>
        </w:rPr>
        <w:t xml:space="preserve">לאור האמור מצטרף אני להחלטת חברתי השופטת ביניש כי החלטת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שלפיה תקופת התנאי לא חלה על המערער בעת ביצוע העבירה הנוספת, תעמוד בעינה.לפיכך הוחלט כאמור בפסק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של השופטת ביניש. </w:t>
      </w:r>
    </w:p>
    <w:p>
      <w:pPr>
        <w:jc w:val="both"/>
        <w:bidi/>
        <w:spacing w:after="240"/>
      </w:pPr>
      <w:r>
        <w:rPr>
          <w:rFonts w:ascii="Times New Roman" w:hAnsi="Times New Roman" w:cs="Times New Roman"/>
          <w:sz w:val="4"/>
          <w:sz-cs w:val="4"/>
          <w:color w:val="FFFFFF"/>
        </w:rPr>
        <w:t xml:space="preserve"/>
      </w:r>
    </w:p>
    <w:p>
      <w:pPr>
        <w:jc w:val="both"/>
        <w:bidi/>
        <w:spacing w:after="240"/>
      </w:pPr>
      <w:r>
        <w:rPr>
          <w:rFonts w:ascii="Times New Roman" w:hAnsi="Times New Roman" w:cs="Times New Roman"/>
          <w:sz w:val="4"/>
          <w:sz-cs w:val="4"/>
          <w:color w:val="FFFFFF"/>
        </w:rPr>
        <w:t xml:space="preserve">5129371</w:t>
      </w:r>
      <w:r>
        <w:rPr>
          <w:rFonts w:ascii="Times New Roman" w:hAnsi="Times New Roman" w:cs="Times New Roman"/>
          <w:sz w:val="2"/>
          <w:sz-cs w:val="2"/>
          <w:color w:val="FFFFFF"/>
        </w:rPr>
        <w:t xml:space="preserve"/>
      </w:r>
    </w:p>
    <w:p>
      <w:pPr>
        <w:jc w:val="both"/>
        <w:bidi/>
        <w:spacing w:after="240"/>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ניתן היום, כ"ז באייר תשס"ב (9.5.2002).</w:t>
      </w:r>
    </w:p>
    <w:p>
      <w:pPr>
        <w:jc w:val="both"/>
        <w:bidi/>
        <w:ind w:left="170" w:right="568"/>
        <w:spacing w:before="60" w:after="60"/>
      </w:pPr>
      <w:r>
        <w:rPr>
          <w:rFonts w:ascii="Times New Roman" w:hAnsi="Times New Roman" w:cs="Times New Roman"/>
          <w:sz w:val="24"/>
          <w:sz-cs w:val="24"/>
        </w:rPr>
        <w:t xml:space="preserve"/>
        <w:br w:type="page"/>
        <w:t xml:space="preserve">מיני-רציו:</w:t>
      </w:r>
    </w:p>
    <w:p>
      <w:pPr>
        <w:jc w:val="both"/>
        <w:bidi/>
        <w:ind w:left="170" w:right="568"/>
        <w:spacing w:before="60" w:after="60"/>
      </w:pPr>
      <w:r>
        <w:rPr>
          <w:rFonts w:ascii="Times New Roman" w:hAnsi="Times New Roman" w:cs="Times New Roman"/>
          <w:sz w:val="24"/>
          <w:sz-cs w:val="24"/>
        </w:rPr>
        <w:t xml:space="preserve">* </w:t>
      </w:r>
      <w:r>
        <w:rPr>
          <w:rFonts w:ascii="Times New Roman" w:hAnsi="Times New Roman" w:cs="Times New Roman"/>
          <w:sz w:val="26"/>
          <w:sz-cs w:val="26"/>
        </w:rPr>
        <w:t xml:space="preserve">עונשין</w:t>
      </w:r>
      <w:r>
        <w:rPr>
          <w:rFonts w:ascii="Times New Roman" w:hAnsi="Times New Roman" w:cs="Times New Roman"/>
          <w:sz w:val="30"/>
          <w:sz-cs w:val="30"/>
        </w:rPr>
        <w:t xml:space="preserve"> </w:t>
      </w:r>
      <w:r>
        <w:rPr>
          <w:rFonts w:ascii="Times New Roman" w:hAnsi="Times New Roman" w:cs="Times New Roman"/>
          <w:sz w:val="24"/>
          <w:sz-cs w:val="24"/>
        </w:rPr>
        <w:t xml:space="preserve">– ענישה – </w:t>
      </w:r>
      <w:r>
        <w:rPr>
          <w:rFonts w:ascii="Times New Roman" w:hAnsi="Times New Roman" w:cs="Times New Roman"/>
          <w:sz w:val="22"/>
          <w:sz-cs w:val="22"/>
        </w:rPr>
        <w:t xml:space="preserve">דרכי ענישה:</w:t>
      </w:r>
      <w:r>
        <w:rPr>
          <w:rFonts w:ascii="Times New Roman" w:hAnsi="Times New Roman" w:cs="Times New Roman"/>
          <w:sz w:val="26"/>
          <w:sz-cs w:val="26"/>
        </w:rPr>
        <w:t xml:space="preserve"> </w:t>
      </w:r>
      <w:r>
        <w:rPr>
          <w:rFonts w:ascii="Times New Roman" w:hAnsi="Times New Roman" w:cs="Times New Roman"/>
          <w:sz w:val="22"/>
          <w:sz-cs w:val="22"/>
        </w:rPr>
        <w:t xml:space="preserve">מאסר על</w:t>
      </w:r>
      <w:r>
        <w:rPr>
          <w:rFonts w:ascii="Times New Roman" w:hAnsi="Times New Roman" w:cs="Times New Roman"/>
          <w:sz w:val="22"/>
          <w:sz-cs w:val="22"/>
          <w:position w:val="4"/>
        </w:rPr>
        <w:t xml:space="preserve">-</w:t>
      </w:r>
      <w:r>
        <w:rPr>
          <w:rFonts w:ascii="Times New Roman" w:hAnsi="Times New Roman" w:cs="Times New Roman"/>
          <w:sz w:val="22"/>
          <w:sz-cs w:val="22"/>
        </w:rPr>
        <w:t xml:space="preserve">תנאי</w:t>
      </w:r>
    </w:p>
    <w:p>
      <w:pPr>
        <w:jc w:val="both"/>
        <w:bidi/>
        <w:ind w:left="170" w:right="568"/>
        <w:spacing w:before="60" w:after="60"/>
      </w:pPr>
      <w:r>
        <w:rPr>
          <w:rFonts w:ascii="Times New Roman" w:hAnsi="Times New Roman" w:cs="Times New Roman"/>
          <w:sz w:val="24"/>
          <w:sz-cs w:val="24"/>
        </w:rPr>
        <w:t xml:space="preserve">תקופת תנאי שיפוטית – קביעתה – תקופת תנאי סטטוטורית – תכליתה – האם עונש מאסר על</w:t>
      </w:r>
      <w:r>
        <w:rPr>
          <w:rFonts w:ascii="Times New Roman" w:hAnsi="Times New Roman" w:cs="Times New Roman"/>
          <w:sz w:val="18"/>
          <w:sz-cs w:val="18"/>
          <w:position w:val="3"/>
        </w:rPr>
        <w:t xml:space="preserve">-</w:t>
      </w:r>
      <w:r>
        <w:rPr>
          <w:rFonts w:ascii="Times New Roman" w:hAnsi="Times New Roman" w:cs="Times New Roman"/>
          <w:sz w:val="24"/>
          <w:sz-cs w:val="24"/>
        </w:rPr>
        <w:t xml:space="preserve">תנאי חל בתקופה שבה מעוכב ביצועו של עונש מאסר.</w:t>
      </w:r>
    </w:p>
    <w:p>
      <w:pPr>
        <w:jc w:val="both"/>
        <w:bidi/>
        <w:spacing w:after="240"/>
      </w:pPr>
      <w:r>
        <w:rPr>
          <w:rFonts w:ascii="Times New Roman" w:hAnsi="Times New Roman" w:cs="Times New Roman"/>
          <w:sz w:val="24"/>
          <w:sz-cs w:val="24"/>
        </w:rPr>
        <w:t xml:space="preserve"/>
      </w:r>
    </w:p>
    <w:p>
      <w:pPr>
        <w:jc w:val="both"/>
        <w:bidi/>
        <w:spacing w:after="240"/>
      </w:pPr>
      <w:r>
        <w:rPr>
          <w:rFonts w:ascii="Times New Roman" w:hAnsi="Times New Roman" w:cs="Times New Roman"/>
          <w:sz w:val="24"/>
          <w:sz-cs w:val="24"/>
        </w:rPr>
        <w:t xml:space="preserve"/>
      </w:r>
    </w:p>
    <w:p>
      <w:pPr>
        <w:jc w:val="center"/>
        <w:bidi/>
        <w:spacing w:after="240"/>
      </w:pPr>
      <w:r>
        <w:rPr>
          <w:rFonts w:ascii="Times New Roman" w:hAnsi="Times New Roman" w:cs="Times New Roman"/>
          <w:sz w:val="24"/>
          <w:sz-cs w:val="24"/>
          <w:u w:val="single"/>
          <w:color w:val="0000FF"/>
        </w:rPr>
        <w:t xml:space="preserve"> HYPERLINK "http://www.nevo.co.il/advertisements/nevo-100.doc" </w:t>
      </w:r>
      <w:r>
        <w:rPr>
          <w:rFonts w:ascii="Times New Roman" w:hAnsi="Times New Roman" w:cs="Times New Roman"/>
          <w:sz w:val="24"/>
          <w:sz-cs w:val="24"/>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4"/>
          <w:sz-cs w:val="24"/>
          <w:u w:val="single"/>
          <w:color w:val="0000FF"/>
        </w:rPr>
        <w:t xml:space="preserve"/>
      </w:r>
    </w:p>
    <w:p>
      <w:pPr>
        <w:jc w:val="center"/>
        <w:bidi/>
        <w:spacing w:after="240"/>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 </w:t>
      </w:r>
    </w:p>
    <w:p>
      <w:pPr>
        <w:jc w:val="right"/>
        <w:bidi/>
      </w:pPr>
      <w:r>
        <w:rPr>
          <w:rFonts w:ascii="Times New Roman" w:hAnsi="Times New Roman" w:cs="Times New Roman"/>
          <w:sz w:val="24"/>
          <w:sz-cs w:val="24"/>
        </w:rPr>
        <w:t xml:space="preserve"/>
      </w:r>
    </w:p>
    <w:p>
      <w:pPr>
        <w:jc w:val="right"/>
        <w:bidi/>
        <w:ind w:left="360" w:right="360"/>
        <w:spacing w:after="60"/>
      </w:pPr>
      <w:r>
        <w:rPr>
          <w:rFonts w:ascii="Times New Roman" w:hAnsi="Times New Roman" w:cs="Times New Roman"/>
          <w:sz w:val="24"/>
          <w:sz-cs w:val="24"/>
        </w:rPr>
        <w:t xml:space="preserve"> PAGE 260</w:t>
        <w:tab/>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נו, חלק רביעי, תשס"ב/תשס"ג 2002</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Z:\hakikato</w:t>
      </w:r>
      <w:r>
        <w:rPr>
          <w:rFonts w:ascii="Times New Roman" w:hAnsi="Times New Roman" w:cs="Times New Roman"/>
          <w:sz w:val="14"/>
          <w:sz-cs w:val="14"/>
          <w:color w:val="000000"/>
        </w:rPr>
        <w:t xml:space="preserve"> run\hakika final public\hakika\recieve all\הרצה לקישורים פסיקה וספרות\02\0007510.doc</w:t>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נו, חלק רביעי, תשס"ב/תשס"ג 2002</w:t>
        <w:tab/>
        <w:t xml:space="preserve"> PAGE 259</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Z:\hakikato</w:t>
      </w:r>
      <w:r>
        <w:rPr>
          <w:rFonts w:ascii="Times New Roman" w:hAnsi="Times New Roman" w:cs="Times New Roman"/>
          <w:sz w:val="14"/>
          <w:sz-cs w:val="14"/>
          <w:color w:val="000000"/>
        </w:rPr>
        <w:t xml:space="preserve"> run\hakika final public\hakika\recieve all\הרצה לקישורים פסיקה וספרות\02\0007510.doc</w:t>
      </w:r>
    </w:p>
    <w:p>
      <w:pPr>
        <w:jc w:val="right"/>
        <w:bidi/>
      </w:pPr>
      <w:r>
        <w:rPr>
          <w:rFonts w:ascii="Times New Roman" w:hAnsi="Times New Roman" w:cs="Times New Roman"/>
          <w:sz w:val="24"/>
          <w:sz-cs w:val="24"/>
        </w:rPr>
        <w:t xml:space="preserve"/>
      </w:r>
    </w:p>
    <w:p>
      <w:pPr>
        <w:jc w:val="right"/>
        <w:bidi/>
        <w:spacing w:after="60"/>
      </w:pPr>
      <w:r>
        <w:rPr>
          <w:rFonts w:ascii="Times New Roman" w:hAnsi="Times New Roman" w:cs="Times New Roman"/>
          <w:sz w:val="24"/>
          <w:sz-cs w:val="24"/>
        </w:rPr>
        <w:t xml:space="preserve"> PAGE 258</w:t>
        <w:tab/>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נו, חלק רביעי, תשס"ב/תשס"ג 2002</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Z:\hakikato</w:t>
      </w:r>
      <w:r>
        <w:rPr>
          <w:rFonts w:ascii="Times New Roman" w:hAnsi="Times New Roman" w:cs="Times New Roman"/>
          <w:sz w:val="14"/>
          <w:sz-cs w:val="14"/>
          <w:color w:val="000000"/>
        </w:rPr>
        <w:t xml:space="preserve"> run\hakika final public\hakika\recieve all\הרצה לקישורים פסיקה וספרות\02\0007510.doc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השופטת ד' ביניש</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השופטת ד' ביניש</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השופטת ד' דורנר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השופטת ד' דורנר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השופטת ד' דורנר, השופט ת' אור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 ת' אור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7510/00</w:t>
        <w:tab/>
        <w:t xml:space="preserve">במנוקלר נ' מדינת ישראל</w:t>
      </w:r>
    </w:p>
    <w:p>
      <w:pPr>
        <w:jc w:val="right"/>
        <w:bidi/>
        <w:spacing w:before="40"/>
      </w:pPr>
      <w:r>
        <w:rPr>
          <w:rFonts w:ascii="Times New Roman" w:hAnsi="Times New Roman" w:cs="Times New Roman"/>
          <w:sz w:val="24"/>
          <w:sz-cs w:val="24"/>
        </w:rPr>
        <w:t xml:space="preserve">פ"ד נו(4) 258</w:t>
        <w:tab/>
        <w:t xml:space="preserve">השופט ת' אור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spacing w:after="240"/>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h11</cp:lastModifiedBy>
  <dcterms:created>2024-12-30T12:08:00Z</dcterms:created>
  <dcterms:modified>2024-12-30T12:08:00Z</dcterms:modified>
</cp:coreProperties>
</file>

<file path=docProps/meta.xml><?xml version="1.0" encoding="utf-8"?>
<meta xmlns="http://schemas.apple.com/cocoa/2006/metadata">
  <generator>CocoaOOXMLWriter/2575.7</generator>
</meta>
</file>