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7552/14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צ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זילברטל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מזוז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יוסף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אגבאריה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אביב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23.09.2014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8748-02-14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סגן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הנשיאה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קרא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באייר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ה</w:t>
            </w:r>
            <w:r>
              <w:rPr>
                <w:rFonts w:cs="Times New Roman"/>
                <w:rtl w:val="true"/>
              </w:rPr>
              <w:t xml:space="preserve">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14.05.15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ליאור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דוידי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יהלי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שפרלינג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snapToGrid w:val="false"/>
              <w:spacing w:lineRule="auto" w:line="360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</w:rPr>
            </w:pPr>
            <w:r>
              <w:rPr>
                <w:rFonts w:cs="Times New Roman"/>
                <w:rtl w:val="true"/>
              </w:rPr>
              <w:t xml:space="preserve"> 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FirstLawyer"/>
            <w:bookmarkEnd w:id="5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נילי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פינקלשטיין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auto" w:line="480"/>
        <w:ind w:end="0"/>
        <w:jc w:val="start"/>
        <w:rPr/>
      </w:pPr>
      <w:r>
        <w:rPr>
          <w:rtl w:val="true"/>
        </w:rPr>
      </w:r>
      <w:bookmarkStart w:id="6" w:name="LawTable"/>
      <w:bookmarkStart w:id="7" w:name="LawTable"/>
      <w:bookmarkEnd w:id="7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29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ט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192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275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2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יא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יג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FrankRuehl"/>
          <w:spacing w:val="0"/>
          <w:szCs w:val="26"/>
        </w:rPr>
      </w:pPr>
      <w:bookmarkStart w:id="8" w:name="ABSTRACT_START"/>
      <w:bookmarkEnd w:id="8"/>
      <w:r>
        <w:rPr>
          <w:rFonts w:ascii="Times New Roman" w:hAnsi="Times New Roman" w:cs="FrankRuehl"/>
          <w:spacing w:val="0"/>
          <w:szCs w:val="26"/>
          <w:rtl w:val="true"/>
        </w:rPr>
        <w:t>מיני</w:t>
      </w:r>
      <w:r>
        <w:rPr>
          <w:rFonts w:cs="FrankRuehl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Cs w:val="26"/>
          <w:rtl w:val="true"/>
        </w:rPr>
        <w:t>רציו</w:t>
      </w:r>
      <w:r>
        <w:rPr>
          <w:rFonts w:cs="FrankRuehl" w:ascii="Times New Roman" w:hAnsi="Times New Roman"/>
          <w:spacing w:val="0"/>
          <w:szCs w:val="26"/>
          <w:rtl w:val="true"/>
        </w:rPr>
        <w:t>: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מתחם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ההולם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שנקבע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שהוטל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עליו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בגדרו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חורגים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ממדיניות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הנוהגת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בעבירות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נשק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כדוגמת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ענייננו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והולמים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מידת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אשמתו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בהתאם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לנסיבות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בחינת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שנגזר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בראי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עיקרון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אחידות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מוביל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למסקנה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להפחית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מעונשו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זאת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נוכח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קיומם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הבדלים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רלבנטיים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השותף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עונשין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תיקון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</w:rPr>
        <w:t>113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עונשין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מדיניות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Cs w:val="26"/>
          <w:rtl w:val="true"/>
        </w:rPr>
        <w:t>עבירות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נשק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עונשין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מדיניות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Cs w:val="26"/>
          <w:rtl w:val="true"/>
        </w:rPr>
        <w:t>אחדות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ערעור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ד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בגדרו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הוטלו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</w:rPr>
        <w:t>32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חודשי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לריצוי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לצד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נלווים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זאת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בעקבות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הרשעתו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cs="FrankRuehl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Cs w:val="26"/>
          <w:rtl w:val="true"/>
        </w:rPr>
        <w:t>פי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הודאתו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במסגרת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הסדר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טיעון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סחר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בנשק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Cs w:val="26"/>
          <w:rtl w:val="true"/>
        </w:rPr>
        <w:t>בצוותא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 </w:t>
      </w:r>
      <w:r>
        <w:rPr>
          <w:rFonts w:ascii="Times New Roman" w:hAnsi="Times New Roman" w:cs="FrankRuehl"/>
          <w:spacing w:val="0"/>
          <w:szCs w:val="26"/>
          <w:rtl w:val="true"/>
        </w:rPr>
        <w:t>ובעבירה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הפרעה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לשוטר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מילוי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תפקידו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ובעבירת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איומים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כן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הפעיל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מותנה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כך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לרצות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בסך</w:t>
      </w:r>
      <w:r>
        <w:rPr>
          <w:rFonts w:cs="FrankRuehl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Cs w:val="26"/>
          <w:rtl w:val="true"/>
        </w:rPr>
        <w:t>הכל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</w:rPr>
        <w:t>46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חודשי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בניכוי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ימי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מעצרו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עניינה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הפרשה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–מכירת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אקדח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לסוכן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משטרתי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סמוי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מיקד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טיעונו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בטענה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לפגיעה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בעקרון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אחידות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שעה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השותף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שסיפק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הנשק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נגזרו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</w:rPr>
        <w:t>12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חודשי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בפועל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בלבד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/>
          <w:spacing w:val="0"/>
          <w:szCs w:val="26"/>
        </w:rPr>
      </w:pP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העליון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Cs w:val="26"/>
          <w:rtl w:val="true"/>
        </w:rPr>
        <w:t>מפי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השופט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' </w:t>
      </w:r>
      <w:r>
        <w:rPr>
          <w:rFonts w:ascii="Times New Roman" w:hAnsi="Times New Roman" w:cs="FrankRuehl"/>
          <w:spacing w:val="0"/>
          <w:szCs w:val="26"/>
          <w:rtl w:val="true"/>
        </w:rPr>
        <w:t>מזוז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בהסכמת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השופטים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' </w:t>
      </w:r>
      <w:r>
        <w:rPr>
          <w:rFonts w:ascii="Times New Roman" w:hAnsi="Times New Roman" w:cs="FrankRuehl"/>
          <w:spacing w:val="0"/>
          <w:szCs w:val="26"/>
          <w:rtl w:val="true"/>
        </w:rPr>
        <w:t>דנציגר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וצ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' </w:t>
      </w:r>
      <w:r>
        <w:rPr>
          <w:rFonts w:ascii="Times New Roman" w:hAnsi="Times New Roman" w:cs="FrankRuehl"/>
          <w:spacing w:val="0"/>
          <w:szCs w:val="26"/>
          <w:rtl w:val="true"/>
        </w:rPr>
        <w:t>זילברטל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 </w:t>
      </w:r>
      <w:r>
        <w:rPr>
          <w:rFonts w:ascii="Times New Roman" w:hAnsi="Times New Roman" w:cs="FrankRuehl"/>
          <w:spacing w:val="0"/>
          <w:szCs w:val="26"/>
          <w:rtl w:val="true"/>
        </w:rPr>
        <w:t>דחה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הערעור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מהטעמים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הבאים</w:t>
      </w:r>
      <w:r>
        <w:rPr>
          <w:rFonts w:cs="FrankRuehl" w:ascii="Times New Roman" w:hAnsi="Times New Roman"/>
          <w:spacing w:val="0"/>
          <w:szCs w:val="26"/>
          <w:rtl w:val="true"/>
        </w:rPr>
        <w:t>: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העיקרון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המנחה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הוא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עיקרון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ההלימה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המעוגן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hyperlink r:id="rId14"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בסעיף</w:t>
        </w:r>
        <w:r>
          <w:rPr>
            <w:rStyle w:val="Hyperlink"/>
            <w:rFonts w:ascii="Times New Roman" w:hAnsi="Times New Roman"/>
            <w:spacing w:val="0"/>
            <w:szCs w:val="26"/>
            <w:rtl w:val="true"/>
          </w:rPr>
          <w:t xml:space="preserve"> </w:t>
        </w:r>
        <w:r>
          <w:rPr>
            <w:rStyle w:val="Hyperlink"/>
            <w:rFonts w:cs="FrankRuehl" w:ascii="Times New Roman" w:hAnsi="Times New Roman"/>
            <w:spacing w:val="0"/>
            <w:szCs w:val="26"/>
          </w:rPr>
          <w:t>40</w:t>
        </w:r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ב</w:t>
        </w:r>
      </w:hyperlink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</w:t>
      </w:r>
      <w:hyperlink r:id="rId15"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חוק</w:t>
        </w:r>
        <w:r>
          <w:rPr>
            <w:rStyle w:val="Hyperlink"/>
            <w:rFonts w:ascii="Times New Roman" w:hAnsi="Times New Roman"/>
            <w:spacing w:val="0"/>
            <w:szCs w:val="26"/>
            <w:rtl w:val="true"/>
          </w:rPr>
          <w:t xml:space="preserve"> </w:t>
        </w:r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העונשין</w:t>
        </w:r>
      </w:hyperlink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לפיו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ייקבע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יחס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הולם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חומרת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בנסיבותיו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ומידת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אשמו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הנאשם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סוג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ומידת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המוטל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עליו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". </w:t>
      </w:r>
      <w:r>
        <w:rPr>
          <w:rFonts w:ascii="Times New Roman" w:hAnsi="Times New Roman" w:cs="FrankRuehl"/>
          <w:spacing w:val="0"/>
          <w:szCs w:val="26"/>
          <w:rtl w:val="true"/>
        </w:rPr>
        <w:t>בקביעת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מתחם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ההולם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יתחשב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היתר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בנסיבות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הקשורות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ובהן</w:t>
      </w:r>
      <w:r>
        <w:rPr>
          <w:rFonts w:cs="FrankRuehl" w:ascii="Times New Roman" w:hAnsi="Times New Roman"/>
          <w:spacing w:val="0"/>
          <w:szCs w:val="26"/>
          <w:rtl w:val="true"/>
        </w:rPr>
        <w:t>: "</w:t>
      </w:r>
      <w:r>
        <w:rPr>
          <w:rFonts w:ascii="Times New Roman" w:hAnsi="Times New Roman" w:cs="FrankRuehl"/>
          <w:spacing w:val="0"/>
          <w:szCs w:val="26"/>
          <w:rtl w:val="true"/>
        </w:rPr>
        <w:t>התכנון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שקדם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" </w:t>
      </w:r>
      <w:r>
        <w:rPr>
          <w:rFonts w:ascii="Times New Roman" w:hAnsi="Times New Roman" w:cs="FrankRuehl"/>
          <w:spacing w:val="0"/>
          <w:szCs w:val="26"/>
          <w:rtl w:val="true"/>
        </w:rPr>
        <w:t>ו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חלקו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היחסי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הנאשם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Cs w:val="26"/>
          <w:rtl w:val="true"/>
        </w:rPr>
        <w:t>" (</w:t>
      </w:r>
      <w:hyperlink r:id="rId16"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סעיפים</w:t>
        </w:r>
        <w:r>
          <w:rPr>
            <w:rStyle w:val="Hyperlink"/>
            <w:rFonts w:ascii="Times New Roman" w:hAnsi="Times New Roman"/>
            <w:spacing w:val="0"/>
            <w:szCs w:val="26"/>
            <w:rtl w:val="true"/>
          </w:rPr>
          <w:t xml:space="preserve"> </w:t>
        </w:r>
        <w:r>
          <w:rPr>
            <w:rStyle w:val="Hyperlink"/>
            <w:rFonts w:cs="FrankRuehl" w:ascii="Times New Roman" w:hAnsi="Times New Roman"/>
            <w:spacing w:val="0"/>
            <w:szCs w:val="26"/>
          </w:rPr>
          <w:t>40</w:t>
        </w:r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ג</w:t>
        </w:r>
      </w:hyperlink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- </w:t>
      </w:r>
      <w:hyperlink r:id="rId17">
        <w:r>
          <w:rPr>
            <w:rStyle w:val="Hyperlink"/>
            <w:rFonts w:cs="FrankRuehl" w:ascii="Times New Roman" w:hAnsi="Times New Roman"/>
            <w:spacing w:val="0"/>
            <w:szCs w:val="26"/>
          </w:rPr>
          <w:t>40</w:t>
        </w:r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ט</w:t>
        </w:r>
      </w:hyperlink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לחוק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). </w:t>
      </w:r>
      <w:r>
        <w:rPr>
          <w:rFonts w:ascii="Times New Roman" w:hAnsi="Times New Roman" w:cs="FrankRuehl"/>
          <w:spacing w:val="0"/>
          <w:szCs w:val="26"/>
          <w:rtl w:val="true"/>
        </w:rPr>
        <w:t>ובקביעת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בתוך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המתחם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יתחשב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היתר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בנסיבות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שאינן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קשורות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ובהן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עברו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הפלילי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הנאשם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העדרו</w:t>
      </w:r>
      <w:r>
        <w:rPr>
          <w:rFonts w:cs="FrankRuehl" w:ascii="Times New Roman" w:hAnsi="Times New Roman"/>
          <w:spacing w:val="0"/>
          <w:szCs w:val="26"/>
          <w:rtl w:val="true"/>
        </w:rPr>
        <w:t>" (</w:t>
      </w:r>
      <w:hyperlink r:id="rId18"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סעיפים</w:t>
        </w:r>
        <w:r>
          <w:rPr>
            <w:rStyle w:val="Hyperlink"/>
            <w:rFonts w:ascii="Times New Roman" w:hAnsi="Times New Roman"/>
            <w:spacing w:val="0"/>
            <w:szCs w:val="26"/>
            <w:rtl w:val="true"/>
          </w:rPr>
          <w:t xml:space="preserve"> </w:t>
        </w:r>
        <w:r>
          <w:rPr>
            <w:rStyle w:val="Hyperlink"/>
            <w:rFonts w:cs="FrankRuehl" w:ascii="Times New Roman" w:hAnsi="Times New Roman"/>
            <w:spacing w:val="0"/>
            <w:szCs w:val="26"/>
          </w:rPr>
          <w:t>40</w:t>
        </w:r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ג</w:t>
        </w:r>
      </w:hyperlink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- </w:t>
      </w:r>
      <w:hyperlink r:id="rId19">
        <w:r>
          <w:rPr>
            <w:rStyle w:val="Hyperlink"/>
            <w:rFonts w:cs="FrankRuehl" w:ascii="Times New Roman" w:hAnsi="Times New Roman"/>
            <w:spacing w:val="0"/>
            <w:szCs w:val="26"/>
          </w:rPr>
          <w:t>40</w:t>
        </w:r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יא</w:t>
        </w:r>
      </w:hyperlink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לחוק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). </w:t>
      </w:r>
      <w:r>
        <w:rPr>
          <w:rFonts w:ascii="Times New Roman" w:hAnsi="Times New Roman" w:cs="FrankRuehl"/>
          <w:spacing w:val="0"/>
          <w:szCs w:val="26"/>
          <w:rtl w:val="true"/>
        </w:rPr>
        <w:t>הנה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עקרונות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משלבים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ערכים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חברתיים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כלליים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לצד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נסיבות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אישיות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קונקרטיות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הנאשם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כאלה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הקשורות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כאלה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שאינן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קשורות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היא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לעולם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אינדיווידואלית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הנגזרת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מהנסיבות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והשיקולים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הפרטניים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שבכל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מקרה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לגופו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לפיכך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כבר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נפסק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כאשר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נאשמים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ביצעו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אותה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עבירה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כמבצעים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בצוותא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כצדדים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שונים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הכרח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ישמר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יחס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מוגדר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מראש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הלימה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מתחם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לאחר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ascii="Times New Roman" w:hAnsi="Times New Roman" w:cs="FrankRuehl"/>
          <w:spacing w:val="0"/>
          <w:szCs w:val="26"/>
          <w:rtl w:val="true"/>
        </w:rPr>
        <w:t>לצד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עקרונות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הכלליים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האמורים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עיקרון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אחידות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אשר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מתייחס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היתר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לכך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שבמקרים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שותפים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Cs w:val="26"/>
          <w:rtl w:val="true"/>
        </w:rPr>
        <w:t>או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מקבץ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עבירות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המהוות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אירוע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אחד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), </w:t>
      </w:r>
      <w:r>
        <w:rPr>
          <w:rFonts w:ascii="Times New Roman" w:hAnsi="Times New Roman" w:cs="FrankRuehl"/>
          <w:spacing w:val="0"/>
          <w:szCs w:val="26"/>
          <w:rtl w:val="true"/>
        </w:rPr>
        <w:t>יש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לשמור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יחס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שקילות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המוטלים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המבצעים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השונים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בהתחשב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בהיררכיה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הפנימית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השותפים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לעבירות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ובמידת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מעורבותם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ואשמם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אך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זאת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בשים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לב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לנסיבות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ולנסיבות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אישיות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מבצע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שאינן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קשורות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במקרה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דנא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נמצאה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שגגה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בגזר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קמא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מתחם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ההולם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שנקבע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שהוטל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עליו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בגדרו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חורגים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ממדיניות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הנוהגת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והולמים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מידת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אשמתו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בהתאם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לנסיבות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בחינת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שנגזר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בראי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עיקרון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אחידות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מוביל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למסקנה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להפחית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מעונשו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זאת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נוכח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קיומם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הבדלים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רלבנטיים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עניינו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השותף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המבחינים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ביניהם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לעניין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והמצדיקים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פער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בענישה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ביניהם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התפקיד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המרכזי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והדומיננטי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במסכת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האירועים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נוסף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כך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לבדו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הורשע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במסגרת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אותו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האישום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בעבירה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הפרעה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לשוטר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במילוי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תפקידו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כמו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קיים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שוני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בין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נסיבותיהם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האישיות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והשותף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הוא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עבר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פלילי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מכביד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ריצה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כבר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ממושך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ובעת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ביצוע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העבירות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הנדונות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עמד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נגדו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תנאי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לעומתו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השותף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נעדר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עבר</w:t>
      </w:r>
      <w:r>
        <w:rPr>
          <w:rFonts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פלילי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6"/>
        </w:rPr>
      </w:pPr>
      <w:r>
        <w:rPr>
          <w:rFonts w:cs="FrankRuehl" w:ascii="FrankRuehl" w:hAnsi="FrankRuehl"/>
          <w:spacing w:val="0"/>
          <w:sz w:val="24"/>
          <w:szCs w:val="26"/>
          <w:rtl w:val="true"/>
        </w:rPr>
      </w:r>
      <w:bookmarkStart w:id="9" w:name="ABSTRACT_END"/>
      <w:bookmarkStart w:id="10" w:name="ABSTRACT_END"/>
      <w:bookmarkEnd w:id="10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1" w:name="PsakDin"/>
            <w:bookmarkStart w:id="12" w:name="secretary"/>
            <w:bookmarkStart w:id="13" w:name="BeginProtocol"/>
            <w:bookmarkStart w:id="14" w:name="LawTable_End"/>
            <w:bookmarkEnd w:id="11"/>
            <w:bookmarkEnd w:id="12"/>
            <w:bookmarkEnd w:id="13"/>
            <w:bookmarkEnd w:id="14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spacing w:lineRule="auto" w:line="360"/>
        <w:ind w:end="0"/>
        <w:jc w:val="start"/>
        <w:rPr>
          <w:rFonts w:ascii="Century" w:hAnsi="Century" w:cs="Century"/>
        </w:rPr>
      </w:pPr>
      <w:bookmarkStart w:id="15" w:name="Writer_Name"/>
      <w:bookmarkEnd w:id="15"/>
      <w:r>
        <w:rPr>
          <w:rFonts w:ascii="Century" w:hAnsi="Century" w:cs="Miriam"/>
          <w:b/>
          <w:b/>
          <w:spacing w:val="0"/>
          <w:szCs w:val="24"/>
          <w:u w:val="single"/>
          <w:rtl w:val="true"/>
        </w:rPr>
        <w:t>השופט</w:t>
      </w:r>
      <w:r>
        <w:rPr>
          <w:rFonts w:ascii="Century" w:hAnsi="Century" w:eastAsia="Century" w:cs="Century"/>
          <w:b/>
          <w:b/>
          <w:spacing w:val="0"/>
          <w:szCs w:val="24"/>
          <w:u w:val="single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u w:val="single"/>
          <w:rtl w:val="true"/>
        </w:rPr>
        <w:t>מ</w:t>
      </w:r>
      <w:r>
        <w:rPr>
          <w:rFonts w:cs="Miriam" w:ascii="Century" w:hAnsi="Century"/>
          <w:b/>
          <w:spacing w:val="0"/>
          <w:szCs w:val="24"/>
          <w:u w:val="single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u w:val="single"/>
          <w:rtl w:val="true"/>
        </w:rPr>
        <w:t>מזוז</w:t>
      </w:r>
      <w:r>
        <w:rPr>
          <w:rFonts w:cs="Century" w:ascii="Century" w:hAnsi="Century"/>
          <w:rtl w:val="true"/>
        </w:rPr>
        <w:t>:</w:t>
      </w:r>
    </w:p>
    <w:p>
      <w:pPr>
        <w:pStyle w:val="BODYVERDICT"/>
        <w:spacing w:lineRule="auto" w:line="360"/>
        <w:ind w:end="0"/>
        <w:jc w:val="start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ערעור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גזר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דינו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23.9.2014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המחוזי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בתל</w:t>
      </w:r>
      <w:r>
        <w:rPr>
          <w:rFonts w:cs="FrankRuehl" w:ascii="Century" w:hAnsi="Century"/>
          <w:sz w:val="22"/>
          <w:rtl w:val="true"/>
        </w:rPr>
        <w:t>-</w:t>
      </w:r>
      <w:r>
        <w:rPr>
          <w:rFonts w:ascii="Century" w:hAnsi="Century" w:cs="FrankRuehl"/>
          <w:sz w:val="22"/>
          <w:sz w:val="22"/>
          <w:rtl w:val="true"/>
        </w:rPr>
        <w:t>אביב</w:t>
      </w:r>
      <w:r>
        <w:rPr>
          <w:rFonts w:cs="FrankRuehl" w:ascii="Century" w:hAnsi="Century"/>
          <w:sz w:val="22"/>
          <w:rtl w:val="true"/>
        </w:rPr>
        <w:t>-</w:t>
      </w:r>
      <w:r>
        <w:rPr>
          <w:rFonts w:ascii="Century" w:hAnsi="Century" w:cs="FrankRuehl"/>
          <w:sz w:val="22"/>
          <w:sz w:val="22"/>
          <w:rtl w:val="true"/>
        </w:rPr>
        <w:t>יפו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ascii="Century" w:hAnsi="Century" w:cs="FrankRuehl"/>
          <w:sz w:val="22"/>
          <w:sz w:val="22"/>
          <w:rtl w:val="true"/>
        </w:rPr>
        <w:t>ס</w:t>
      </w:r>
      <w:r>
        <w:rPr>
          <w:rFonts w:cs="FrankRuehl" w:ascii="Century" w:hAnsi="Century"/>
          <w:sz w:val="22"/>
          <w:rtl w:val="true"/>
        </w:rPr>
        <w:t xml:space="preserve">' </w:t>
      </w:r>
      <w:r>
        <w:rPr>
          <w:rFonts w:ascii="Century" w:hAnsi="Century" w:cs="FrankRuehl"/>
          <w:sz w:val="22"/>
          <w:sz w:val="22"/>
          <w:rtl w:val="true"/>
        </w:rPr>
        <w:t>הנשיאה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ג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קרא</w:t>
      </w:r>
      <w:r>
        <w:rPr>
          <w:rFonts w:cs="FrankRuehl" w:ascii="Century" w:hAnsi="Century"/>
          <w:sz w:val="22"/>
          <w:rtl w:val="true"/>
        </w:rPr>
        <w:t xml:space="preserve">) </w:t>
      </w:r>
      <w:r>
        <w:rPr>
          <w:rFonts w:ascii="Century" w:hAnsi="Century" w:cs="FrankRuehl"/>
          <w:sz w:val="22"/>
          <w:sz w:val="22"/>
          <w:rtl w:val="true"/>
        </w:rPr>
        <w:t>ב</w:t>
      </w:r>
      <w:hyperlink r:id="rId20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ת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8748-02-14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]</w:t>
      </w:r>
      <w:r>
        <w:rPr>
          <w:rFonts w:cs="FrankRuehl" w:ascii="Century" w:hAnsi="Century"/>
          <w:sz w:val="22"/>
          <w:rtl w:val="true"/>
        </w:rPr>
        <w:t>.</w:t>
      </w:r>
    </w:p>
    <w:p>
      <w:pPr>
        <w:pStyle w:val="Ruller41"/>
        <w:spacing w:lineRule="auto" w:line="480"/>
        <w:ind w:end="0"/>
        <w:jc w:val="both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תמצית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הליכים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קודמים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ביום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22.6.2014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הורשע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יחד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ascii="Century" w:hAnsi="Century" w:cs="FrankRuehl"/>
          <w:sz w:val="22"/>
          <w:sz w:val="22"/>
          <w:rtl w:val="true"/>
        </w:rPr>
        <w:t>להלן</w:t>
      </w:r>
      <w:r>
        <w:rPr>
          <w:rFonts w:cs="FrankRuehl" w:ascii="Century" w:hAnsi="Century"/>
          <w:sz w:val="22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השותף</w:t>
      </w:r>
      <w:r>
        <w:rPr>
          <w:rFonts w:cs="FrankRuehl" w:ascii="Century" w:hAnsi="Century"/>
          <w:sz w:val="22"/>
          <w:rtl w:val="true"/>
        </w:rPr>
        <w:t xml:space="preserve">),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cs="FrankRuehl" w:ascii="Century" w:hAnsi="Century"/>
          <w:sz w:val="22"/>
          <w:rtl w:val="true"/>
        </w:rPr>
        <w:t>-</w:t>
      </w:r>
      <w:r>
        <w:rPr>
          <w:rFonts w:ascii="Century" w:hAnsi="Century" w:cs="FrankRuehl"/>
          <w:sz w:val="22"/>
          <w:sz w:val="22"/>
          <w:rtl w:val="true"/>
        </w:rPr>
        <w:t>פי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הודאתו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במסגרת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הסדר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טיעון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בכתב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מתוקן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בנשק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ascii="Century" w:hAnsi="Century" w:cs="FrankRuehl"/>
          <w:sz w:val="22"/>
          <w:sz w:val="22"/>
          <w:rtl w:val="true"/>
        </w:rPr>
        <w:t>בצוותא</w:t>
      </w:r>
      <w:r>
        <w:rPr>
          <w:rFonts w:cs="FrankRuehl" w:ascii="Century" w:hAnsi="Century"/>
          <w:sz w:val="22"/>
          <w:rtl w:val="true"/>
        </w:rPr>
        <w:t xml:space="preserve">) </w:t>
      </w:r>
      <w:r>
        <w:rPr>
          <w:rFonts w:ascii="Century" w:hAnsi="Century" w:cs="FrankRuehl"/>
          <w:sz w:val="22"/>
          <w:sz w:val="22"/>
          <w:rtl w:val="true"/>
        </w:rPr>
        <w:t>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לפי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hyperlink r:id="rId21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סעיפים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144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ב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2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</w:t>
      </w:r>
      <w:r>
        <w:rPr>
          <w:rFonts w:cs="FrankRuehl" w:ascii="Century" w:hAnsi="Century"/>
          <w:sz w:val="22"/>
          <w:rtl w:val="true"/>
        </w:rPr>
        <w:t>-</w:t>
      </w:r>
      <w:hyperlink r:id="rId22"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144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ג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)(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1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יחד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hyperlink r:id="rId23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29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</w:t>
      </w:r>
      <w:hyperlink r:id="rId24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חוק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העונשין</w:t>
        </w:r>
      </w:hyperlink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התשל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ז</w:t>
      </w:r>
      <w:r>
        <w:rPr>
          <w:rFonts w:cs="FrankRuehl" w:ascii="Century" w:hAnsi="Century"/>
          <w:sz w:val="22"/>
          <w:rtl w:val="true"/>
        </w:rPr>
        <w:t>-</w:t>
      </w:r>
      <w:r>
        <w:rPr>
          <w:rFonts w:cs="FrankRuehl" w:ascii="Century" w:hAnsi="Century"/>
          <w:sz w:val="22"/>
        </w:rPr>
        <w:t>1977</w:t>
      </w:r>
      <w:r>
        <w:rPr>
          <w:rFonts w:cs="FrankRuehl" w:ascii="Century" w:hAnsi="Century"/>
          <w:sz w:val="22"/>
          <w:rtl w:val="true"/>
        </w:rPr>
        <w:t xml:space="preserve"> (</w:t>
      </w:r>
      <w:r>
        <w:rPr>
          <w:rFonts w:ascii="Century" w:hAnsi="Century" w:cs="FrankRuehl"/>
          <w:sz w:val="22"/>
          <w:sz w:val="22"/>
          <w:rtl w:val="true"/>
        </w:rPr>
        <w:t>להלן</w:t>
      </w:r>
      <w:r>
        <w:rPr>
          <w:rFonts w:cs="FrankRuehl" w:ascii="Century" w:hAnsi="Century"/>
          <w:sz w:val="22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החוק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או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חוק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העונשין</w:t>
      </w:r>
      <w:r>
        <w:rPr>
          <w:rFonts w:cs="FrankRuehl" w:ascii="Century" w:hAnsi="Century"/>
          <w:sz w:val="22"/>
          <w:rtl w:val="true"/>
        </w:rPr>
        <w:t xml:space="preserve">). </w:t>
      </w:r>
      <w:r>
        <w:rPr>
          <w:rFonts w:ascii="Century" w:hAnsi="Century" w:cs="FrankRuehl"/>
          <w:sz w:val="22"/>
          <w:sz w:val="22"/>
          <w:rtl w:val="true"/>
        </w:rPr>
        <w:t>בנוסף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הורשע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לבדו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כתב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האישום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לשוטר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מילוי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תפקידו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ובעבירת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איומים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 xml:space="preserve">- </w:t>
      </w:r>
      <w:r>
        <w:rPr>
          <w:rFonts w:ascii="Century" w:hAnsi="Century" w:cs="FrankRuehl"/>
          <w:sz w:val="22"/>
          <w:sz w:val="22"/>
          <w:rtl w:val="true"/>
        </w:rPr>
        <w:t>לפי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hyperlink r:id="rId25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סעיפים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275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</w:t>
      </w:r>
      <w:r>
        <w:rPr>
          <w:rFonts w:cs="FrankRuehl" w:ascii="Century" w:hAnsi="Century"/>
          <w:sz w:val="22"/>
          <w:rtl w:val="true"/>
        </w:rPr>
        <w:t xml:space="preserve">- </w:t>
      </w:r>
      <w:hyperlink r:id="rId26"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192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</w:t>
      </w:r>
      <w:hyperlink r:id="rId27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חוק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העונשין</w:t>
        </w:r>
      </w:hyperlink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בהתאמה</w:t>
      </w:r>
      <w:r>
        <w:rPr>
          <w:rFonts w:cs="FrankRuehl" w:ascii="Century" w:hAnsi="Century"/>
          <w:sz w:val="22"/>
          <w:rtl w:val="true"/>
        </w:rPr>
        <w:t xml:space="preserve">.    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>
          <w:rFonts w:cs="FrankRuehl"/>
        </w:rPr>
      </w:pPr>
      <w:r>
        <w:rPr>
          <w:rFonts w:eastAsia="Century" w:cs="Century" w:ascii="Century" w:hAnsi="Century"/>
          <w:sz w:val="22"/>
          <w:rtl w:val="true"/>
        </w:rPr>
        <w:t xml:space="preserve">   </w:t>
      </w:r>
    </w:p>
    <w:p>
      <w:pPr>
        <w:pStyle w:val="Ruller42"/>
        <w:widowControl w:val="false"/>
        <w:numPr>
          <w:ilvl w:val="0"/>
          <w:numId w:val="0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לפי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עובדות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כתב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וכמתואר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באישום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הראשון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פגש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משטרתי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סמוי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הכיר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במכון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כושר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כחצי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לפני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ובמהלך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הפגישה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שוחחו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השניים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סוגי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אקדחים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שונים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ציין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מעוניין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לרכוש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אקדח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אדם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אחר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הציע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יספק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אקדח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מסוג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גלוק</w:t>
      </w:r>
      <w:r>
        <w:rPr>
          <w:rFonts w:cs="FrankRuehl" w:ascii="Century" w:hAnsi="Century"/>
          <w:sz w:val="22"/>
          <w:rtl w:val="true"/>
        </w:rPr>
        <w:t xml:space="preserve">" </w:t>
      </w:r>
      <w:r>
        <w:rPr>
          <w:rFonts w:ascii="Century" w:hAnsi="Century" w:cs="FrankRuehl"/>
          <w:sz w:val="22"/>
          <w:sz w:val="22"/>
          <w:rtl w:val="true"/>
        </w:rPr>
        <w:t>בתמורה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לסך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20,000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ח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והשניים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קבעו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לשוב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ולדבר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הנושא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כעבור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</w:t>
      </w:r>
      <w:r>
        <w:rPr>
          <w:rFonts w:cs="FrankRuehl" w:ascii="Century" w:hAnsi="Century"/>
          <w:sz w:val="22"/>
          <w:rtl w:val="true"/>
        </w:rPr>
        <w:t xml:space="preserve">- </w:t>
      </w:r>
      <w:r>
        <w:rPr>
          <w:rFonts w:cs="FrankRuehl" w:ascii="Century" w:hAnsi="Century"/>
          <w:sz w:val="22"/>
        </w:rPr>
        <w:t>3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ימים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נפגשו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השניים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שוב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ביוזמת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והסוכן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אחר</w:t>
      </w:r>
      <w:r>
        <w:rPr>
          <w:rFonts w:cs="FrankRuehl" w:ascii="Century" w:hAnsi="Century"/>
          <w:sz w:val="22"/>
          <w:rtl w:val="true"/>
        </w:rPr>
        <w:t xml:space="preserve">" </w:t>
      </w:r>
      <w:r>
        <w:rPr>
          <w:rFonts w:ascii="Century" w:hAnsi="Century" w:cs="FrankRuehl"/>
          <w:sz w:val="22"/>
          <w:sz w:val="22"/>
          <w:rtl w:val="true"/>
        </w:rPr>
        <w:t>מעוניין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לרכוש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אקדח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זול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יותר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בתגובה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השיב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שוחח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הבנאדם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שלו</w:t>
      </w:r>
      <w:r>
        <w:rPr>
          <w:rFonts w:cs="FrankRuehl" w:ascii="Century" w:hAnsi="Century"/>
          <w:sz w:val="22"/>
          <w:rtl w:val="true"/>
        </w:rPr>
        <w:t xml:space="preserve">" </w:t>
      </w:r>
      <w:r>
        <w:rPr>
          <w:rFonts w:ascii="Century" w:hAnsi="Century" w:cs="FrankRuehl"/>
          <w:sz w:val="22"/>
          <w:sz w:val="22"/>
          <w:rtl w:val="true"/>
        </w:rPr>
        <w:t>וביכולתו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לספק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אקדח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ושתי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מחסניות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בתמורה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לסך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14,000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ח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ובהמשך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נקבע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העסקה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תתקיים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באזור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המרכז</w:t>
      </w:r>
      <w:r>
        <w:rPr>
          <w:rFonts w:cs="FrankRuehl" w:ascii="Century" w:hAnsi="Century"/>
          <w:sz w:val="22"/>
          <w:rtl w:val="true"/>
        </w:rPr>
        <w:t xml:space="preserve">. </w:t>
      </w:r>
    </w:p>
    <w:p>
      <w:pPr>
        <w:pStyle w:val="Ruller42"/>
        <w:widowControl w:val="false"/>
        <w:numPr>
          <w:ilvl w:val="0"/>
          <w:numId w:val="0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42"/>
        <w:widowControl w:val="false"/>
        <w:numPr>
          <w:ilvl w:val="0"/>
          <w:numId w:val="0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כעבור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יומיים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במהלך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פגישה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נוספת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השניים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יידע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האקדח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נמצא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באזור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הרצליה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ובאותו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מעמד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שמות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קוד</w:t>
      </w:r>
      <w:r>
        <w:rPr>
          <w:rFonts w:cs="FrankRuehl" w:ascii="Century" w:hAnsi="Century"/>
          <w:sz w:val="22"/>
          <w:rtl w:val="true"/>
        </w:rPr>
        <w:t xml:space="preserve">" </w:t>
      </w:r>
      <w:r>
        <w:rPr>
          <w:rFonts w:ascii="Century" w:hAnsi="Century" w:cs="FrankRuehl"/>
          <w:sz w:val="22"/>
          <w:sz w:val="22"/>
          <w:rtl w:val="true"/>
        </w:rPr>
        <w:t>לצורך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העסקה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כמו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קבעו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מועד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העסקה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הצהריים</w:t>
      </w:r>
      <w:r>
        <w:rPr>
          <w:rFonts w:cs="FrankRuehl" w:ascii="Century" w:hAnsi="Century"/>
          <w:sz w:val="22"/>
          <w:rtl w:val="true"/>
        </w:rPr>
        <w:t xml:space="preserve">.  </w:t>
      </w:r>
      <w:r>
        <w:rPr>
          <w:rFonts w:ascii="Century" w:hAnsi="Century" w:cs="FrankRuehl"/>
          <w:rtl w:val="true"/>
        </w:rPr>
        <w:t>בצהרי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אותו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היום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כשהסיע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קטנוע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התבקש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ידי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שוטרים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לעצור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בצד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הדרך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שהתבקש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להזדהות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הזדהה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בכזב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בשמו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אחיו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בהמשך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אותו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היום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התקשר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ואמר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  <w:rtl w:val="true"/>
        </w:rPr>
        <w:t>"</w:t>
      </w:r>
      <w:r>
        <w:rPr>
          <w:rFonts w:ascii="Century" w:hAnsi="Century" w:cs="FrankRuehl"/>
          <w:rtl w:val="true"/>
        </w:rPr>
        <w:t>הבנאדם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דיבר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איתי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עכשיו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  <w:rtl w:val="true"/>
        </w:rPr>
        <w:t>'</w:t>
      </w:r>
      <w:r>
        <w:rPr>
          <w:rFonts w:ascii="Century" w:hAnsi="Century" w:cs="FrankRuehl"/>
          <w:rtl w:val="true"/>
        </w:rPr>
        <w:t>האוטו</w:t>
      </w:r>
      <w:r>
        <w:rPr>
          <w:rFonts w:cs="FrankRuehl" w:ascii="Century" w:hAnsi="Century"/>
          <w:rtl w:val="true"/>
        </w:rPr>
        <w:t xml:space="preserve">' </w:t>
      </w:r>
      <w:r>
        <w:rPr>
          <w:rFonts w:ascii="Century" w:hAnsi="Century" w:cs="FrankRuehl"/>
          <w:rtl w:val="true"/>
        </w:rPr>
        <w:t>בהרצליה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ורוצה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שנבוא</w:t>
      </w:r>
      <w:r>
        <w:rPr>
          <w:rFonts w:cs="FrankRuehl" w:ascii="Century" w:hAnsi="Century"/>
          <w:rtl w:val="true"/>
        </w:rPr>
        <w:t xml:space="preserve">". </w:t>
      </w:r>
      <w:r>
        <w:rPr>
          <w:rFonts w:ascii="Century" w:hAnsi="Century" w:cs="FrankRuehl"/>
          <w:rtl w:val="true"/>
        </w:rPr>
        <w:t>לאחר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שאסף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מביתו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שוחח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השותף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וקיבל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ממנו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הוראות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לנסיעה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למקום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המפגש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בהגיעם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למקום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המתין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להם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השותף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מחוץ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למסעדה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והשלושה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נכנסו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אליה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בהמשך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לכך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המתינו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ברחבת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החניון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הסמוכה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למסעדה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מחצית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מסכום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העסקה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בסך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</w:rPr>
        <w:t>7,000</w:t>
      </w:r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</w:t>
      </w:r>
      <w:r>
        <w:rPr>
          <w:rFonts w:cs="FrankRuehl" w:ascii="Century" w:hAnsi="Century"/>
          <w:rtl w:val="true"/>
        </w:rPr>
        <w:t>"</w:t>
      </w:r>
      <w:r>
        <w:rPr>
          <w:rFonts w:ascii="Century" w:hAnsi="Century" w:cs="FrankRuehl"/>
          <w:rtl w:val="true"/>
        </w:rPr>
        <w:t>ח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כעבור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מספר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דקות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הגיע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השותף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שלף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אקדח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מתחת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לחולצתו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מסר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אותו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והאחרון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הניחו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בקסדה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שהייתה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בידי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במעמד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זה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מסר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יתרת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סכום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העסקה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בסך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</w:rPr>
        <w:t>7,000</w:t>
      </w:r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</w:t>
      </w:r>
      <w:r>
        <w:rPr>
          <w:rFonts w:cs="FrankRuehl" w:ascii="Century" w:hAnsi="Century"/>
          <w:rtl w:val="true"/>
        </w:rPr>
        <w:t>"</w:t>
      </w:r>
      <w:r>
        <w:rPr>
          <w:rFonts w:ascii="Century" w:hAnsi="Century" w:cs="FrankRuehl"/>
          <w:rtl w:val="true"/>
        </w:rPr>
        <w:t>ח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לשאלת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באשר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לשתי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המחסניות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שהובטחו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במסגרת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העסקה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השיב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ישוחחו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בזמן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אחר</w:t>
      </w:r>
      <w:r>
        <w:rPr>
          <w:rFonts w:cs="FrankRuehl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tl w:val="true"/>
        </w:rPr>
        <w:tab/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>כמתואר באישום השני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כחודש לאחר ביצוע העסקה התקשר המערער אל הסוכן וטען בכזב כי סכום נכבד מהתמורה ששולמה עבור האקדח הוא כסף מזויף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 xml:space="preserve">בהמשך לכך איים המערער על הסוכן במספר הזדמנויות באומרו כי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באנשים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פאחם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שעושים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כיפות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אדומות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לאנשים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רואים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בעיניים</w:t>
      </w:r>
      <w:r>
        <w:rPr>
          <w:rtl w:val="true"/>
        </w:rPr>
        <w:t>", "</w:t>
      </w:r>
      <w:r>
        <w:rPr>
          <w:rtl w:val="true"/>
        </w:rPr>
        <w:t>אם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מסדר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העניינים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האלה</w:t>
      </w:r>
      <w:r>
        <w:rPr>
          <w:rtl w:val="true"/>
        </w:rPr>
        <w:t xml:space="preserve">, </w:t>
      </w:r>
      <w:r>
        <w:rPr>
          <w:rtl w:val="true"/>
        </w:rPr>
        <w:t>יהיה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סימן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הפנים</w:t>
      </w:r>
      <w:r>
        <w:rPr>
          <w:rtl w:val="true"/>
        </w:rPr>
        <w:t xml:space="preserve">" </w:t>
      </w:r>
      <w:r>
        <w:rPr>
          <w:rFonts w:ascii="Century" w:hAnsi="Century" w:cs="Century"/>
          <w:rtl w:val="true"/>
        </w:rPr>
        <w:t xml:space="preserve">וכי </w:t>
      </w:r>
      <w:r>
        <w:rPr>
          <w:rtl w:val="true"/>
        </w:rPr>
        <w:t>"</w:t>
      </w:r>
      <w:r>
        <w:rPr>
          <w:rtl w:val="true"/>
        </w:rPr>
        <w:t>אני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מתפלל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מאלוהים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לתפוס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אותך</w:t>
      </w:r>
      <w:r>
        <w:rPr>
          <w:rtl w:val="true"/>
        </w:rPr>
        <w:t xml:space="preserve">, </w:t>
      </w:r>
      <w:r>
        <w:rPr>
          <w:rtl w:val="true"/>
        </w:rPr>
        <w:t>אני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יהלומים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תראה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שלך</w:t>
      </w:r>
      <w:r>
        <w:rPr>
          <w:rtl w:val="true"/>
        </w:rPr>
        <w:t xml:space="preserve">, </w:t>
      </w:r>
      <w:r>
        <w:rPr>
          <w:rtl w:val="true"/>
        </w:rPr>
        <w:t>לאן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תברח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יתפוס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שתיפול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לידיים</w:t>
      </w:r>
      <w:r>
        <w:rPr>
          <w:rtl w:val="true"/>
        </w:rPr>
        <w:t xml:space="preserve">".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מכתב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המקורי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נמחק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המייחס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תיווך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בסם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אולם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בהסדר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הטיעון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הוסכם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הצדדים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יעתרו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להטלת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מותנה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בגין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סמים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מסוג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בנוסף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לכל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שיוטל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עליו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כמו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הסדר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הטיעון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כלל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הסכמה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עונשית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בעוד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שבהסדר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הטיעון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rtl w:val="true"/>
        </w:rPr>
        <w:t>השותף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הוסכם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יתבקש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בעניינו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תסקיר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מבחן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והתביעה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תעתור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בפועל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מותנה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וקנס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ואילו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ההגנה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תטען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כרצונה</w:t>
      </w:r>
      <w:r>
        <w:rPr>
          <w:rFonts w:cs="FrankRuehl" w:ascii="Century" w:hAnsi="Century"/>
          <w:sz w:val="22"/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2"/>
        <w:widowControl w:val="false"/>
        <w:numPr>
          <w:ilvl w:val="0"/>
          <w:numId w:val="0"/>
        </w:numPr>
        <w:ind w:hanging="0" w:start="0" w:end="0"/>
        <w:jc w:val="both"/>
        <w:rPr>
          <w:rFonts w:cs="Miriam"/>
        </w:rPr>
      </w:pP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גזר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הדין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</w:p>
    <w:p>
      <w:pPr>
        <w:pStyle w:val="Ruller42"/>
        <w:widowControl w:val="false"/>
        <w:numPr>
          <w:ilvl w:val="0"/>
          <w:numId w:val="0"/>
        </w:numPr>
        <w:ind w:hanging="0" w:start="0" w:end="0"/>
        <w:jc w:val="both"/>
        <w:rPr>
          <w:rFonts w:ascii="Century" w:hAnsi="Century" w:cs="FrankRuehl"/>
          <w:sz w:val="20"/>
          <w:szCs w:val="24"/>
        </w:rPr>
      </w:pPr>
      <w:r>
        <w:rPr>
          <w:rFonts w:cs="FrankRuehl" w:ascii="Century" w:hAnsi="Century"/>
          <w:sz w:val="20"/>
          <w:szCs w:val="24"/>
          <w:rtl w:val="true"/>
        </w:rPr>
        <w:tab/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בגזר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הדין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שניתן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23.9.2014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32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לריצוי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בפועל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בגין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עבירות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בנשק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וההפרעה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לשוטר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בשעת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מילוי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תפקידו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cs="FrankRuehl" w:ascii="Century" w:hAnsi="Century"/>
          <w:sz w:val="22"/>
        </w:rPr>
        <w:t>6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בפועל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בגין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האיומים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cs="FrankRuehl" w:ascii="Century" w:hAnsi="Century"/>
          <w:sz w:val="22"/>
        </w:rPr>
        <w:t>12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תנאי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יורשע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במשך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3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שחרורו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בעבירת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בנשק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cs="FrankRuehl" w:ascii="Century" w:hAnsi="Century"/>
          <w:sz w:val="22"/>
        </w:rPr>
        <w:t>10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תנאי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יורשע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במשך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3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שחרורו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בעבירת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סמים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מסוג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פשע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cs="FrankRuehl" w:ascii="Century" w:hAnsi="Century"/>
          <w:sz w:val="22"/>
        </w:rPr>
        <w:t>8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תנאי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יורשע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במשך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3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שחרורו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בעבירת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איומים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אלימות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מסוג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פשע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</w:t>
      </w:r>
      <w:r>
        <w:rPr>
          <w:rFonts w:cs="FrankRuehl" w:ascii="Century" w:hAnsi="Century"/>
          <w:sz w:val="22"/>
          <w:rtl w:val="true"/>
        </w:rPr>
        <w:t>-</w:t>
      </w:r>
      <w:r>
        <w:rPr>
          <w:rFonts w:cs="FrankRuehl" w:ascii="Century" w:hAnsi="Century"/>
          <w:sz w:val="22"/>
        </w:rPr>
        <w:t>3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תנאי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יורשע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במשך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3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שחרורו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בעבירת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לשוטר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במילוי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תפקידו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בנוסף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נגזר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קנס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בסך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15,000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3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תחתיו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הפעיל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מותנה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מהליך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לתקופה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8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במצטבר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שהוטל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בתיק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הנדון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כך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לרצות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בסך</w:t>
      </w:r>
      <w:r>
        <w:rPr>
          <w:rFonts w:cs="FrankRuehl" w:ascii="Century" w:hAnsi="Century"/>
          <w:sz w:val="22"/>
          <w:rtl w:val="true"/>
        </w:rPr>
        <w:t>-</w:t>
      </w:r>
      <w:r>
        <w:rPr>
          <w:rFonts w:ascii="Century" w:hAnsi="Century" w:cs="FrankRuehl"/>
          <w:sz w:val="22"/>
          <w:sz w:val="22"/>
          <w:rtl w:val="true"/>
        </w:rPr>
        <w:t>הכל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46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בפועל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בניכוי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ימי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מעצרו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כמו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הופעלה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התחייבות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כספית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בסך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7,500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חתם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בהליך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הקודם</w:t>
      </w:r>
      <w:r>
        <w:rPr>
          <w:rFonts w:cs="FrankRuehl" w:ascii="Century" w:hAnsi="Century"/>
          <w:sz w:val="22"/>
          <w:rtl w:val="true"/>
        </w:rPr>
        <w:t xml:space="preserve">.  </w:t>
      </w:r>
    </w:p>
    <w:p>
      <w:pPr>
        <w:pStyle w:val="Ruller41"/>
        <w:ind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rtl w:val="true"/>
        </w:rPr>
        <w:t>עמד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שעבירות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מסכנות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הציבור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ובטחונו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ומתוך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כלל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עבירות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עבירת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הסחר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מצויה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ברף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העליון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חומרת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העבירות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הנזק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הפוטנציאלי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הגלום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בעבירה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זו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חמור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ביותר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ומסכן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חיי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אדם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נוסף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כך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משום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שבנשק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ניתן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לעשות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שימוש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חוזר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פוטנציאל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היקף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הפגיעה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גבוה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לפיכך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מדיניות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הענישה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הנהוגה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בעבירות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סחר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היא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מחמירה</w:t>
      </w:r>
      <w:r>
        <w:rPr>
          <w:rFonts w:cs="FrankRuehl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דחה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טענת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הסנגור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לפיה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עתרה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המאשימה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בעניינו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שצריך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להיקבע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בעניינו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ציין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גזירת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מונחה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ידי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עיקרון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ההלימה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לפיו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מבצע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ישקף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מידת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אשמתו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מאחר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שמידת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האשמה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זהה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בהכרח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מבצעים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בצוותא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שנקבע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לגבי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מהמבצעים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יהיה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זהה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בהכרח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כמו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הבהיר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טווח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המוסכם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בהסדר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טיעון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איננו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זהה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הנקבע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ידי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טווח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מקורו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במיצוי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המיקוח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הצדדים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משקף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האינטרסים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שלהם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בעוד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קביעה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נורמטיבית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בדבר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האיזון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הראוי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כלל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השיקולים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הרלוונטיים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לעניין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קביעה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ששני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הדברים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שוללת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למעשה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שיקול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דעתו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לדחות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הסדר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הטיעון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הצדדים</w:t>
      </w:r>
      <w:r>
        <w:rPr>
          <w:rFonts w:cs="FrankRuehl" w:ascii="Century" w:hAnsi="Century"/>
          <w:sz w:val="22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</w:rPr>
      </w:pPr>
      <w:r>
        <w:rPr>
          <w:rFonts w:ascii="Century" w:hAnsi="Century" w:cs="FrankRuehl"/>
          <w:rtl w:val="true"/>
        </w:rPr>
        <w:t>בגדר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נסיבות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ביצוע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העבירה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קבע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המשפט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להתחשב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בפעולות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התכנון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שביצע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לשם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מימוש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העסקה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חלקו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היה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רב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ודומיננטי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מזה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השותף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שהיה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בקשר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יזם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הביע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בקיאות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בסוגי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האקדחים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השונים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ביצע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פעולות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שכללו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הכנה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שיחות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ומפגשים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בימים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שלפני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העסקה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ואף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העסקה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עצמו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כמו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כן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שקיבל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לידיו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מהשותף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והעבירו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לסוכן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והוא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שקיבל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מידי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התמורה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לאלו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מתווספת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הרשעתו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בעבירה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נוספת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הפרעה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לשוטר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במילוי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תפקידו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נוכח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האמור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קבע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המשפט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מתחם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ענישה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</w:rPr>
        <w:t>48-24</w:t>
      </w:r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חודשי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מאסר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בגין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עבירות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הסחר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יחד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עבירה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הפרעה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לשוטר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במילוי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תפקידו</w:t>
      </w:r>
      <w:r>
        <w:rPr>
          <w:rFonts w:cs="FrankRuehl" w:ascii="Century" w:hAnsi="Century"/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FrankRuehl"/>
        </w:rPr>
      </w:pPr>
      <w:r>
        <w:rPr>
          <w:rFonts w:cs="FrankRuehl" w:ascii="Century" w:hAnsi="Century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</w:rPr>
      </w:pPr>
      <w:r>
        <w:rPr>
          <w:rFonts w:ascii="Century" w:hAnsi="Century" w:cs="FrankRuehl"/>
          <w:rtl w:val="true"/>
        </w:rPr>
        <w:t>באשר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לעבירת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האיומים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קבע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המשפט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הערך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המוגן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חופש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הפעולה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והבחירה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הקורבן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כמו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גם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שלוות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נפשו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התייחס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המשפט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לכך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ביצע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מספר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איומים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בהזדמנויות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שונות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שהחלו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כחודש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לאחר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עסקת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ובקשר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אליה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נוכח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נסיבות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אלו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מוחמר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פוטנציאל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ההפחדה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הגלום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באיומים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ומתחם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הענישה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ההולם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בנסיבות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הענין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מספר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חודשי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מאסר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שניתן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לרצותם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בעבודות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לבין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שנת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מאסר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בפועל</w:t>
      </w:r>
      <w:r>
        <w:rPr>
          <w:rFonts w:cs="FrankRuehl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FrankRuehl"/>
        </w:rPr>
      </w:pPr>
      <w:r>
        <w:rPr>
          <w:rFonts w:cs="FrankRuehl" w:ascii="Century" w:hAnsi="Century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</w:rPr>
      </w:pPr>
      <w:r>
        <w:rPr>
          <w:rFonts w:ascii="Century" w:hAnsi="Century" w:cs="FrankRuehl"/>
          <w:rtl w:val="true"/>
        </w:rPr>
        <w:t>בית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המשפט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קבע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לגזור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עונש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נפרד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לכל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אחד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מהאירועים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בהתאם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להוראות</w:t>
      </w:r>
      <w:r>
        <w:rPr>
          <w:rFonts w:ascii="Century" w:hAnsi="Century" w:eastAsia="Century" w:cs="Century"/>
          <w:rtl w:val="true"/>
        </w:rPr>
        <w:t xml:space="preserve"> </w:t>
      </w:r>
      <w:hyperlink r:id="rId28"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entury" w:hAnsi="Century" w:eastAsia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u w:val="single"/>
          </w:rPr>
          <w:t>40</w:t>
        </w:r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יג</w:t>
        </w:r>
        <w:r>
          <w:rPr>
            <w:rStyle w:val="Hyperlink"/>
            <w:rFonts w:cs="FrankRuehl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Century" w:hAnsi="Century"/>
            <w:color w:val="0000FF"/>
            <w:u w:val="single"/>
            <w:rtl w:val="true"/>
          </w:rPr>
          <w:t>)</w:t>
        </w:r>
      </w:hyperlink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לחוק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בגדר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הנסיבות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שאינן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קשורות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בביצוע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העבירה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קבע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המשפט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תיזקף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לזכותו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הודאתו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בכתב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האישום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המתוקן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והחיסכון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בזמן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השיפוטי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לחומרה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נלקח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בחשבון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עברו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הפלילי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המשמעותי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הכולל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הרשעות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קודמות</w:t>
      </w:r>
      <w:r>
        <w:rPr>
          <w:rFonts w:cs="FrankRuehl" w:ascii="Century" w:hAnsi="Century"/>
          <w:rtl w:val="true"/>
        </w:rPr>
        <w:t xml:space="preserve">,  </w:t>
      </w:r>
      <w:r>
        <w:rPr>
          <w:rFonts w:ascii="Century" w:hAnsi="Century" w:cs="FrankRuehl"/>
          <w:rtl w:val="true"/>
        </w:rPr>
        <w:t>ביניהן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הרשעות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בעבירות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שוד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איומים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הפרעה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לשוטר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במילוי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תפקידו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תקיפת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שוטר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פריצה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לרכב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וגניבה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מרכב</w:t>
      </w:r>
      <w:r>
        <w:rPr>
          <w:rFonts w:cs="FrankRuehl" w:ascii="Century" w:hAnsi="Century"/>
          <w:rtl w:val="true"/>
        </w:rPr>
        <w:t xml:space="preserve">. </w:t>
      </w:r>
      <w:r>
        <w:rPr>
          <w:rFonts w:ascii="Century" w:hAnsi="Century" w:cs="FrankRuehl"/>
          <w:rtl w:val="true"/>
        </w:rPr>
        <w:t>כמו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כן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נלקח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בחשבון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ריצה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כבר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עונש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מאסר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משמעותי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וכי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ביצוע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העבירות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מושא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הערעור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עמד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נגדו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עונש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מאסר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מותנה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</w:rPr>
        <w:t>8</w:t>
      </w:r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חודשים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בגין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עבירת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איומים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וכן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התחייבות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כספית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בסך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</w:rPr>
        <w:t>7,500</w:t>
      </w:r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</w:t>
      </w:r>
      <w:r>
        <w:rPr>
          <w:rFonts w:cs="FrankRuehl" w:ascii="Century" w:hAnsi="Century"/>
          <w:rtl w:val="true"/>
        </w:rPr>
        <w:t>"</w:t>
      </w:r>
      <w:r>
        <w:rPr>
          <w:rFonts w:ascii="Century" w:hAnsi="Century" w:cs="FrankRuehl"/>
          <w:rtl w:val="true"/>
        </w:rPr>
        <w:t>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להימנע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מעבירה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זו</w:t>
      </w:r>
      <w:r>
        <w:rPr>
          <w:rFonts w:cs="FrankRuehl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עיקרי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טענות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הצדדים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בערעור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Fonts w:cs="FrankRuehl" w:ascii="Century" w:hAnsi="Century"/>
          <w:sz w:val="22"/>
          <w:rtl w:val="true"/>
        </w:rPr>
        <w:tab/>
        <w:t xml:space="preserve">    </w:t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מיקד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טיעונו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בערעור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בטענה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לפגיעה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בעקרון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אחידות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לטענתו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עונשו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חמור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בהרבה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ושלא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בצדק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מעונשו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עליו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נגזרו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12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בפועל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בלבד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נטען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לראות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שסיפק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הנשק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כ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רוח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החיה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בעבירה</w:t>
      </w:r>
      <w:r>
        <w:rPr>
          <w:rFonts w:cs="FrankRuehl" w:ascii="Century" w:hAnsi="Century"/>
          <w:sz w:val="22"/>
          <w:rtl w:val="true"/>
        </w:rPr>
        <w:t xml:space="preserve">", </w:t>
      </w:r>
      <w:r>
        <w:rPr>
          <w:rFonts w:ascii="Century" w:hAnsi="Century" w:cs="FrankRuehl"/>
          <w:sz w:val="22"/>
          <w:sz w:val="22"/>
          <w:rtl w:val="true"/>
        </w:rPr>
        <w:t>וכי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עיקר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תפקידו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בסיכום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הפרטים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הפרוצדוראליים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לעניין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מכירת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הנשק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יתרה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מזאת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קמא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חלקו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מצומצם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בהרבה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מחלקו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עדיין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בכך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כדי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להצדיק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הגדול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תקופות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שנגזרו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השניים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נטען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לקחת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בחשבון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העובדה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בסופו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הוטלו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46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חודשי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לריצוי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בפועל</w:t>
      </w:r>
      <w:r>
        <w:rPr>
          <w:rFonts w:cs="FrankRuehl" w:ascii="Century" w:hAnsi="Century"/>
          <w:sz w:val="22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מנגד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טענה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המדינה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מוצדקים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שיש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ביניהם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הבדלים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גדולים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התפקיד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המרכזי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והדומיננטי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בפרשה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שניהל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ומתן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הסוכן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והיה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בקיא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בסוג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הנשקים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כמו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פלילי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מכביד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בעוד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נעדר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פלילי</w:t>
      </w:r>
      <w:r>
        <w:rPr>
          <w:rFonts w:cs="FrankRuehl" w:ascii="Century" w:hAnsi="Century"/>
          <w:sz w:val="22"/>
          <w:rtl w:val="true"/>
        </w:rPr>
        <w:t xml:space="preserve">.  </w:t>
      </w:r>
    </w:p>
    <w:p>
      <w:pPr>
        <w:pStyle w:val="Ruller42"/>
        <w:numPr>
          <w:ilvl w:val="0"/>
          <w:numId w:val="0"/>
        </w:numPr>
        <w:spacing w:lineRule="auto" w:line="480"/>
        <w:ind w:hanging="0" w:start="0" w:end="0"/>
        <w:jc w:val="both"/>
        <w:rPr>
          <w:rFonts w:ascii="Century" w:hAnsi="Century" w:cs="FrankRuehl"/>
          <w:color w:val="A6A6A6"/>
          <w:sz w:val="22"/>
        </w:rPr>
      </w:pPr>
      <w:r>
        <w:rPr>
          <w:rFonts w:cs="FrankRuehl" w:ascii="Century" w:hAnsi="Century"/>
          <w:color w:val="A6A6A6"/>
          <w:sz w:val="22"/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דיון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והכרעה</w:t>
      </w:r>
    </w:p>
    <w:p>
      <w:pPr>
        <w:pStyle w:val="Ruller41"/>
        <w:ind w:end="0"/>
        <w:jc w:val="both"/>
        <w:rPr>
          <w:rFonts w:ascii="Century" w:hAnsi="Century" w:cs="Century"/>
          <w:b/>
          <w:color w:val="A6A6A6"/>
          <w:spacing w:val="0"/>
          <w:szCs w:val="24"/>
        </w:rPr>
      </w:pPr>
      <w:r>
        <w:rPr>
          <w:rFonts w:cs="Century" w:ascii="Century" w:hAnsi="Century"/>
          <w:b/>
          <w:color w:val="A6A6A6"/>
          <w:spacing w:val="0"/>
          <w:szCs w:val="24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rtl w:val="true"/>
        </w:rPr>
        <w:t>העיקרון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המנחה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בענישה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עיקרון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ההלימה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המעוגן</w:t>
      </w:r>
      <w:r>
        <w:rPr>
          <w:rFonts w:ascii="Century" w:hAnsi="Century" w:eastAsia="Century" w:cs="Century"/>
          <w:rtl w:val="true"/>
        </w:rPr>
        <w:t xml:space="preserve"> </w:t>
      </w:r>
      <w:hyperlink r:id="rId29"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בסעיף</w:t>
        </w:r>
        <w:r>
          <w:rPr>
            <w:rStyle w:val="Hyperlink"/>
            <w:rFonts w:ascii="Century" w:hAnsi="Century" w:eastAsia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u w:val="single"/>
          </w:rPr>
          <w:t>40</w:t>
        </w:r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ב</w:t>
        </w:r>
      </w:hyperlink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</w:t>
      </w:r>
      <w:hyperlink r:id="rId30"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חוק</w:t>
        </w:r>
        <w:r>
          <w:rPr>
            <w:rStyle w:val="Hyperlink"/>
            <w:rFonts w:ascii="Century" w:hAnsi="Century" w:eastAsia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העונשין</w:t>
        </w:r>
      </w:hyperlink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לפיו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ייקבע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יחס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הולם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  <w:rtl w:val="true"/>
        </w:rPr>
        <w:t>"</w:t>
      </w:r>
      <w:r>
        <w:rPr>
          <w:rFonts w:ascii="Century" w:hAnsi="Century" w:cs="FrankRuehl"/>
          <w:rtl w:val="true"/>
        </w:rPr>
        <w:t>חומרת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מעשה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העבירה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בנסיבותיו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ומידת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אשמו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הנאשם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ובין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סוג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ומידת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העונש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המוטל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עליו</w:t>
      </w:r>
      <w:r>
        <w:rPr>
          <w:rFonts w:cs="FrankRuehl" w:ascii="Century" w:hAnsi="Century"/>
          <w:rtl w:val="true"/>
        </w:rPr>
        <w:t>".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בקביעת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ההולם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יתחשב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היתר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בנסיבות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הקשורות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ובהן</w:t>
      </w:r>
      <w:r>
        <w:rPr>
          <w:rFonts w:cs="FrankRuehl" w:ascii="Century" w:hAnsi="Century"/>
          <w:sz w:val="22"/>
          <w:rtl w:val="true"/>
        </w:rPr>
        <w:t>: "</w:t>
      </w:r>
      <w:r>
        <w:rPr>
          <w:rFonts w:ascii="Century" w:hAnsi="Century" w:cs="FrankRuehl"/>
          <w:sz w:val="22"/>
          <w:sz w:val="22"/>
          <w:rtl w:val="true"/>
        </w:rPr>
        <w:t>התכנון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שקדם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cs="FrankRuehl" w:ascii="Century" w:hAnsi="Century"/>
          <w:sz w:val="22"/>
          <w:rtl w:val="true"/>
        </w:rPr>
        <w:t xml:space="preserve">" </w:t>
      </w:r>
      <w:r>
        <w:rPr>
          <w:rFonts w:ascii="Century" w:hAnsi="Century" w:cs="FrankRuehl"/>
          <w:sz w:val="22"/>
          <w:sz w:val="22"/>
          <w:rtl w:val="true"/>
        </w:rPr>
        <w:t>ו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חלקו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היחסי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הנאשם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cs="FrankRuehl" w:ascii="Century" w:hAnsi="Century"/>
          <w:sz w:val="22"/>
          <w:rtl w:val="true"/>
        </w:rPr>
        <w:t>" (</w:t>
      </w:r>
      <w:hyperlink r:id="rId31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סעיפים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40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ג</w:t>
        </w:r>
      </w:hyperlink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</w:t>
      </w:r>
      <w:r>
        <w:rPr>
          <w:rFonts w:cs="FrankRuehl" w:ascii="Century" w:hAnsi="Century"/>
          <w:sz w:val="22"/>
          <w:rtl w:val="true"/>
        </w:rPr>
        <w:t xml:space="preserve">- </w:t>
      </w:r>
      <w:hyperlink r:id="rId32"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40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ט</w:t>
        </w:r>
      </w:hyperlink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לחוק</w:t>
      </w:r>
      <w:r>
        <w:rPr>
          <w:rFonts w:cs="FrankRuehl" w:ascii="Century" w:hAnsi="Century"/>
          <w:sz w:val="22"/>
          <w:rtl w:val="true"/>
        </w:rPr>
        <w:t xml:space="preserve">). </w:t>
      </w:r>
      <w:r>
        <w:rPr>
          <w:rFonts w:ascii="Century" w:hAnsi="Century" w:cs="FrankRuehl"/>
          <w:sz w:val="22"/>
          <w:sz w:val="22"/>
          <w:rtl w:val="true"/>
        </w:rPr>
        <w:t>ובקביעת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בתוך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יתחשב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המשפט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היתר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בנסיבות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שאינן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קשורות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ובהן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עברו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הפלילי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הנאשם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העדרו</w:t>
      </w:r>
      <w:r>
        <w:rPr>
          <w:rFonts w:cs="FrankRuehl" w:ascii="Century" w:hAnsi="Century"/>
          <w:sz w:val="22"/>
          <w:rtl w:val="true"/>
        </w:rPr>
        <w:t>" (</w:t>
      </w:r>
      <w:hyperlink r:id="rId33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סעיפים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40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ג</w:t>
        </w:r>
      </w:hyperlink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</w:t>
      </w:r>
      <w:r>
        <w:rPr>
          <w:rFonts w:cs="FrankRuehl" w:ascii="Century" w:hAnsi="Century"/>
          <w:sz w:val="22"/>
          <w:rtl w:val="true"/>
        </w:rPr>
        <w:t xml:space="preserve">- </w:t>
      </w:r>
      <w:hyperlink r:id="rId34"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40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יא</w:t>
        </w:r>
      </w:hyperlink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לחוק</w:t>
      </w:r>
      <w:r>
        <w:rPr>
          <w:rFonts w:cs="FrankRuehl" w:ascii="Century" w:hAnsi="Century"/>
          <w:sz w:val="22"/>
          <w:rtl w:val="true"/>
        </w:rPr>
        <w:t xml:space="preserve">). </w:t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הנה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עקרונות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משלבים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ערכים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חברתיים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כלליים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לצד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נסיבות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אישיות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קונקרטיות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הנאשם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כאלה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הקשורות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כאלה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שאינן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קשורות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לעולם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אינדיווידואלית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הנגזרת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מהנסיבות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והשיקולים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הפרטניים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שבכל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מקרה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לגופו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(</w:t>
      </w:r>
      <w:hyperlink r:id="rId35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291/81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פלוני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נ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 xml:space="preserve">'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מדינת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ישראל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 xml:space="preserve">,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ד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לה</w:t>
        </w:r>
      </w:hyperlink>
      <w:r>
        <w:rPr>
          <w:rFonts w:cs="FrankRuehl" w:ascii="Century" w:hAnsi="Century"/>
          <w:sz w:val="22"/>
          <w:rtl w:val="true"/>
        </w:rPr>
        <w:t>(</w:t>
      </w:r>
      <w:r>
        <w:rPr>
          <w:rFonts w:cs="FrankRuehl" w:ascii="Century" w:hAnsi="Century"/>
          <w:sz w:val="22"/>
        </w:rPr>
        <w:t>4</w:t>
      </w:r>
      <w:r>
        <w:rPr>
          <w:rFonts w:cs="FrankRuehl" w:ascii="Century" w:hAnsi="Century"/>
          <w:sz w:val="22"/>
          <w:rtl w:val="true"/>
        </w:rPr>
        <w:t xml:space="preserve">) </w:t>
      </w:r>
      <w:r>
        <w:rPr>
          <w:rFonts w:cs="FrankRuehl" w:ascii="Century" w:hAnsi="Century"/>
          <w:sz w:val="22"/>
        </w:rPr>
        <w:t>438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cs="FrankRuehl" w:ascii="Century" w:hAnsi="Century"/>
          <w:sz w:val="22"/>
        </w:rPr>
        <w:t>442</w:t>
      </w:r>
      <w:r>
        <w:rPr>
          <w:rFonts w:cs="FrankRuehl" w:ascii="Century" w:hAnsi="Century"/>
          <w:sz w:val="22"/>
          <w:rtl w:val="true"/>
        </w:rPr>
        <w:t xml:space="preserve"> (</w:t>
      </w:r>
      <w:r>
        <w:rPr>
          <w:rFonts w:cs="FrankRuehl" w:ascii="Century" w:hAnsi="Century"/>
          <w:sz w:val="22"/>
        </w:rPr>
        <w:t>1981</w:t>
      </w:r>
      <w:r>
        <w:rPr>
          <w:rFonts w:cs="FrankRuehl" w:ascii="Century" w:hAnsi="Century"/>
          <w:sz w:val="22"/>
          <w:rtl w:val="true"/>
        </w:rPr>
        <w:t xml:space="preserve">); </w:t>
      </w:r>
      <w:hyperlink r:id="rId36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1856/10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סלים</w:t>
      </w:r>
      <w:r>
        <w:rPr>
          <w:rFonts w:ascii="Times New Roman" w:hAnsi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ספיה</w:t>
      </w:r>
      <w:r>
        <w:rPr>
          <w:rFonts w:ascii="Times New Roman" w:hAnsi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FrankRuehl"/>
          <w:sz w:val="22"/>
          <w:sz w:val="22"/>
          <w:rtl w:val="true"/>
        </w:rPr>
        <w:t>פסקה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43</w:t>
      </w:r>
      <w:r>
        <w:rPr>
          <w:rFonts w:cs="FrankRuehl" w:ascii="Century" w:hAnsi="Century"/>
          <w:sz w:val="22"/>
          <w:rtl w:val="true"/>
        </w:rPr>
        <w:t xml:space="preserve"> (</w:t>
      </w:r>
      <w:r>
        <w:rPr>
          <w:rFonts w:cs="FrankRuehl" w:ascii="Century" w:hAnsi="Century"/>
          <w:sz w:val="22"/>
        </w:rPr>
        <w:t>22.11.2010</w:t>
      </w:r>
      <w:r>
        <w:rPr>
          <w:rFonts w:cs="FrankRuehl" w:ascii="Century" w:hAnsi="Century"/>
          <w:sz w:val="22"/>
          <w:rtl w:val="true"/>
        </w:rPr>
        <w:t xml:space="preserve">)). </w:t>
      </w:r>
      <w:r>
        <w:rPr>
          <w:rFonts w:ascii="Century" w:hAnsi="Century" w:cs="FrankRuehl"/>
          <w:sz w:val="22"/>
          <w:sz w:val="22"/>
          <w:rtl w:val="true"/>
        </w:rPr>
        <w:t>לפיכך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נקבע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בהתייחס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לנסיבות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אותן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לקחת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בחשבון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לענין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קביעת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מתחם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ההולם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 xml:space="preserve">- </w:t>
      </w:r>
    </w:p>
    <w:p>
      <w:pPr>
        <w:pStyle w:val="Ruller41"/>
        <w:spacing w:lineRule="auto" w:line="240"/>
        <w:ind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5"/>
        <w:spacing w:lineRule="auto" w:line="276"/>
        <w:ind w:end="1282"/>
        <w:jc w:val="both"/>
        <w:rPr/>
      </w:pPr>
      <w:r>
        <w:rPr>
          <w:spacing w:val="6"/>
          <w:rtl w:val="true"/>
        </w:rPr>
        <w:t>"</w:t>
      </w:r>
      <w:r>
        <w:rPr>
          <w:spacing w:val="6"/>
          <w:rtl w:val="true"/>
        </w:rPr>
        <w:t>נסיבות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אלה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ואחרות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עוסקות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בנאשם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קונקרטי</w:t>
      </w:r>
      <w:r>
        <w:rPr>
          <w:spacing w:val="6"/>
          <w:rtl w:val="true"/>
        </w:rPr>
        <w:t xml:space="preserve">, </w:t>
      </w:r>
      <w:r>
        <w:rPr>
          <w:spacing w:val="6"/>
          <w:rtl w:val="true"/>
        </w:rPr>
        <w:t>וכמצוות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החוק</w:t>
      </w:r>
      <w:r>
        <w:rPr>
          <w:spacing w:val="6"/>
          <w:rtl w:val="true"/>
        </w:rPr>
        <w:t xml:space="preserve">, </w:t>
      </w:r>
      <w:r>
        <w:rPr>
          <w:spacing w:val="6"/>
          <w:rtl w:val="true"/>
        </w:rPr>
        <w:t>באות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לידי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ביטוי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בשלב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קביעת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המתחם</w:t>
      </w:r>
      <w:r>
        <w:rPr>
          <w:spacing w:val="6"/>
          <w:rtl w:val="true"/>
        </w:rPr>
        <w:t xml:space="preserve">. </w:t>
      </w:r>
      <w:r>
        <w:rPr>
          <w:spacing w:val="6"/>
          <w:rtl w:val="true"/>
        </w:rPr>
        <w:t>נסיבות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אלה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משתנות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מנאשם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אחד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לנאשם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אחר</w:t>
      </w:r>
      <w:r>
        <w:rPr>
          <w:spacing w:val="6"/>
          <w:rtl w:val="true"/>
        </w:rPr>
        <w:t xml:space="preserve">, </w:t>
      </w:r>
      <w:r>
        <w:rPr>
          <w:spacing w:val="6"/>
          <w:rtl w:val="true"/>
        </w:rPr>
        <w:t>ולפיכך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גם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כאשר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שני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נאשמים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ביצעו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את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אותה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עבירה</w:t>
      </w:r>
      <w:r>
        <w:rPr>
          <w:spacing w:val="6"/>
          <w:rtl w:val="true"/>
        </w:rPr>
        <w:t xml:space="preserve">, </w:t>
      </w:r>
      <w:r>
        <w:rPr>
          <w:spacing w:val="6"/>
          <w:rtl w:val="true"/>
        </w:rPr>
        <w:t>בין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כמבצעים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בצוותא</w:t>
      </w:r>
      <w:r>
        <w:rPr>
          <w:spacing w:val="6"/>
          <w:rtl w:val="true"/>
        </w:rPr>
        <w:t xml:space="preserve">, </w:t>
      </w:r>
      <w:r>
        <w:rPr>
          <w:spacing w:val="6"/>
          <w:rtl w:val="true"/>
        </w:rPr>
        <w:t>בין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כצדדים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שונים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לעבירה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–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אין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הכרח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כי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ישמר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יחס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rFonts w:cs="Miriam"/>
          <w:b/>
          <w:b/>
          <w:spacing w:val="6"/>
          <w:szCs w:val="24"/>
          <w:rtl w:val="true"/>
        </w:rPr>
        <w:t>מוגדר</w:t>
      </w:r>
      <w:r>
        <w:rPr>
          <w:rFonts w:eastAsia="Arial TUR;Arial" w:cs="Arial TUR;Arial"/>
          <w:b/>
          <w:b/>
          <w:spacing w:val="6"/>
          <w:szCs w:val="24"/>
          <w:rtl w:val="true"/>
        </w:rPr>
        <w:t xml:space="preserve"> </w:t>
      </w:r>
      <w:r>
        <w:rPr>
          <w:rFonts w:cs="Miriam"/>
          <w:b/>
          <w:b/>
          <w:spacing w:val="6"/>
          <w:szCs w:val="24"/>
          <w:rtl w:val="true"/>
        </w:rPr>
        <w:t>מראש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של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הלימה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בין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מתחם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אחד</w:t>
      </w:r>
      <w:r>
        <w:rPr>
          <w:rFonts w:eastAsia="Arial TUR;Arial" w:cs="Arial TUR;Arial"/>
          <w:spacing w:val="6"/>
          <w:rtl w:val="true"/>
        </w:rPr>
        <w:t xml:space="preserve"> </w:t>
      </w:r>
      <w:r>
        <w:rPr>
          <w:spacing w:val="6"/>
          <w:rtl w:val="true"/>
        </w:rPr>
        <w:t>לאחר</w:t>
      </w:r>
      <w:r>
        <w:rPr>
          <w:spacing w:val="6"/>
          <w:rtl w:val="true"/>
        </w:rPr>
        <w:t>."</w:t>
      </w:r>
      <w:r>
        <w:rPr>
          <w:rFonts w:cs="Century" w:ascii="Century" w:hAnsi="Century"/>
          <w:spacing w:val="6"/>
          <w:rtl w:val="true"/>
        </w:rPr>
        <w:t xml:space="preserve"> (</w:t>
      </w:r>
      <w:hyperlink r:id="rId37">
        <w:r>
          <w:rPr>
            <w:rStyle w:val="Hyperlink"/>
            <w:rFonts w:ascii="Century" w:hAnsi="Century" w:cs="Century"/>
            <w:color w:val="0000FF"/>
            <w:spacing w:val="6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spacing w:val="6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spacing w:val="6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spacing w:val="6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pacing w:val="6"/>
            <w:u w:val="single"/>
          </w:rPr>
          <w:t>6053/13</w:t>
        </w:r>
      </w:hyperlink>
      <w:r>
        <w:rPr>
          <w:rFonts w:cs="Century" w:ascii="Century" w:hAnsi="Century"/>
          <w:spacing w:val="6"/>
          <w:rtl w:val="true"/>
        </w:rPr>
        <w:t xml:space="preserve"> </w:t>
      </w:r>
      <w:r>
        <w:rPr>
          <w:rFonts w:ascii="Century" w:hAnsi="Century" w:cs="Miriam"/>
          <w:b/>
          <w:b/>
          <w:spacing w:val="6"/>
          <w:szCs w:val="24"/>
          <w:rtl w:val="true"/>
        </w:rPr>
        <w:t>פאיז</w:t>
      </w:r>
      <w:r>
        <w:rPr>
          <w:rFonts w:ascii="Century" w:hAnsi="Century" w:eastAsia="Century" w:cs="Century"/>
          <w:b/>
          <w:b/>
          <w:spacing w:val="6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6"/>
          <w:szCs w:val="24"/>
          <w:rtl w:val="true"/>
        </w:rPr>
        <w:t>נ</w:t>
      </w:r>
      <w:r>
        <w:rPr>
          <w:rFonts w:cs="Miriam" w:ascii="Century" w:hAnsi="Century"/>
          <w:b/>
          <w:spacing w:val="6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6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6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6"/>
          <w:szCs w:val="24"/>
          <w:rtl w:val="true"/>
        </w:rPr>
        <w:t>ישראל</w:t>
      </w:r>
      <w:r>
        <w:rPr>
          <w:rFonts w:cs="Miriam" w:ascii="Century" w:hAnsi="Century"/>
          <w:b/>
          <w:spacing w:val="6"/>
          <w:szCs w:val="24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ascii="Century" w:hAnsi="Century" w:cs="Miriam"/>
          <w:b/>
          <w:b/>
          <w:spacing w:val="6"/>
          <w:szCs w:val="24"/>
          <w:rtl w:val="true"/>
        </w:rPr>
        <w:t>פסקה</w:t>
      </w:r>
      <w:r>
        <w:rPr>
          <w:rFonts w:ascii="Century" w:hAnsi="Century" w:eastAsia="Century" w:cs="Century"/>
          <w:b/>
          <w:b/>
          <w:spacing w:val="6"/>
          <w:szCs w:val="24"/>
          <w:rtl w:val="true"/>
        </w:rPr>
        <w:t xml:space="preserve"> </w:t>
      </w:r>
      <w:r>
        <w:rPr>
          <w:rFonts w:cs="Miriam" w:ascii="Century" w:hAnsi="Century"/>
          <w:b/>
          <w:spacing w:val="6"/>
          <w:szCs w:val="24"/>
        </w:rPr>
        <w:t>10</w:t>
      </w:r>
      <w:r>
        <w:rPr>
          <w:rFonts w:cs="Century" w:ascii="Century" w:hAnsi="Century"/>
          <w:spacing w:val="6"/>
          <w:rtl w:val="true"/>
        </w:rPr>
        <w:t xml:space="preserve"> (</w:t>
      </w:r>
      <w:r>
        <w:rPr>
          <w:rFonts w:cs="Century" w:ascii="Century" w:hAnsi="Century"/>
          <w:spacing w:val="6"/>
        </w:rPr>
        <w:t>10.4.2014</w:t>
      </w:r>
      <w:r>
        <w:rPr>
          <w:rFonts w:cs="Century" w:ascii="Century" w:hAnsi="Century"/>
          <w:spacing w:val="6"/>
          <w:rtl w:val="true"/>
        </w:rPr>
        <w:t>)</w:t>
      </w:r>
      <w:r>
        <w:rPr>
          <w:spacing w:val="6"/>
          <w:rtl w:val="true"/>
        </w:rPr>
        <w:t>).</w:t>
      </w:r>
    </w:p>
    <w:p>
      <w:pPr>
        <w:pStyle w:val="Ruller41"/>
        <w:ind w:end="0"/>
        <w:jc w:val="both"/>
        <w:rPr>
          <w:spacing w:val="6"/>
        </w:rPr>
      </w:pPr>
      <w:r>
        <w:rPr>
          <w:spacing w:val="6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לצד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עקרונות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הכלליים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האמורים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עיקרון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נוסף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עיקרון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אחידות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אשר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מתייחס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היתר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לכך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שבמקרים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שותפים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ascii="Century" w:hAnsi="Century" w:cs="FrankRuehl"/>
          <w:sz w:val="22"/>
          <w:sz w:val="22"/>
          <w:rtl w:val="true"/>
        </w:rPr>
        <w:t>או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מקבץ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עבירות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המהוות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אירוע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אחד</w:t>
      </w:r>
      <w:r>
        <w:rPr>
          <w:rFonts w:cs="FrankRuehl" w:ascii="Century" w:hAnsi="Century"/>
          <w:sz w:val="22"/>
          <w:rtl w:val="true"/>
        </w:rPr>
        <w:t xml:space="preserve">), </w:t>
      </w:r>
      <w:r>
        <w:rPr>
          <w:rFonts w:ascii="Century" w:hAnsi="Century" w:cs="FrankRuehl"/>
          <w:sz w:val="22"/>
          <w:sz w:val="22"/>
          <w:rtl w:val="true"/>
        </w:rPr>
        <w:t>יש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לשמור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יחס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שקילות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העונשים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המוטלים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המבצעים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השונים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בהתחשב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בהיררכיה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הפנימית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השותפים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לעבירות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ובמידת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מעורבותם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ואשמם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זאת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בשים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לנסיבות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ולנסיבות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אישיות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מבצע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שאינן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קשורות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ascii="Century" w:hAnsi="Century" w:cs="FrankRuehl"/>
          <w:sz w:val="22"/>
          <w:sz w:val="22"/>
          <w:rtl w:val="true"/>
        </w:rPr>
        <w:t>ראו</w:t>
      </w:r>
      <w:r>
        <w:rPr>
          <w:rFonts w:cs="FrankRuehl" w:ascii="Century" w:hAnsi="Century"/>
          <w:sz w:val="22"/>
          <w:rtl w:val="true"/>
        </w:rPr>
        <w:t xml:space="preserve">: </w:t>
      </w:r>
      <w:hyperlink r:id="rId38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7907/14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ואזנה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cs="FrankRuehl" w:ascii="Century" w:hAnsi="Century"/>
          <w:sz w:val="22"/>
        </w:rPr>
        <w:t>22.2.2015</w:t>
      </w:r>
      <w:r>
        <w:rPr>
          <w:rFonts w:cs="FrankRuehl" w:ascii="Century" w:hAnsi="Century"/>
          <w:sz w:val="22"/>
          <w:rtl w:val="true"/>
        </w:rPr>
        <w:t xml:space="preserve">); </w:t>
      </w:r>
      <w:hyperlink r:id="rId39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2580/14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חסן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cs="FrankRuehl" w:ascii="Century" w:hAnsi="Century"/>
          <w:sz w:val="22"/>
        </w:rPr>
        <w:t>10.4.2014</w:t>
      </w:r>
      <w:r>
        <w:rPr>
          <w:rFonts w:cs="FrankRuehl" w:ascii="Century" w:hAnsi="Century"/>
          <w:sz w:val="22"/>
          <w:rtl w:val="true"/>
        </w:rPr>
        <w:t>)).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eastAsia="Century" w:cs="Century" w:ascii="Century" w:hAnsi="Century"/>
          <w:sz w:val="22"/>
          <w:rtl w:val="true"/>
        </w:rPr>
        <w:t xml:space="preserve"> </w:t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לאחר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ובחינה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מצאתי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נפלה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שגגה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בגזר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דינו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קמא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כידוע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ערכאת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הערעור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תתערב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שהוטל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ידי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הערכאה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הדיונית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אלא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במקרים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בהם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נפלה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בגזר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הדין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טעות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מהותית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שניכרת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סטייה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ממדיניות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הראויה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(</w:t>
      </w:r>
      <w:hyperlink r:id="rId40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1242/97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גרינברג</w:t>
      </w:r>
      <w:r>
        <w:rPr>
          <w:rFonts w:ascii="Times New Roman" w:hAnsi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cs="FrankRuehl" w:ascii="Century" w:hAnsi="Century"/>
          <w:sz w:val="22"/>
        </w:rPr>
        <w:t>3.2.1998</w:t>
      </w:r>
      <w:r>
        <w:rPr>
          <w:rFonts w:cs="FrankRuehl" w:ascii="Century" w:hAnsi="Century"/>
          <w:sz w:val="22"/>
          <w:rtl w:val="true"/>
        </w:rPr>
        <w:t xml:space="preserve">), </w:t>
      </w:r>
      <w:hyperlink r:id="rId41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1694/08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זוהר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cs="FrankRuehl" w:ascii="Century" w:hAnsi="Century"/>
          <w:sz w:val="22"/>
        </w:rPr>
        <w:t>14.1.2009</w:t>
      </w:r>
      <w:r>
        <w:rPr>
          <w:rFonts w:cs="FrankRuehl" w:ascii="Century" w:hAnsi="Century"/>
          <w:sz w:val="22"/>
          <w:rtl w:val="true"/>
        </w:rPr>
        <w:t xml:space="preserve">), </w:t>
      </w:r>
      <w:hyperlink r:id="rId42"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sz w:val="22"/>
            <w:u w:val="single"/>
          </w:rPr>
          <w:t>8704/08</w:t>
        </w:r>
      </w:hyperlink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הייב</w:t>
      </w:r>
      <w:r>
        <w:rPr>
          <w:rFonts w:ascii="Times New Roman" w:hAnsi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FrankRuehl" w:ascii="Century" w:hAnsi="Century"/>
          <w:sz w:val="22"/>
          <w:rtl w:val="true"/>
        </w:rPr>
        <w:t>(</w:t>
      </w:r>
      <w:r>
        <w:rPr>
          <w:rFonts w:cs="FrankRuehl" w:ascii="Century" w:hAnsi="Century"/>
          <w:sz w:val="22"/>
        </w:rPr>
        <w:t>23.4.2009</w:t>
      </w:r>
      <w:r>
        <w:rPr>
          <w:rFonts w:cs="FrankRuehl" w:ascii="Century" w:hAnsi="Century"/>
          <w:sz w:val="22"/>
          <w:rtl w:val="true"/>
        </w:rPr>
        <w:t xml:space="preserve">)). </w:t>
      </w:r>
    </w:p>
    <w:p>
      <w:pPr>
        <w:pStyle w:val="Ruller41"/>
        <w:ind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</w:rPr>
      </w:pPr>
      <w:r>
        <w:rPr>
          <w:rFonts w:ascii="Century" w:hAnsi="Century" w:cs="FrankRuehl"/>
          <w:rtl w:val="true"/>
        </w:rPr>
        <w:t>ברורה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וידועה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לכל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חומרתן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עבירות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הסחר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הסיכון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הגלום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בהן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לחיי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אדם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לשלמות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הגוף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ולביטחון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הציבור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ובשל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פוטנציאל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היקף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הפגיעה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הרחב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שעלול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להיגרם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משימוש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חוזר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בכלי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הנשק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FrankRuehl" w:ascii="Century" w:hAnsi="Century"/>
          <w:rtl w:val="true"/>
        </w:rPr>
        <w:t>(</w:t>
      </w:r>
      <w:r>
        <w:rPr>
          <w:rFonts w:ascii="Century" w:hAnsi="Century" w:cs="FrankRuehl"/>
          <w:rtl w:val="true"/>
        </w:rPr>
        <w:t>ראו</w:t>
      </w:r>
      <w:r>
        <w:rPr>
          <w:rFonts w:cs="FrankRuehl" w:ascii="Century" w:hAnsi="Century"/>
          <w:rtl w:val="true"/>
        </w:rPr>
        <w:t xml:space="preserve">: </w:t>
      </w:r>
      <w:hyperlink r:id="rId43"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u w:val="single"/>
          </w:rPr>
          <w:t>2251/11</w:t>
        </w:r>
      </w:hyperlink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נפאע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FrankRuehl" w:ascii="Century" w:hAnsi="Century"/>
          <w:rtl w:val="true"/>
        </w:rPr>
        <w:t>(</w:t>
      </w:r>
      <w:r>
        <w:rPr>
          <w:rFonts w:cs="FrankRuehl" w:ascii="Century" w:hAnsi="Century"/>
        </w:rPr>
        <w:t>4.12.2011</w:t>
      </w:r>
      <w:r>
        <w:rPr>
          <w:rFonts w:cs="FrankRuehl" w:ascii="Century" w:hAnsi="Century"/>
          <w:rtl w:val="true"/>
        </w:rPr>
        <w:t xml:space="preserve">); </w:t>
      </w:r>
      <w:hyperlink r:id="rId44"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ע</w:t>
        </w:r>
        <w:r>
          <w:rPr>
            <w:rStyle w:val="Hyperlink"/>
            <w:rFonts w:cs="FrankRuehl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FrankRuehl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eastAsia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FrankRuehl" w:ascii="Century" w:hAnsi="Century"/>
            <w:color w:val="0000FF"/>
            <w:u w:val="single"/>
          </w:rPr>
          <w:t>4450/11</w:t>
        </w:r>
      </w:hyperlink>
      <w:r>
        <w:rPr>
          <w:rFonts w:cs="FrankRuehl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עספור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FrankRuehl" w:ascii="Century" w:hAnsi="Century"/>
          <w:rtl w:val="true"/>
        </w:rPr>
        <w:t>(</w:t>
      </w:r>
      <w:r>
        <w:rPr>
          <w:rFonts w:cs="FrankRuehl" w:ascii="Century" w:hAnsi="Century"/>
        </w:rPr>
        <w:t>8.2.2012</w:t>
      </w:r>
      <w:r>
        <w:rPr>
          <w:rFonts w:cs="FrankRuehl" w:ascii="Century" w:hAnsi="Century"/>
          <w:rtl w:val="true"/>
        </w:rPr>
        <w:t xml:space="preserve">)). </w:t>
      </w:r>
      <w:r>
        <w:rPr>
          <w:rFonts w:ascii="Century" w:hAnsi="Century" w:cs="FrankRuehl"/>
          <w:rtl w:val="true"/>
        </w:rPr>
        <w:t>מתחם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העונש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ההולם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שנקבע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ידי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בית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המשפט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בעניינו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והעונש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שהוטל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בגדרו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אינם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חורגים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ממדיניות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הענישה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הנוהגת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והולמים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מידת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אשמתו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בהתאם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לנסיבות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שפורטו</w:t>
      </w:r>
      <w:r>
        <w:rPr>
          <w:rFonts w:cs="FrankRuehl" w:ascii="Century" w:hAnsi="Century"/>
          <w:rtl w:val="true"/>
        </w:rPr>
        <w:t xml:space="preserve">, </w:t>
      </w:r>
      <w:r>
        <w:rPr>
          <w:rFonts w:ascii="Century" w:hAnsi="Century" w:cs="FrankRuehl"/>
          <w:rtl w:val="true"/>
        </w:rPr>
        <w:t>ולמעשה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גם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לא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הועלתה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טענה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בעניין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זה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על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ידי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בא</w:t>
      </w:r>
      <w:r>
        <w:rPr>
          <w:rFonts w:cs="FrankRuehl" w:ascii="Century" w:hAnsi="Century"/>
          <w:rtl w:val="true"/>
        </w:rPr>
        <w:t>-</w:t>
      </w:r>
      <w:r>
        <w:rPr>
          <w:rFonts w:ascii="Century" w:hAnsi="Century" w:cs="FrankRuehl"/>
          <w:rtl w:val="true"/>
        </w:rPr>
        <w:t>כוח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המערער</w:t>
      </w:r>
      <w:r>
        <w:rPr>
          <w:rFonts w:cs="FrankRuehl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FrankRuehl"/>
        </w:rPr>
      </w:pPr>
      <w:r>
        <w:rPr>
          <w:rFonts w:cs="FrankRuehl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גם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בחינת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שנגזר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בראי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עיקרון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אחידות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מוביל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לדעתי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למסקנה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כטענת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בא</w:t>
      </w:r>
      <w:r>
        <w:rPr>
          <w:rFonts w:cs="FrankRuehl" w:ascii="Century" w:hAnsi="Century"/>
          <w:sz w:val="22"/>
          <w:rtl w:val="true"/>
        </w:rPr>
        <w:t>-</w:t>
      </w:r>
      <w:r>
        <w:rPr>
          <w:rFonts w:ascii="Century" w:hAnsi="Century" w:cs="FrankRuehl"/>
          <w:sz w:val="22"/>
          <w:sz w:val="22"/>
          <w:rtl w:val="true"/>
        </w:rPr>
        <w:t>כוח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להפחית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מעונשו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עניינו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עניינו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ישנם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הבדלים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משמעותיים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רלבנטיים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המבחינים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ביניהם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לענין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והמצדיקים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משמעותי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בענישה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ביניהם</w:t>
      </w:r>
      <w:r>
        <w:rPr>
          <w:rFonts w:cs="FrankRuehl" w:ascii="Century" w:hAnsi="Century"/>
          <w:sz w:val="22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כעולה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מתיאור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עובדות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כתב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המתוקן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המתוארים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לעיל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בהם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הודה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והורשע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התפקיד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המרכזי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והדומיננטי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במסכת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האירועים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שהיה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בקשר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הסוכן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המשטרתי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נפגש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מספר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פעמים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מנת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לנהל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העסקה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שוחח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מנת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לקבוע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מקום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העסקה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אסף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והביא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למקום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העסקה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מסר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האקדח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וקיבל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לידיו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הכסף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בתמורה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לאקדח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לעומתו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rtl w:val="true"/>
        </w:rPr>
        <w:t>כל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מעורבותו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של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השותף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בהתאם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לכתב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האישום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rtl w:val="true"/>
        </w:rPr>
        <w:t>התמצתה</w:t>
      </w:r>
      <w:r>
        <w:rPr>
          <w:rFonts w:ascii="Century" w:hAnsi="Century" w:eastAsia="Century" w:cs="Century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בכך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שהביא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האקדח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למקום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המפגש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ומסר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לידיו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נוסף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כך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לבדו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הורשע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במסגרת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אותו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האישום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גם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הפרעה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לשוטר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במילוי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תפקידו</w:t>
      </w:r>
      <w:r>
        <w:rPr>
          <w:rFonts w:cs="FrankRuehl" w:ascii="Century" w:hAnsi="Century"/>
          <w:sz w:val="22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cs="FrankRuehl" w:ascii="Century" w:hAnsi="Century"/>
          <w:sz w:val="22"/>
          <w:rtl w:val="true"/>
        </w:rPr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>
          <w:rFonts w:ascii="Century" w:hAnsi="Century"/>
          <w:sz w:val="22"/>
        </w:rPr>
      </w:pPr>
      <w:r>
        <w:rPr>
          <w:rFonts w:cs="FrankRuehl" w:ascii="Century" w:hAnsi="Century"/>
          <w:sz w:val="22"/>
          <w:rtl w:val="true"/>
        </w:rPr>
        <w:tab/>
      </w:r>
      <w:r>
        <w:rPr>
          <w:rFonts w:ascii="Century" w:hAnsi="Century" w:cs="FrankRuehl"/>
          <w:sz w:val="22"/>
          <w:sz w:val="22"/>
          <w:rtl w:val="true"/>
        </w:rPr>
        <w:t>כמו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כן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קיים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שוני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משמעותי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נסיבותיהם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האישיות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והשותף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פלילי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מכביד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הכולל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</w:rPr>
        <w:t>6</w:t>
      </w:r>
      <w:r>
        <w:rPr>
          <w:rFonts w:cs="FrankRuehl" w:ascii="Century" w:hAnsi="Century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הרשעות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קודמות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בשורה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ארוכה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עבירות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אלימות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ורכוש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לרבות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שוד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תקיפת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שוטר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איומים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פריצות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לרכב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ועוד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לעומת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זאת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כלל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פלילי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גם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ריצה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כבר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ממושך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ובעת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ביצוע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העבירות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הנדונות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עמד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נגדו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עונש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מאסר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תנאי</w:t>
      </w:r>
      <w:r>
        <w:rPr>
          <w:rFonts w:cs="FrankRuehl" w:ascii="Century" w:hAnsi="Century"/>
          <w:sz w:val="22"/>
          <w:rtl w:val="true"/>
        </w:rPr>
        <w:t xml:space="preserve">. </w:t>
      </w:r>
      <w:r>
        <w:rPr>
          <w:rFonts w:ascii="Century" w:hAnsi="Century" w:cs="FrankRuehl"/>
          <w:sz w:val="22"/>
          <w:sz w:val="22"/>
          <w:rtl w:val="true"/>
        </w:rPr>
        <w:t>למותר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אולי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להוסיף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טענת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לפיה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יש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לראות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השותף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רוח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החיה</w:t>
      </w:r>
      <w:r>
        <w:rPr>
          <w:rFonts w:cs="FrankRuehl" w:ascii="Century" w:hAnsi="Century"/>
          <w:sz w:val="22"/>
          <w:rtl w:val="true"/>
        </w:rPr>
        <w:t xml:space="preserve">" </w:t>
      </w:r>
      <w:r>
        <w:rPr>
          <w:rFonts w:ascii="Century" w:hAnsi="Century" w:cs="FrankRuehl"/>
          <w:sz w:val="22"/>
          <w:sz w:val="22"/>
          <w:rtl w:val="true"/>
        </w:rPr>
        <w:t>בעבירה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הסחר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בנשק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וכי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עיקר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תפקידו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המערער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היה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cs="FrankRuehl" w:ascii="Century" w:hAnsi="Century"/>
          <w:sz w:val="22"/>
          <w:rtl w:val="true"/>
        </w:rPr>
        <w:t>"</w:t>
      </w:r>
      <w:r>
        <w:rPr>
          <w:rFonts w:ascii="Century" w:hAnsi="Century" w:cs="FrankRuehl"/>
          <w:sz w:val="22"/>
          <w:sz w:val="22"/>
          <w:rtl w:val="true"/>
        </w:rPr>
        <w:t>בסיכום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הפרטים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הפרוצדוראליים</w:t>
      </w:r>
      <w:r>
        <w:rPr>
          <w:rFonts w:cs="FrankRuehl" w:ascii="Century" w:hAnsi="Century"/>
          <w:sz w:val="22"/>
          <w:rtl w:val="true"/>
        </w:rPr>
        <w:t xml:space="preserve">", </w:t>
      </w:r>
      <w:r>
        <w:rPr>
          <w:rFonts w:ascii="Century" w:hAnsi="Century" w:cs="FrankRuehl"/>
          <w:sz w:val="22"/>
          <w:sz w:val="22"/>
          <w:rtl w:val="true"/>
        </w:rPr>
        <w:t>אין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עיגון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בנוסח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כתב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האישום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בו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הודה</w:t>
      </w:r>
      <w:r>
        <w:rPr>
          <w:rFonts w:cs="FrankRuehl" w:ascii="Century" w:hAnsi="Century"/>
          <w:sz w:val="22"/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eastAsia="Century" w:cs="Century" w:ascii="Century" w:hAnsi="Century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2"/>
        </w:numPr>
        <w:ind w:hanging="0" w:start="0" w:end="0"/>
        <w:jc w:val="both"/>
        <w:rPr>
          <w:rFonts w:ascii="Century" w:hAnsi="Century" w:cs="FrankRuehl"/>
          <w:sz w:val="22"/>
        </w:rPr>
      </w:pPr>
      <w:r>
        <w:rPr>
          <w:rFonts w:ascii="Century" w:hAnsi="Century" w:cs="FrankRuehl"/>
          <w:sz w:val="22"/>
          <w:sz w:val="22"/>
          <w:rtl w:val="true"/>
        </w:rPr>
        <w:t>סוף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דבר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לא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מצאתי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כל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עילה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להתערב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בגזר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הדין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של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בית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משפט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קמא</w:t>
      </w:r>
      <w:r>
        <w:rPr>
          <w:rFonts w:cs="FrankRuehl" w:ascii="Century" w:hAnsi="Century"/>
          <w:sz w:val="22"/>
          <w:rtl w:val="true"/>
        </w:rPr>
        <w:t xml:space="preserve">, </w:t>
      </w:r>
      <w:r>
        <w:rPr>
          <w:rFonts w:ascii="Century" w:hAnsi="Century" w:cs="FrankRuehl"/>
          <w:sz w:val="22"/>
          <w:sz w:val="22"/>
          <w:rtl w:val="true"/>
        </w:rPr>
        <w:t>ואציע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לחבריי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לדחות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את</w:t>
      </w:r>
      <w:r>
        <w:rPr>
          <w:rFonts w:ascii="Century" w:hAnsi="Century" w:eastAsia="Century" w:cs="Century"/>
          <w:sz w:val="22"/>
          <w:sz w:val="22"/>
          <w:rtl w:val="true"/>
        </w:rPr>
        <w:t xml:space="preserve"> </w:t>
      </w:r>
      <w:r>
        <w:rPr>
          <w:rFonts w:ascii="Century" w:hAnsi="Century" w:cs="FrankRuehl"/>
          <w:sz w:val="22"/>
          <w:sz w:val="22"/>
          <w:rtl w:val="true"/>
        </w:rPr>
        <w:t>הערעור</w:t>
      </w:r>
      <w:r>
        <w:rPr>
          <w:rFonts w:cs="FrankRuehl" w:ascii="Century" w:hAnsi="Century"/>
          <w:sz w:val="22"/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FrankRuehl"/>
          <w:sz w:val="22"/>
          <w:lang w:val="en-IL"/>
        </w:rPr>
      </w:pPr>
      <w:r>
        <w:rPr>
          <w:rFonts w:cs="FrankRuehl" w:ascii="Century" w:hAnsi="Century"/>
          <w:sz w:val="22"/>
          <w:rtl w:val="true"/>
          <w:lang w:val="en-IL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>
                <w:rFonts w:eastAsia="Arial TUR;Arial" w:cs="Arial TUR;Arial"/>
              </w:rPr>
            </w:pPr>
            <w:r>
              <w:rPr>
                <w:rFonts w:eastAsia="Arial TUR;Arial" w:cs="Arial TUR;Arial"/>
                <w:rtl w:val="true"/>
              </w:rPr>
              <w:t xml:space="preserve"> 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>
                <w:rFonts w:eastAsia="Arial TUR;Arial" w:cs="Arial TUR;Arial"/>
              </w:rPr>
            </w:pPr>
            <w:r>
              <w:rPr>
                <w:rFonts w:eastAsia="Arial TUR;Arial" w:cs="Arial TUR;Arial"/>
                <w:rtl w:val="true"/>
              </w:rPr>
              <w:t xml:space="preserve"> 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lang w:val="en-IL"/>
        </w:rPr>
      </w:pPr>
      <w:r>
        <w:rPr>
          <w:rtl w:val="true"/>
          <w:lang w:val="en-IL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  <w:lang w:val="en-IL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  <w:lang w:val="en-IL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  <w:lang w:val="en-IL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  <w:lang w:val="en-IL"/>
        </w:rPr>
        <w:t>י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  <w:lang w:val="en-IL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  <w:lang w:val="en-IL"/>
        </w:rPr>
        <w:t>דנציגר</w:t>
      </w:r>
      <w:r>
        <w:rPr>
          <w:rFonts w:cs="Miriam" w:ascii="Times New Roman" w:hAnsi="Times New Roman"/>
          <w:spacing w:val="0"/>
          <w:sz w:val="28"/>
          <w:szCs w:val="24"/>
          <w:rtl w:val="true"/>
          <w:lang w:val="en-IL"/>
        </w:rPr>
        <w:t>: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  <w:lang w:val="en-IL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  <w:lang w:val="en-IL"/>
        </w:rPr>
      </w:r>
    </w:p>
    <w:p>
      <w:pPr>
        <w:pStyle w:val="Ruller41"/>
        <w:ind w:end="0"/>
        <w:jc w:val="both"/>
        <w:rPr>
          <w:lang w:val="en-IL"/>
        </w:rPr>
      </w:pPr>
      <w:r>
        <w:rPr>
          <w:rtl w:val="true"/>
          <w:lang w:val="en-IL"/>
        </w:rPr>
        <w:tab/>
      </w:r>
      <w:r>
        <w:rPr>
          <w:rtl w:val="true"/>
          <w:lang w:val="en-IL"/>
        </w:rPr>
        <w:t>אני</w:t>
      </w:r>
      <w:r>
        <w:rPr>
          <w:rFonts w:eastAsia="Arial TUR;Arial" w:cs="Arial TUR;Arial"/>
          <w:rtl w:val="true"/>
          <w:lang w:val="en-IL"/>
        </w:rPr>
        <w:t xml:space="preserve"> </w:t>
      </w:r>
      <w:r>
        <w:rPr>
          <w:rtl w:val="true"/>
          <w:lang w:val="en-IL"/>
        </w:rPr>
        <w:t>מסכים</w:t>
      </w:r>
      <w:r>
        <w:rPr>
          <w:rtl w:val="true"/>
          <w:lang w:val="en-IL"/>
        </w:rPr>
        <w:t>.</w:t>
      </w:r>
    </w:p>
    <w:p>
      <w:pPr>
        <w:pStyle w:val="Ruller41"/>
        <w:ind w:end="0"/>
        <w:jc w:val="both"/>
        <w:rPr>
          <w:lang w:val="en-IL"/>
        </w:rPr>
      </w:pPr>
      <w:r>
        <w:rPr>
          <w:rtl w:val="true"/>
          <w:lang w:val="en-IL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>
                <w:rFonts w:eastAsia="Arial TUR;Arial" w:cs="Arial TUR;Arial"/>
              </w:rPr>
            </w:pPr>
            <w:r>
              <w:rPr>
                <w:rFonts w:eastAsia="Arial TUR;Arial" w:cs="Arial TUR;Arial"/>
                <w:rtl w:val="true"/>
              </w:rPr>
              <w:t xml:space="preserve"> 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  <w:lang w:val="en-IL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  <w:lang w:val="en-IL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  <w:lang w:val="en-IL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  <w:lang w:val="en-IL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  <w:lang w:val="en-IL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  <w:lang w:val="en-IL"/>
        </w:rPr>
        <w:t>צ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  <w:lang w:val="en-IL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  <w:lang w:val="en-IL"/>
        </w:rPr>
        <w:t>זילברטל</w:t>
      </w:r>
      <w:r>
        <w:rPr>
          <w:rFonts w:cs="Miriam" w:ascii="Times New Roman" w:hAnsi="Times New Roman"/>
          <w:spacing w:val="0"/>
          <w:sz w:val="28"/>
          <w:szCs w:val="24"/>
          <w:rtl w:val="true"/>
          <w:lang w:val="en-IL"/>
        </w:rPr>
        <w:t>: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  <w:lang w:val="en-IL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  <w:lang w:val="en-IL"/>
        </w:rPr>
      </w:r>
    </w:p>
    <w:p>
      <w:pPr>
        <w:pStyle w:val="Ruller41"/>
        <w:ind w:end="0"/>
        <w:jc w:val="both"/>
        <w:rPr>
          <w:lang w:val="en-IL"/>
        </w:rPr>
      </w:pPr>
      <w:r>
        <w:rPr>
          <w:rtl w:val="true"/>
          <w:lang w:val="en-IL"/>
        </w:rPr>
        <w:tab/>
      </w:r>
      <w:r>
        <w:rPr>
          <w:rtl w:val="true"/>
          <w:lang w:val="en-IL"/>
        </w:rPr>
        <w:t>אני</w:t>
      </w:r>
      <w:r>
        <w:rPr>
          <w:rFonts w:eastAsia="Arial TUR;Arial" w:cs="Arial TUR;Arial"/>
          <w:rtl w:val="true"/>
          <w:lang w:val="en-IL"/>
        </w:rPr>
        <w:t xml:space="preserve"> </w:t>
      </w:r>
      <w:r>
        <w:rPr>
          <w:rtl w:val="true"/>
          <w:lang w:val="en-IL"/>
        </w:rPr>
        <w:t>מסכים</w:t>
      </w:r>
      <w:r>
        <w:rPr>
          <w:rtl w:val="true"/>
          <w:lang w:val="en-IL"/>
        </w:rPr>
        <w:t>.</w:t>
      </w:r>
    </w:p>
    <w:p>
      <w:pPr>
        <w:pStyle w:val="Ruller41"/>
        <w:ind w:end="0"/>
        <w:jc w:val="both"/>
        <w:rPr>
          <w:lang w:val="en-IL"/>
        </w:rPr>
      </w:pPr>
      <w:r>
        <w:rPr>
          <w:rtl w:val="true"/>
          <w:lang w:val="en-IL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>
                <w:rFonts w:eastAsia="Arial TUR;Arial" w:cs="Arial TUR;Arial"/>
              </w:rPr>
            </w:pPr>
            <w:r>
              <w:rPr>
                <w:rFonts w:eastAsia="Arial TUR;Arial" w:cs="Arial TUR;Arial"/>
                <w:rtl w:val="true"/>
              </w:rPr>
              <w:t xml:space="preserve"> 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lang w:val="en-IL"/>
        </w:rPr>
      </w:pPr>
      <w:r>
        <w:rPr>
          <w:rtl w:val="true"/>
          <w:lang w:val="en-IL"/>
        </w:rPr>
      </w:r>
    </w:p>
    <w:p>
      <w:pPr>
        <w:pStyle w:val="Ruller41"/>
        <w:ind w:end="0"/>
        <w:jc w:val="both"/>
        <w:rPr>
          <w:lang w:val="en-IL"/>
        </w:rPr>
      </w:pPr>
      <w:r>
        <w:rPr>
          <w:rtl w:val="true"/>
          <w:lang w:val="en-IL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הוחלט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בפסק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מזוז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ו</w:t>
      </w:r>
      <w:r>
        <w:rPr>
          <w:rtl w:val="true"/>
        </w:rPr>
        <w:t xml:space="preserve">' </w:t>
      </w:r>
      <w:r>
        <w:rPr>
          <w:rtl w:val="true"/>
        </w:rPr>
        <w:t>בתמוז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(‏</w:t>
      </w:r>
      <w:r>
        <w:rPr/>
        <w:t>23.6.2015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6" w:name="FileName"/>
      <w:r>
        <w:rPr>
          <w:sz w:val="16"/>
        </w:rPr>
        <w:t>14075520</w:t>
      </w:r>
      <w:r>
        <w:rPr>
          <w:sz w:val="16"/>
          <w:rtl w:val="true"/>
        </w:rPr>
        <w:t>_</w:t>
      </w:r>
      <w:r>
        <w:rPr>
          <w:sz w:val="16"/>
        </w:rPr>
        <w:t>B01.doc</w:t>
      </w:r>
      <w:r>
        <w:rPr>
          <w:sz w:val="16"/>
          <w:rtl w:val="true"/>
        </w:rPr>
        <w:t xml:space="preserve">   </w:t>
      </w:r>
      <w:bookmarkEnd w:id="16"/>
      <w:r>
        <w:rPr>
          <w:sz w:val="16"/>
          <w:sz w:val="16"/>
          <w:rtl w:val="true"/>
        </w:rPr>
        <w:t>אב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45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י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דנציגר </w:t>
      </w:r>
      <w:r>
        <w:rPr>
          <w:rFonts w:cs="David" w:ascii="David" w:hAnsi="David"/>
          <w:color w:val="000000"/>
          <w:szCs w:val="22"/>
        </w:rPr>
        <w:t>54678313-7552/14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46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47"/>
      <w:footerReference w:type="default" r:id="rId48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11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7552/14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יוסף אגבאריה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pacing w:val="10"/>
        <w:i w:val="false"/>
        <w:shadow w:val="false"/>
        <w:u w:val="none" w:color="000000"/>
        <w:b w:val="false"/>
        <w:kern w:val="0"/>
        <w:szCs w:val="28"/>
        <w:iCs w:val="false"/>
        <w:bCs w:val="false"/>
        <w:w w:val="100"/>
        <w:vanish w:val="false"/>
        <w:rFonts w:ascii="Century" w:hAnsi="Century" w:cs="FrankRuehl"/>
        <w:color w:val="000000"/>
      </w:r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pacing w:val="10"/>
        <w:i w:val="false"/>
        <w:shadow w:val="false"/>
        <w:u w:val="none" w:color="000000"/>
        <w:b w:val="false"/>
        <w:kern w:val="0"/>
        <w:szCs w:val="28"/>
        <w:iCs w:val="false"/>
        <w:bCs w:val="false"/>
        <w:w w:val="100"/>
        <w:vanish w:val="false"/>
        <w:rFonts w:ascii="Century" w:hAnsi="Century" w:cs="FrankRuehl"/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rFonts w:ascii="Century" w:hAnsi="Century" w:cs="FrankRueh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spacing w:val="10"/>
      <w:w w:val="100"/>
      <w:kern w:val="0"/>
      <w:position w:val="0"/>
      <w:sz w:val="22"/>
      <w:sz w:val="22"/>
      <w:szCs w:val="28"/>
      <w:u w:val="none" w:color="000000"/>
      <w:vertAlign w:val="baseline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14">
    <w:name w:val="טקסט בלונים תו"/>
    <w:qFormat/>
    <w:rPr>
      <w:rFonts w:ascii="Tahoma" w:hAnsi="Tahoma" w:cs="Tahoma"/>
      <w:sz w:val="16"/>
      <w:szCs w:val="16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Times New Roman"/>
      <w:sz w:val="24"/>
      <w:lang w:val="en-IL"/>
    </w:rPr>
  </w:style>
  <w:style w:type="paragraph" w:styleId="Style15">
    <w:name w:val="טקסט בלונים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11295634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9" TargetMode="External"/><Relationship Id="rId5" Type="http://schemas.openxmlformats.org/officeDocument/2006/relationships/hyperlink" Target="http://www.nevo.co.il/law/70301/40b" TargetMode="External"/><Relationship Id="rId6" Type="http://schemas.openxmlformats.org/officeDocument/2006/relationships/hyperlink" Target="http://www.nevo.co.il/law/70301/40c" TargetMode="External"/><Relationship Id="rId7" Type="http://schemas.openxmlformats.org/officeDocument/2006/relationships/hyperlink" Target="http://www.nevo.co.il/law/70301/40i" TargetMode="External"/><Relationship Id="rId8" Type="http://schemas.openxmlformats.org/officeDocument/2006/relationships/hyperlink" Target="http://www.nevo.co.il/law/70301/144.b2" TargetMode="External"/><Relationship Id="rId9" Type="http://schemas.openxmlformats.org/officeDocument/2006/relationships/hyperlink" Target="http://www.nevo.co.il/law/70301/144.c.1" TargetMode="External"/><Relationship Id="rId10" Type="http://schemas.openxmlformats.org/officeDocument/2006/relationships/hyperlink" Target="http://www.nevo.co.il/law/70301/192" TargetMode="External"/><Relationship Id="rId11" Type="http://schemas.openxmlformats.org/officeDocument/2006/relationships/hyperlink" Target="http://www.nevo.co.il/law/70301/275" TargetMode="External"/><Relationship Id="rId12" Type="http://schemas.openxmlformats.org/officeDocument/2006/relationships/hyperlink" Target="http://www.nevo.co.il/law/70301/40ja" TargetMode="External"/><Relationship Id="rId13" Type="http://schemas.openxmlformats.org/officeDocument/2006/relationships/hyperlink" Target="http://www.nevo.co.il/law/70301/40jc.c" TargetMode="External"/><Relationship Id="rId14" Type="http://schemas.openxmlformats.org/officeDocument/2006/relationships/hyperlink" Target="http://www.nevo.co.il/law/70301/40b" TargetMode="External"/><Relationship Id="rId15" Type="http://schemas.openxmlformats.org/officeDocument/2006/relationships/hyperlink" Target="http://www.nevo.co.il/law/70301" TargetMode="External"/><Relationship Id="rId16" Type="http://schemas.openxmlformats.org/officeDocument/2006/relationships/hyperlink" Target="http://www.nevo.co.il/law/70301/40c" TargetMode="External"/><Relationship Id="rId17" Type="http://schemas.openxmlformats.org/officeDocument/2006/relationships/hyperlink" Target="http://www.nevo.co.il/law/70301/40i" TargetMode="External"/><Relationship Id="rId18" Type="http://schemas.openxmlformats.org/officeDocument/2006/relationships/hyperlink" Target="http://www.nevo.co.il/law/70301/40c" TargetMode="External"/><Relationship Id="rId19" Type="http://schemas.openxmlformats.org/officeDocument/2006/relationships/hyperlink" Target="http://www.nevo.co.il/law/70301/40ja" TargetMode="External"/><Relationship Id="rId20" Type="http://schemas.openxmlformats.org/officeDocument/2006/relationships/hyperlink" Target="http://www.nevo.co.il/case/11295634" TargetMode="External"/><Relationship Id="rId21" Type="http://schemas.openxmlformats.org/officeDocument/2006/relationships/hyperlink" Target="http://www.nevo.co.il/law/70301/144.b2" TargetMode="External"/><Relationship Id="rId22" Type="http://schemas.openxmlformats.org/officeDocument/2006/relationships/hyperlink" Target="http://www.nevo.co.il/law/70301/144.c.1" TargetMode="External"/><Relationship Id="rId23" Type="http://schemas.openxmlformats.org/officeDocument/2006/relationships/hyperlink" Target="http://www.nevo.co.il/law/70301/29" TargetMode="External"/><Relationship Id="rId24" Type="http://schemas.openxmlformats.org/officeDocument/2006/relationships/hyperlink" Target="http://www.nevo.co.il/law/70301" TargetMode="External"/><Relationship Id="rId25" Type="http://schemas.openxmlformats.org/officeDocument/2006/relationships/hyperlink" Target="http://www.nevo.co.il/law/70301/275" TargetMode="External"/><Relationship Id="rId26" Type="http://schemas.openxmlformats.org/officeDocument/2006/relationships/hyperlink" Target="http://www.nevo.co.il/law/70301/192" TargetMode="External"/><Relationship Id="rId27" Type="http://schemas.openxmlformats.org/officeDocument/2006/relationships/hyperlink" Target="http://www.nevo.co.il/law/70301" TargetMode="External"/><Relationship Id="rId28" Type="http://schemas.openxmlformats.org/officeDocument/2006/relationships/hyperlink" Target="http://www.nevo.co.il/law/70301/40jc.c" TargetMode="External"/><Relationship Id="rId29" Type="http://schemas.openxmlformats.org/officeDocument/2006/relationships/hyperlink" Target="http://www.nevo.co.il/law/70301/40b" TargetMode="External"/><Relationship Id="rId30" Type="http://schemas.openxmlformats.org/officeDocument/2006/relationships/hyperlink" Target="http://www.nevo.co.il/law/70301" TargetMode="External"/><Relationship Id="rId31" Type="http://schemas.openxmlformats.org/officeDocument/2006/relationships/hyperlink" Target="http://www.nevo.co.il/law/70301/40c" TargetMode="External"/><Relationship Id="rId32" Type="http://schemas.openxmlformats.org/officeDocument/2006/relationships/hyperlink" Target="http://www.nevo.co.il/law/70301/40i" TargetMode="External"/><Relationship Id="rId33" Type="http://schemas.openxmlformats.org/officeDocument/2006/relationships/hyperlink" Target="http://www.nevo.co.il/law/70301/40c" TargetMode="External"/><Relationship Id="rId34" Type="http://schemas.openxmlformats.org/officeDocument/2006/relationships/hyperlink" Target="http://www.nevo.co.il/law/70301/40ja" TargetMode="External"/><Relationship Id="rId35" Type="http://schemas.openxmlformats.org/officeDocument/2006/relationships/hyperlink" Target="http://www.nevo.co.il/case/17938943" TargetMode="External"/><Relationship Id="rId36" Type="http://schemas.openxmlformats.org/officeDocument/2006/relationships/hyperlink" Target="http://www.nevo.co.il/case/5796497" TargetMode="External"/><Relationship Id="rId37" Type="http://schemas.openxmlformats.org/officeDocument/2006/relationships/hyperlink" Target="http://www.nevo.co.il/case/7985582" TargetMode="External"/><Relationship Id="rId38" Type="http://schemas.openxmlformats.org/officeDocument/2006/relationships/hyperlink" Target="http://www.nevo.co.il/case/18654248" TargetMode="External"/><Relationship Id="rId39" Type="http://schemas.openxmlformats.org/officeDocument/2006/relationships/hyperlink" Target="http://www.nevo.co.il/case/13104267" TargetMode="External"/><Relationship Id="rId40" Type="http://schemas.openxmlformats.org/officeDocument/2006/relationships/hyperlink" Target="http://www.nevo.co.il/case/5755866" TargetMode="External"/><Relationship Id="rId41" Type="http://schemas.openxmlformats.org/officeDocument/2006/relationships/hyperlink" Target="http://www.nevo.co.il/case/5785061" TargetMode="External"/><Relationship Id="rId42" Type="http://schemas.openxmlformats.org/officeDocument/2006/relationships/hyperlink" Target="http://www.nevo.co.il/case/6135887" TargetMode="External"/><Relationship Id="rId43" Type="http://schemas.openxmlformats.org/officeDocument/2006/relationships/hyperlink" Target="http://www.nevo.co.il/case/5821327" TargetMode="External"/><Relationship Id="rId44" Type="http://schemas.openxmlformats.org/officeDocument/2006/relationships/hyperlink" Target="http://www.nevo.co.il/case/5703734" TargetMode="External"/><Relationship Id="rId45" Type="http://schemas.openxmlformats.org/officeDocument/2006/relationships/hyperlink" Target="http://www.court.gov.il/" TargetMode="External"/><Relationship Id="rId46" Type="http://schemas.openxmlformats.org/officeDocument/2006/relationships/hyperlink" Target="http://www.nevo.co.il/advertisements/nevo-100.doc" TargetMode="External"/><Relationship Id="rId47" Type="http://schemas.openxmlformats.org/officeDocument/2006/relationships/header" Target="header1.xml"/><Relationship Id="rId48" Type="http://schemas.openxmlformats.org/officeDocument/2006/relationships/footer" Target="footer1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14075520.B01.doc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2015-06-25T09:33:00Z</dcterms:created>
  <dc:creator> </dc:creator>
  <dc:description/>
  <cp:keywords/>
  <dc:language>en-IL</dc:language>
  <cp:lastModifiedBy>orly</cp:lastModifiedBy>
  <cp:lastPrinted>2015-06-23T15:28:00Z</cp:lastPrinted>
  <dcterms:modified xsi:type="dcterms:W3CDTF">2015-06-25T09:33:00Z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יוסף אגבאריה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11295634:2;17938943;5796497;7985582;18654248;13104267;5755866;5785061;6135887;5821327;5703734</vt:lpwstr>
  </property>
  <property fmtid="{D5CDD505-2E9C-101B-9397-08002B2CF9AE}" pid="9" name="CITY">
    <vt:lpwstr/>
  </property>
  <property fmtid="{D5CDD505-2E9C-101B-9397-08002B2CF9AE}" pid="10" name="DATE">
    <vt:lpwstr>20150623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י' דנציגר;צ' זילברטל;מ' מזוז</vt:lpwstr>
  </property>
  <property fmtid="{D5CDD505-2E9C-101B-9397-08002B2CF9AE}" pid="14" name="LAWLISTTMP1">
    <vt:lpwstr>70301/144.b2;144.c.1;029;275;192;40jc.c;040b;040c:2;040i;40ja</vt:lpwstr>
  </property>
  <property fmtid="{D5CDD505-2E9C-101B-9397-08002B2CF9AE}" pid="15" name="LAWYER">
    <vt:lpwstr>נילי פינקלשטיין;ליאור דוידי;יהלי שפרלינג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נעה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עונשין</vt:lpwstr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ענישה</vt:lpwstr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1446;1446;1446</vt:lpwstr>
  </property>
  <property fmtid="{D5CDD505-2E9C-101B-9397-08002B2CF9AE}" pid="48" name="NOSE31">
    <vt:lpwstr>תיקון 113</vt:lpwstr>
  </property>
  <property fmtid="{D5CDD505-2E9C-101B-9397-08002B2CF9AE}" pid="49" name="NOSE310">
    <vt:lpwstr/>
  </property>
  <property fmtid="{D5CDD505-2E9C-101B-9397-08002B2CF9AE}" pid="50" name="NOSE32">
    <vt:lpwstr>מדיניות ענישה: עבירות נשק</vt:lpwstr>
  </property>
  <property fmtid="{D5CDD505-2E9C-101B-9397-08002B2CF9AE}" pid="51" name="NOSE33">
    <vt:lpwstr>מדיניות ענישה: אחדות הענישה</vt:lpwstr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15240;13800;13222</vt:lpwstr>
  </property>
  <property fmtid="{D5CDD505-2E9C-101B-9397-08002B2CF9AE}" pid="59" name="PADIDATE">
    <vt:lpwstr>20150625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7552</vt:lpwstr>
  </property>
  <property fmtid="{D5CDD505-2E9C-101B-9397-08002B2CF9AE}" pid="65" name="PROCYEAR">
    <vt:lpwstr>14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410120150623</vt:lpwstr>
  </property>
  <property fmtid="{D5CDD505-2E9C-101B-9397-08002B2CF9AE}" pid="69" name="TYPE_N_DATE">
    <vt:lpwstr>41020150623</vt:lpwstr>
  </property>
  <property fmtid="{D5CDD505-2E9C-101B-9397-08002B2CF9AE}" pid="70" name="VOLUME">
    <vt:lpwstr/>
  </property>
  <property fmtid="{D5CDD505-2E9C-101B-9397-08002B2CF9AE}" pid="71" name="WORDNUMPAGES">
    <vt:lpwstr>10</vt:lpwstr>
  </property>
</Properties>
</file>