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spacing w:before="160" w:after="0"/>
              <w:ind w:end="0"/>
              <w:jc w:val="center"/>
              <w:rPr>
                <w:sz w:val="28"/>
              </w:rPr>
            </w:pPr>
            <w:bookmarkStart w:id="0" w:name="LastJudge"/>
            <w:bookmarkEnd w:id="0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בשבתו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כבית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משפט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לערעורים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פליליים</w:t>
            </w:r>
          </w:p>
        </w:tc>
      </w:tr>
    </w:tbl>
    <w:p>
      <w:pPr>
        <w:pStyle w:val="Normal"/>
        <w:spacing w:before="160" w:after="0"/>
        <w:ind w:end="0"/>
        <w:jc w:val="end"/>
        <w:rPr>
          <w:rFonts w:cs="Miriam"/>
          <w:b/>
          <w:bCs/>
          <w:sz w:val="2"/>
          <w:szCs w:val="2"/>
        </w:rPr>
      </w:pPr>
      <w:r>
        <w:rPr>
          <w:rFonts w:cs="Miriam"/>
          <w:b/>
          <w:bCs/>
          <w:sz w:val="2"/>
          <w:szCs w:val="2"/>
          <w:rtl w:val="true"/>
        </w:rPr>
      </w:r>
    </w:p>
    <w:p>
      <w:pPr>
        <w:pStyle w:val="Normal"/>
        <w:spacing w:before="160" w:after="0"/>
        <w:ind w:end="0"/>
        <w:jc w:val="end"/>
        <w:rPr>
          <w:rFonts w:cs="Miriam"/>
          <w:b/>
          <w:bCs/>
          <w:sz w:val="6"/>
          <w:szCs w:val="10"/>
        </w:rPr>
      </w:pPr>
      <w:r>
        <w:rPr>
          <w:rFonts w:cs="Miriam"/>
          <w:b/>
          <w:bCs/>
          <w:sz w:val="6"/>
          <w:szCs w:val="10"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spacing w:before="160" w:after="0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785/15</w:t>
            </w:r>
            <w:bookmarkEnd w:id="1"/>
          </w:p>
        </w:tc>
      </w:tr>
    </w:tbl>
    <w:p>
      <w:pPr>
        <w:pStyle w:val="Normal"/>
        <w:spacing w:before="160" w:after="0"/>
        <w:ind w:end="0"/>
        <w:jc w:val="end"/>
        <w:rPr>
          <w:rFonts w:cs="Miriam"/>
          <w:b/>
          <w:bCs/>
          <w:sz w:val="6"/>
          <w:szCs w:val="10"/>
        </w:rPr>
      </w:pPr>
      <w:r>
        <w:rPr>
          <w:rFonts w:cs="Miriam"/>
          <w:b/>
          <w:bCs/>
          <w:sz w:val="6"/>
          <w:szCs w:val="10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סולברג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ברון</w:t>
            </w:r>
          </w:p>
        </w:tc>
      </w:tr>
    </w:tbl>
    <w:p>
      <w:pPr>
        <w:pStyle w:val="Ruller31"/>
        <w:spacing w:before="160" w:after="0"/>
        <w:ind w:end="0"/>
        <w:jc w:val="start"/>
        <w:rPr>
          <w:rFonts w:cs="Miriam"/>
          <w:b/>
          <w:bCs/>
          <w:sz w:val="10"/>
          <w:szCs w:val="16"/>
        </w:rPr>
      </w:pPr>
      <w:r>
        <w:rPr>
          <w:rFonts w:cs="Miriam"/>
          <w:b/>
          <w:bCs/>
          <w:sz w:val="10"/>
          <w:szCs w:val="16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/>
            </w:pPr>
            <w:bookmarkStart w:id="2" w:name="FirstAppellant"/>
            <w:bookmarkEnd w:id="2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/>
            </w:pPr>
            <w:r>
              <w:rPr>
                <w:rtl w:val="true"/>
              </w:rPr>
              <w:t>איהאב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פואקה</w:t>
            </w:r>
          </w:p>
        </w:tc>
      </w:tr>
    </w:tbl>
    <w:p>
      <w:pPr>
        <w:pStyle w:val="Ruller31"/>
        <w:spacing w:before="160" w:after="0"/>
        <w:ind w:end="0"/>
        <w:jc w:val="start"/>
        <w:rPr>
          <w:sz w:val="12"/>
          <w:szCs w:val="18"/>
        </w:rPr>
      </w:pPr>
      <w:r>
        <w:rPr>
          <w:sz w:val="12"/>
          <w:szCs w:val="18"/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spacing w:before="160" w:after="0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spacing w:before="160" w:after="0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before="160" w:after="0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spacing w:before="160" w:after="0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Normal"/>
              <w:tabs>
                <w:tab w:val="clear" w:pos="720"/>
                <w:tab w:val="left" w:pos="2552" w:leader="none"/>
              </w:tabs>
              <w:spacing w:before="160" w:after="0"/>
              <w:ind w:end="0"/>
              <w:jc w:val="both"/>
              <w:rPr>
                <w:sz w:val="24"/>
              </w:rPr>
            </w:pPr>
            <w:r>
              <w:rPr>
                <w:sz w:val="24"/>
                <w:sz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בירושלים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u w:val="single"/>
                </w:rPr>
                <w:t>17707-04-14</w:t>
              </w:r>
            </w:hyperlink>
            <w:r>
              <w:rPr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</w:rPr>
              <w:t>24.12.2014</w:t>
            </w:r>
            <w:r>
              <w:rPr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סגן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הנשיא</w:t>
            </w:r>
            <w:r>
              <w:rPr>
                <w:rFonts w:cs="Times New Roman"/>
                <w:sz w:val="24"/>
                <w:sz w:val="24"/>
                <w:rtl w:val="true"/>
              </w:rPr>
              <w:t xml:space="preserve"> </w:t>
            </w:r>
            <w:r>
              <w:rPr>
                <w:sz w:val="24"/>
                <w:sz w:val="24"/>
                <w:rtl w:val="true"/>
              </w:rPr>
              <w:t>א</w:t>
            </w:r>
            <w:r>
              <w:rPr>
                <w:sz w:val="24"/>
                <w:rtl w:val="true"/>
              </w:rPr>
              <w:t xml:space="preserve">' </w:t>
            </w:r>
            <w:r>
              <w:rPr>
                <w:sz w:val="24"/>
                <w:sz w:val="24"/>
                <w:rtl w:val="true"/>
              </w:rPr>
              <w:t>פרקש</w:t>
            </w:r>
          </w:p>
        </w:tc>
      </w:tr>
    </w:tbl>
    <w:p>
      <w:pPr>
        <w:pStyle w:val="Ruller31"/>
        <w:spacing w:before="160" w:after="0"/>
        <w:ind w:end="0"/>
        <w:jc w:val="start"/>
        <w:rPr>
          <w:sz w:val="4"/>
          <w:szCs w:val="10"/>
        </w:rPr>
      </w:pPr>
      <w:r>
        <w:rPr>
          <w:rtl w:val="true"/>
        </w:rPr>
        <w:tab/>
      </w:r>
    </w:p>
    <w:p>
      <w:pPr>
        <w:pStyle w:val="Ruller31"/>
        <w:spacing w:before="160" w:after="0"/>
        <w:ind w:end="0"/>
        <w:jc w:val="start"/>
        <w:rPr/>
      </w:pP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>:</w:t>
        <w:tab/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עיסא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מחמדיה</w:t>
      </w:r>
    </w:p>
    <w:p>
      <w:pPr>
        <w:pStyle w:val="Ruller31"/>
        <w:spacing w:before="160" w:after="0"/>
        <w:ind w:end="0"/>
        <w:jc w:val="start"/>
        <w:rPr/>
      </w:pPr>
      <w:bookmarkStart w:id="3" w:name="FirstLawyer"/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bookmarkEnd w:id="3"/>
      <w:r>
        <w:rPr>
          <w:rtl w:val="true"/>
        </w:rPr>
        <w:t>ה</w:t>
      </w:r>
      <w:r>
        <w:rPr>
          <w:rtl w:val="true"/>
        </w:rPr>
        <w:t>:</w:t>
        <w:tab/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מידן</w:t>
      </w:r>
    </w:p>
    <w:p>
      <w:pPr>
        <w:pStyle w:val="Ruller31"/>
        <w:spacing w:lineRule="exact" w:line="240" w:before="160" w:after="120"/>
        <w:ind w:hanging="283" w:start="283" w:end="0"/>
        <w:jc w:val="both"/>
        <w:rPr/>
      </w:pPr>
      <w:r>
        <w:rPr>
          <w:rtl w:val="true"/>
        </w:rPr>
        <w:t>בשם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>:</w:t>
        <w:tab/>
      </w:r>
      <w:r>
        <w:rPr>
          <w:rtl w:val="true"/>
        </w:rPr>
        <w:t>גב</w:t>
      </w:r>
      <w:r>
        <w:rPr>
          <w:rtl w:val="true"/>
        </w:rPr>
        <w:t xml:space="preserve">' </w:t>
      </w:r>
      <w:r>
        <w:rPr>
          <w:rtl w:val="true"/>
        </w:rPr>
        <w:t>ברכה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ויי</w:t>
      </w:r>
      <w:bookmarkStart w:id="4" w:name="LawTable"/>
      <w:bookmarkEnd w:id="4"/>
      <w:r>
        <w:rPr>
          <w:rtl w:val="true"/>
        </w:rPr>
        <w:t>ס</w:t>
      </w:r>
    </w:p>
    <w:p>
      <w:pPr>
        <w:pStyle w:val="Ruller31"/>
        <w:spacing w:lineRule="exact" w:line="240" w:before="16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Ruller31"/>
        <w:spacing w:lineRule="exact" w:line="240" w:before="16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</w:p>
    <w:p>
      <w:pPr>
        <w:pStyle w:val="Ruller31"/>
        <w:spacing w:lineRule="exact" w:line="240" w:before="16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3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[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1973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13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א</w:t>
        </w:r>
      </w:hyperlink>
    </w:p>
    <w:p>
      <w:pPr>
        <w:pStyle w:val="Ruller31"/>
        <w:spacing w:lineRule="exact" w:line="240" w:before="16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hyperlink r:id="rId6"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: </w:t>
      </w:r>
      <w:r>
        <w:rPr>
          <w:rFonts w:ascii="FrankRuehl" w:hAnsi="FrankRuehl"/>
          <w:spacing w:val="0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'  </w:t>
      </w:r>
      <w:hyperlink r:id="rId7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25</w:t>
        </w:r>
      </w:hyperlink>
      <w:r>
        <w:rPr>
          <w:rFonts w:cs="FrankRuehl" w:ascii="FrankRuehl" w:hAnsi="FrankRuehl"/>
          <w:spacing w:val="0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/>
            <w:color w:val="0000FF"/>
            <w:spacing w:val="0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pacing w:val="0"/>
            <w:sz w:val="24"/>
            <w:szCs w:val="24"/>
            <w:u w:val="single"/>
            <w:rtl w:val="true"/>
          </w:rPr>
          <w:t>)</w:t>
        </w:r>
      </w:hyperlink>
    </w:p>
    <w:p>
      <w:pPr>
        <w:pStyle w:val="Ruller31"/>
        <w:spacing w:lineRule="exact" w:line="240" w:before="160" w:after="120"/>
        <w:ind w:hanging="283" w:start="283" w:end="0"/>
        <w:jc w:val="both"/>
        <w:rPr>
          <w:rFonts w:ascii="FrankRuehl" w:hAnsi="FrankRuehl" w:cs="FrankRuehl"/>
          <w:spacing w:val="0"/>
          <w:sz w:val="24"/>
          <w:szCs w:val="24"/>
        </w:rPr>
      </w:pPr>
      <w:r>
        <w:rPr>
          <w:rFonts w:cs="FrankRuehl" w:ascii="FrankRuehl" w:hAnsi="FrankRuehl"/>
          <w:spacing w:val="0"/>
          <w:sz w:val="24"/>
          <w:szCs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5" w:name="ABSTRACT_START"/>
      <w:bookmarkStart w:id="6" w:name="OLE_LINK4"/>
      <w:bookmarkStart w:id="7" w:name="OLE_LINK3"/>
      <w:bookmarkStart w:id="8" w:name="LawTable_End"/>
      <w:bookmarkEnd w:id="6"/>
      <w:bookmarkEnd w:id="7"/>
      <w:bookmarkEnd w:id="8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הדגיש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מסכנות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וביטחונו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הגדיל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לעשות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ואף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תיווך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נראה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רכיב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חלף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חורגים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שיקולים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  <w:tab w:val="left" w:pos="907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במסגרתו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84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15,000</w:t>
      </w:r>
      <w:r>
        <w:rPr>
          <w:rFonts w:cs="FrankRuehl"/>
          <w:sz w:val="24"/>
          <w:szCs w:val="26"/>
          <w:rtl w:val="true"/>
        </w:rPr>
        <w:t xml:space="preserve"> ₪ (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תמורתו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ועונשים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פ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תיווך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וניסיון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קיבל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הלכה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מושרשת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נוטה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שמטילה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הדיונית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בלבד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קיימת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הצדקה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ולהקלה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חולק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ביותר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הדגיש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מסכנות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הציבור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וביטחונו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הגדיל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לעשות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ואף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תיווך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נראה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רכיב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חלף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חורגים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לחומרה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בעיקר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לגילו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הצעיר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לעובדה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נעדר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לכך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ששיתף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פעולה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רשויות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אכיפת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והודה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במיוחס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לכך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שנטל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והביע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חרטה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מעשיו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ולנסיבות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המורכבות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המצוקה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הכלכלית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גדל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יופחת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ויעמוד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78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תשלום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מתשלומי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יגרום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להעמדת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לפירעון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מידי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ואם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יישא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Ruller31"/>
        <w:spacing w:before="160" w:after="0"/>
        <w:ind w:end="0"/>
        <w:jc w:val="start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  <w:bookmarkStart w:id="9" w:name="OLE_LINK4"/>
      <w:bookmarkStart w:id="10" w:name="OLE_LINK3"/>
      <w:bookmarkStart w:id="11" w:name="ABSTRACT_END"/>
      <w:bookmarkStart w:id="12" w:name="OLE_LINK4"/>
      <w:bookmarkStart w:id="13" w:name="OLE_LINK3"/>
      <w:bookmarkStart w:id="14" w:name="ABSTRACT_END"/>
      <w:bookmarkEnd w:id="12"/>
      <w:bookmarkEnd w:id="13"/>
      <w:bookmarkEnd w:id="14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spacing w:before="160" w:after="160"/>
              <w:ind w:end="0"/>
              <w:jc w:val="center"/>
              <w:rPr/>
            </w:pPr>
            <w:bookmarkStart w:id="15" w:name="PsakDin"/>
            <w:bookmarkStart w:id="16" w:name="BeginProtocol"/>
            <w:bookmarkStart w:id="17" w:name="secretary"/>
            <w:bookmarkEnd w:id="15"/>
            <w:bookmarkEnd w:id="16"/>
            <w:bookmarkEnd w:id="17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bookmarkStart w:id="18" w:name="Start_Write"/>
      <w:bookmarkStart w:id="19" w:name="Writer_Name"/>
      <w:bookmarkEnd w:id="18"/>
      <w:bookmarkEnd w:id="19"/>
      <w:r>
        <w:rPr>
          <w:rtl w:val="true"/>
        </w:rPr>
        <w:t xml:space="preserve">לפנינו ערעור על גזר דינו של בית המשפט המחוזי בירושלים </w:t>
      </w:r>
      <w:r>
        <w:rPr>
          <w:rtl w:val="true"/>
        </w:rPr>
        <w:t>(</w:t>
      </w:r>
      <w:r>
        <w:rPr>
          <w:rtl w:val="true"/>
        </w:rPr>
        <w:t xml:space="preserve">סגן הנשיא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א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פרקש</w:t>
      </w:r>
      <w:r>
        <w:rPr>
          <w:rtl w:val="true"/>
        </w:rPr>
        <w:t xml:space="preserve">) </w:t>
      </w:r>
      <w:r>
        <w:rPr>
          <w:rtl w:val="true"/>
        </w:rPr>
        <w:t>ב</w:t>
      </w:r>
      <w:hyperlink r:id="rId9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17707-04-14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 xml:space="preserve">מיום </w:t>
      </w:r>
      <w:r>
        <w:rPr>
          <w:rFonts w:cs="Century" w:ascii="Century" w:hAnsi="Century"/>
        </w:rPr>
        <w:t>24.12.201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 xml:space="preserve">במסגרתו הושת על המערער עונש של </w:t>
      </w:r>
      <w:r>
        <w:rPr/>
        <w:t>84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</w:t>
      </w:r>
      <w:r>
        <w:rPr>
          <w:rtl w:val="true"/>
        </w:rPr>
        <w:t>(</w:t>
      </w:r>
      <w:r>
        <w:rPr>
          <w:rtl w:val="true"/>
        </w:rPr>
        <w:t>בניכוי ימי מעצרו</w:t>
      </w:r>
      <w:r>
        <w:rPr>
          <w:rtl w:val="true"/>
        </w:rPr>
        <w:t xml:space="preserve">);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 מאסר על תנאי</w:t>
      </w:r>
      <w:r>
        <w:rPr>
          <w:rtl w:val="true"/>
        </w:rPr>
        <w:t xml:space="preserve">, </w:t>
      </w:r>
      <w:r>
        <w:rPr>
          <w:rtl w:val="true"/>
        </w:rPr>
        <w:t>למשך שלוש שנים מיום שחרורו מן המאסר</w:t>
      </w:r>
      <w:r>
        <w:rPr>
          <w:rtl w:val="true"/>
        </w:rPr>
        <w:t xml:space="preserve">, </w:t>
      </w:r>
      <w:r>
        <w:rPr>
          <w:rtl w:val="true"/>
        </w:rPr>
        <w:t>כשהתנאי הוא שלא יעבור עבירות נשק</w:t>
      </w:r>
      <w:r>
        <w:rPr>
          <w:rtl w:val="true"/>
        </w:rPr>
        <w:t xml:space="preserve">; </w:t>
      </w:r>
      <w:r>
        <w:rPr>
          <w:rtl w:val="true"/>
        </w:rPr>
        <w:t>ארבעה חודשי מאסר על תנאי</w:t>
      </w:r>
      <w:r>
        <w:rPr>
          <w:rtl w:val="true"/>
        </w:rPr>
        <w:t xml:space="preserve">, </w:t>
      </w:r>
      <w:r>
        <w:rPr>
          <w:rtl w:val="true"/>
        </w:rPr>
        <w:t xml:space="preserve">למשך </w:t>
      </w:r>
      <w:r>
        <w:rPr>
          <w:rFonts w:ascii="Century" w:hAnsi="Century" w:cs="Century"/>
          <w:rtl w:val="true"/>
        </w:rPr>
        <w:t>שלוש שנים מיום שחרורו מן המאסר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כשהתנאי הוא שלא יעבור עבירה לפי </w:t>
      </w:r>
      <w:hyperlink r:id="rId10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פקודת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הסמים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המסוכנים</w:t>
        </w:r>
      </w:hyperlink>
      <w:r>
        <w:rPr>
          <w:rFonts w:ascii="Century" w:hAnsi="Century" w:cs="Century"/>
          <w:rtl w:val="true"/>
        </w:rPr>
        <w:t xml:space="preserve"> </w:t>
      </w:r>
      <w:r>
        <w:rPr>
          <w:rFonts w:cs="Century" w:ascii="Century" w:hAnsi="Century"/>
          <w:rtl w:val="true"/>
        </w:rPr>
        <w:t>[</w:t>
      </w:r>
      <w:r>
        <w:rPr>
          <w:rFonts w:ascii="Century" w:hAnsi="Century" w:cs="Century"/>
          <w:rtl w:val="true"/>
        </w:rPr>
        <w:t>נוסח חדש</w:t>
      </w:r>
      <w:r>
        <w:rPr>
          <w:rFonts w:cs="Century" w:ascii="Century" w:hAnsi="Century"/>
          <w:rtl w:val="true"/>
        </w:rPr>
        <w:t xml:space="preserve">], </w:t>
      </w:r>
      <w:r>
        <w:rPr>
          <w:rFonts w:ascii="Century" w:hAnsi="Century" w:cs="Century"/>
          <w:rtl w:val="true"/>
        </w:rPr>
        <w:t>תשל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ג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1973</w:t>
      </w:r>
      <w:r>
        <w:rPr>
          <w:rFonts w:cs="Century" w:ascii="Century" w:hAnsi="Century"/>
          <w:rtl w:val="true"/>
        </w:rPr>
        <w:t xml:space="preserve"> (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פקודת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הסמים</w:t>
      </w:r>
      <w:r>
        <w:rPr>
          <w:rFonts w:cs="Century" w:ascii="Century" w:hAnsi="Century"/>
          <w:rtl w:val="true"/>
        </w:rPr>
        <w:t xml:space="preserve">); </w:t>
      </w:r>
      <w:r>
        <w:rPr>
          <w:rFonts w:ascii="Century" w:hAnsi="Century" w:cs="Century"/>
          <w:rtl w:val="true"/>
        </w:rPr>
        <w:t xml:space="preserve">קנס בסך </w:t>
      </w:r>
      <w:r>
        <w:rPr>
          <w:rFonts w:cs="Century" w:ascii="Century" w:hAnsi="Century"/>
        </w:rPr>
        <w:t>15,000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ח לתשלום ב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15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תשלומים חודשיים </w:t>
      </w:r>
      <w:r>
        <w:rPr>
          <w:rFonts w:cs="Century" w:ascii="Century" w:hAnsi="Century"/>
          <w:rtl w:val="true"/>
        </w:rPr>
        <w:t>(</w:t>
      </w:r>
      <w:r>
        <w:rPr>
          <w:rFonts w:ascii="Century" w:hAnsi="Century" w:cs="Century"/>
          <w:rtl w:val="true"/>
        </w:rPr>
        <w:t xml:space="preserve">או </w:t>
      </w:r>
      <w:r>
        <w:rPr>
          <w:rFonts w:cs="Century" w:ascii="Century" w:hAnsi="Century"/>
        </w:rPr>
        <w:t>15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בפועל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או חלקם היחסי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היה וסכום הקנס לא ישולם או שישולם בחלקו</w:t>
      </w:r>
      <w:r>
        <w:rPr>
          <w:rFonts w:cs="Century" w:ascii="Century" w:hAnsi="Century"/>
          <w:rtl w:val="true"/>
        </w:rPr>
        <w:t xml:space="preserve">); </w:t>
      </w:r>
      <w:r>
        <w:rPr>
          <w:rFonts w:ascii="Century" w:hAnsi="Century" w:cs="Century"/>
          <w:rtl w:val="true"/>
        </w:rPr>
        <w:t>ופסילת רישיון הנהיגה שלו למשך שנה</w:t>
      </w:r>
      <w:r>
        <w:rPr>
          <w:rFonts w:cs="Century" w:ascii="Century" w:hAnsi="Century"/>
          <w:rtl w:val="true"/>
        </w:rPr>
        <w:t>.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המערער הורשע על פי הודאתו במסגרת הסדר טיעון</w:t>
      </w:r>
      <w:r>
        <w:rPr>
          <w:rtl w:val="true"/>
        </w:rPr>
        <w:t xml:space="preserve">, </w:t>
      </w:r>
      <w:r>
        <w:rPr>
          <w:rtl w:val="true"/>
        </w:rPr>
        <w:t>ללא הסכמה לעניין העונש</w:t>
      </w:r>
      <w:r>
        <w:rPr>
          <w:rtl w:val="true"/>
        </w:rPr>
        <w:t xml:space="preserve">, </w:t>
      </w:r>
      <w:r>
        <w:rPr>
          <w:rtl w:val="true"/>
        </w:rPr>
        <w:t>בעובדות כתב אישום מתוקן בו יוחסו לו עבירות של תיווך בסם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1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12">
        <w:r>
          <w:rPr>
            <w:rStyle w:val="Hyperlink"/>
            <w:color w:val="0000FF"/>
            <w:u w:val="single"/>
          </w:rPr>
          <w:t>19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' </w:t>
      </w:r>
      <w:r>
        <w:rPr>
          <w:rtl w:val="true"/>
        </w:rPr>
        <w:t>לפקודת הסמים</w:t>
      </w:r>
      <w:r>
        <w:rPr>
          <w:rtl w:val="true"/>
        </w:rPr>
        <w:t xml:space="preserve">; </w:t>
      </w:r>
      <w:r>
        <w:rPr>
          <w:rtl w:val="true"/>
        </w:rPr>
        <w:t>שתי עבירות של עסקה בנשק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 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העונשין</w:t>
      </w:r>
      <w:r>
        <w:rPr>
          <w:rFonts w:cs="Century" w:ascii="Century" w:hAnsi="Century"/>
          <w:rtl w:val="true"/>
        </w:rPr>
        <w:t>)</w:t>
      </w:r>
      <w:r>
        <w:rPr>
          <w:rtl w:val="true"/>
        </w:rPr>
        <w:t xml:space="preserve">; </w:t>
      </w:r>
      <w:r>
        <w:rPr>
          <w:rtl w:val="true"/>
        </w:rPr>
        <w:t>ועבירה של ניסיון לעסקה בנשק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5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16">
        <w:r>
          <w:rPr>
            <w:rStyle w:val="Hyperlink"/>
          </w:rPr>
          <w:t>25</w:t>
        </w:r>
      </w:hyperlink>
      <w:r>
        <w:rPr>
          <w:rtl w:val="true"/>
        </w:rPr>
        <w:t xml:space="preserve"> </w:t>
      </w:r>
      <w:r>
        <w:rPr>
          <w:rtl w:val="true"/>
        </w:rPr>
        <w:t>לחוק העונשין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/>
      </w:pPr>
      <w:r>
        <w:rPr>
          <w:rFonts w:cs="Miriam"/>
          <w:szCs w:val="24"/>
          <w:rtl w:val="true"/>
        </w:rPr>
        <w:t>עובדות</w:t>
      </w:r>
      <w:r>
        <w:rPr>
          <w:rFonts w:eastAsia="Garamond"/>
          <w:szCs w:val="24"/>
          <w:rtl w:val="true"/>
        </w:rPr>
        <w:t xml:space="preserve"> </w:t>
      </w:r>
      <w:r>
        <w:rPr>
          <w:rFonts w:cs="Miriam"/>
          <w:szCs w:val="24"/>
          <w:rtl w:val="true"/>
        </w:rPr>
        <w:t>כתב</w:t>
      </w:r>
      <w:r>
        <w:rPr>
          <w:rFonts w:eastAsia="Garamond"/>
          <w:szCs w:val="24"/>
          <w:rtl w:val="true"/>
        </w:rPr>
        <w:t xml:space="preserve"> </w:t>
      </w:r>
      <w:r>
        <w:rPr>
          <w:rFonts w:cs="Miriam"/>
          <w:szCs w:val="24"/>
          <w:rtl w:val="true"/>
        </w:rPr>
        <w:t>האישום</w:t>
      </w:r>
      <w:r>
        <w:rPr>
          <w:rFonts w:eastAsia="Garamond"/>
          <w:szCs w:val="24"/>
          <w:rtl w:val="true"/>
        </w:rPr>
        <w:t xml:space="preserve"> </w:t>
      </w:r>
      <w:r>
        <w:rPr>
          <w:rFonts w:cs="Miriam"/>
          <w:szCs w:val="24"/>
          <w:rtl w:val="true"/>
        </w:rPr>
        <w:t>המתוקן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נ</w:t>
      </w:r>
      <w:r>
        <w:rPr>
          <w:rtl w:val="true"/>
        </w:rPr>
        <w:t>.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/>
        <w:t>7-13</w:t>
      </w:r>
      <w:r>
        <w:rPr>
          <w:rtl w:val="true"/>
        </w:rPr>
        <w:t xml:space="preserve"> </w:t>
      </w:r>
      <w:r>
        <w:rPr>
          <w:rtl w:val="true"/>
        </w:rPr>
        <w:t xml:space="preserve">הינו סוכן אשר שימש בתאריכים הרלוונטיים לכתב האישום כסוכן משטרתי שהיה בקשר עם המערער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cs="Miriam"/>
          <w:b/>
          <w:b/>
          <w:spacing w:val="0"/>
          <w:szCs w:val="24"/>
          <w:rtl w:val="true"/>
        </w:rPr>
        <w:t>הסוכן</w:t>
      </w:r>
      <w:r>
        <w:rPr>
          <w:rtl w:val="true"/>
        </w:rPr>
        <w:t xml:space="preserve">). </w:t>
      </w:r>
      <w:r>
        <w:rPr>
          <w:rtl w:val="true"/>
        </w:rPr>
        <w:t xml:space="preserve">על פי עובדות האישום </w:t>
      </w:r>
      <w:r>
        <w:rPr>
          <w:rFonts w:cs="Miriam"/>
          <w:b/>
          <w:b/>
          <w:spacing w:val="0"/>
          <w:szCs w:val="24"/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7.10.2013</w:t>
      </w:r>
      <w:r>
        <w:rPr>
          <w:rtl w:val="true"/>
        </w:rPr>
        <w:t xml:space="preserve"> </w:t>
      </w:r>
      <w:r>
        <w:rPr>
          <w:rtl w:val="true"/>
        </w:rPr>
        <w:t xml:space="preserve">התקשר הסוכן למערער על מנת לרכוש באמצעותו חצי </w:t>
      </w:r>
      <w:r>
        <w:rPr>
          <w:rtl w:val="true"/>
        </w:rPr>
        <w:t>"</w:t>
      </w:r>
      <w:r>
        <w:rPr>
          <w:rtl w:val="true"/>
        </w:rPr>
        <w:t>פלטת</w:t>
      </w:r>
      <w:r>
        <w:rPr>
          <w:rtl w:val="true"/>
        </w:rPr>
        <w:t xml:space="preserve">" </w:t>
      </w:r>
      <w:r>
        <w:rPr>
          <w:rtl w:val="true"/>
        </w:rPr>
        <w:t>חשיש</w:t>
      </w:r>
      <w:r>
        <w:rPr>
          <w:rtl w:val="true"/>
        </w:rPr>
        <w:t xml:space="preserve">. </w:t>
      </w:r>
      <w:r>
        <w:rPr>
          <w:rtl w:val="true"/>
        </w:rPr>
        <w:t>בהמשך לכך הוביל המערער את הסוכן</w:t>
      </w:r>
      <w:r>
        <w:rPr>
          <w:rtl w:val="true"/>
        </w:rPr>
        <w:t xml:space="preserve">, </w:t>
      </w:r>
      <w:r>
        <w:rPr>
          <w:rtl w:val="true"/>
        </w:rPr>
        <w:t>כשהשניים נוסעים ברכבו של הסוכן</w:t>
      </w:r>
      <w:r>
        <w:rPr>
          <w:rtl w:val="true"/>
        </w:rPr>
        <w:t xml:space="preserve">, </w:t>
      </w:r>
      <w:r>
        <w:rPr>
          <w:rtl w:val="true"/>
        </w:rPr>
        <w:t xml:space="preserve">לכיוון הכפר סילוואן למפגש עם מחמוד נבריסי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מחמוד</w:t>
      </w:r>
      <w:r>
        <w:rPr>
          <w:rtl w:val="true"/>
        </w:rPr>
        <w:t xml:space="preserve">). </w:t>
      </w:r>
      <w:r>
        <w:rPr>
          <w:rtl w:val="true"/>
        </w:rPr>
        <w:t>מחמוד נכנס לרכבו של הסוכן</w:t>
      </w:r>
      <w:r>
        <w:rPr>
          <w:rtl w:val="true"/>
        </w:rPr>
        <w:t xml:space="preserve">, </w:t>
      </w:r>
      <w:r>
        <w:rPr>
          <w:rtl w:val="true"/>
        </w:rPr>
        <w:t xml:space="preserve">ציין לפניו כי ברשותו </w:t>
      </w:r>
      <w:r>
        <w:rPr>
          <w:rtl w:val="true"/>
        </w:rPr>
        <w:t>"</w:t>
      </w:r>
      <w:r>
        <w:rPr>
          <w:rtl w:val="true"/>
        </w:rPr>
        <w:t>חומר טוב</w:t>
      </w:r>
      <w:r>
        <w:rPr>
          <w:rtl w:val="true"/>
        </w:rPr>
        <w:t xml:space="preserve">" </w:t>
      </w:r>
      <w:r>
        <w:rPr>
          <w:rtl w:val="true"/>
        </w:rPr>
        <w:t>והתקשר לאחיו</w:t>
      </w:r>
      <w:r>
        <w:rPr>
          <w:rtl w:val="true"/>
        </w:rPr>
        <w:t xml:space="preserve">, </w:t>
      </w:r>
      <w:r>
        <w:rPr>
          <w:rtl w:val="true"/>
        </w:rPr>
        <w:t xml:space="preserve">חאלד נבריסי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חאלד</w:t>
      </w:r>
      <w:r>
        <w:rPr>
          <w:rtl w:val="true"/>
        </w:rPr>
        <w:t xml:space="preserve">), </w:t>
      </w:r>
      <w:r>
        <w:rPr>
          <w:rtl w:val="true"/>
        </w:rPr>
        <w:t>אשר חבר אליהם במקום</w:t>
      </w:r>
      <w:r>
        <w:rPr>
          <w:rtl w:val="true"/>
        </w:rPr>
        <w:t xml:space="preserve">. </w:t>
      </w:r>
      <w:r>
        <w:rPr>
          <w:rtl w:val="true"/>
        </w:rPr>
        <w:t>לאחר דין ודברים בין הסוכן למחמוד וחאלד</w:t>
      </w:r>
      <w:r>
        <w:rPr>
          <w:rtl w:val="true"/>
        </w:rPr>
        <w:t xml:space="preserve">, </w:t>
      </w:r>
      <w:r>
        <w:rPr>
          <w:rtl w:val="true"/>
        </w:rPr>
        <w:t>נסעו כולם למקום שבו יימסר הסם לסוכן</w:t>
      </w:r>
      <w:r>
        <w:rPr>
          <w:rtl w:val="true"/>
        </w:rPr>
        <w:t xml:space="preserve">, </w:t>
      </w:r>
      <w:r>
        <w:rPr>
          <w:rtl w:val="true"/>
        </w:rPr>
        <w:t>כשמחמוד נסע עם הסוכן ברכבו של הסוכן והמערער נסע עם חאלד ברכב אחר</w:t>
      </w:r>
      <w:r>
        <w:rPr>
          <w:rtl w:val="true"/>
        </w:rPr>
        <w:t xml:space="preserve">. </w:t>
      </w:r>
      <w:r>
        <w:rPr>
          <w:rtl w:val="true"/>
        </w:rPr>
        <w:t>בהגיעם למקום</w:t>
      </w:r>
      <w:r>
        <w:rPr>
          <w:rtl w:val="true"/>
        </w:rPr>
        <w:t xml:space="preserve">, </w:t>
      </w:r>
      <w:r>
        <w:rPr>
          <w:rtl w:val="true"/>
        </w:rPr>
        <w:t xml:space="preserve">מסר חאלד </w:t>
      </w:r>
      <w:r>
        <w:rPr>
          <w:rtl w:val="true"/>
        </w:rPr>
        <w:t>"</w:t>
      </w:r>
      <w:r>
        <w:rPr>
          <w:rtl w:val="true"/>
        </w:rPr>
        <w:t>אצבע חשיש</w:t>
      </w:r>
      <w:r>
        <w:rPr>
          <w:rtl w:val="true"/>
        </w:rPr>
        <w:t xml:space="preserve">" </w:t>
      </w:r>
      <w:r>
        <w:rPr>
          <w:rtl w:val="true"/>
        </w:rPr>
        <w:t>לסוכן לשם בדיקת איכותה</w:t>
      </w:r>
      <w:r>
        <w:rPr>
          <w:rtl w:val="true"/>
        </w:rPr>
        <w:t xml:space="preserve">, </w:t>
      </w:r>
      <w:r>
        <w:rPr>
          <w:rtl w:val="true"/>
        </w:rPr>
        <w:t>ולאחר שהסוכן הביע שביעות רצון מטיב הסם</w:t>
      </w:r>
      <w:r>
        <w:rPr>
          <w:rtl w:val="true"/>
        </w:rPr>
        <w:t xml:space="preserve">, </w:t>
      </w:r>
      <w:r>
        <w:rPr>
          <w:rtl w:val="true"/>
        </w:rPr>
        <w:t>הצטייד חאלד מבית סמוך ב</w:t>
      </w:r>
      <w:r>
        <w:rPr>
          <w:rtl w:val="true"/>
        </w:rPr>
        <w:t>-</w:t>
      </w:r>
      <w:r>
        <w:rPr/>
        <w:t>40</w:t>
      </w:r>
      <w:r>
        <w:rPr>
          <w:rtl w:val="true"/>
        </w:rPr>
        <w:t xml:space="preserve"> "</w:t>
      </w:r>
      <w:r>
        <w:rPr>
          <w:rtl w:val="true"/>
        </w:rPr>
        <w:t>אצבעות</w:t>
      </w:r>
      <w:r>
        <w:rPr>
          <w:rtl w:val="true"/>
        </w:rPr>
        <w:t xml:space="preserve">" </w:t>
      </w:r>
      <w:r>
        <w:rPr>
          <w:rtl w:val="true"/>
        </w:rPr>
        <w:t>חשיש</w:t>
      </w:r>
      <w:r>
        <w:rPr>
          <w:rtl w:val="true"/>
        </w:rPr>
        <w:t xml:space="preserve">, </w:t>
      </w:r>
      <w:r>
        <w:rPr>
          <w:rtl w:val="true"/>
        </w:rPr>
        <w:t xml:space="preserve">במשקל כולל של </w:t>
      </w:r>
      <w:r>
        <w:rPr/>
        <w:t>27.15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tl w:val="true"/>
        </w:rPr>
        <w:t xml:space="preserve">, </w:t>
      </w:r>
      <w:r>
        <w:rPr>
          <w:rtl w:val="true"/>
        </w:rPr>
        <w:t>ומסרם לסוכן</w:t>
      </w:r>
      <w:r>
        <w:rPr>
          <w:rtl w:val="true"/>
        </w:rPr>
        <w:t xml:space="preserve">. </w:t>
      </w:r>
      <w:r>
        <w:rPr>
          <w:rtl w:val="true"/>
        </w:rPr>
        <w:t>בתמורה</w:t>
      </w:r>
      <w:r>
        <w:rPr>
          <w:rtl w:val="true"/>
        </w:rPr>
        <w:t xml:space="preserve">, </w:t>
      </w:r>
      <w:r>
        <w:rPr>
          <w:rtl w:val="true"/>
        </w:rPr>
        <w:t xml:space="preserve">שילם הסוכן למחמוד </w:t>
      </w:r>
      <w:r>
        <w:rPr/>
        <w:t>2,500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עבור הסם</w:t>
      </w:r>
      <w:r>
        <w:rPr>
          <w:rtl w:val="true"/>
        </w:rPr>
        <w:t xml:space="preserve">, </w:t>
      </w:r>
      <w:r>
        <w:rPr>
          <w:rtl w:val="true"/>
        </w:rPr>
        <w:t>ובהמשך</w:t>
      </w:r>
      <w:r>
        <w:rPr>
          <w:rtl w:val="true"/>
        </w:rPr>
        <w:t xml:space="preserve">, </w:t>
      </w:r>
      <w:r>
        <w:rPr>
          <w:rtl w:val="true"/>
        </w:rPr>
        <w:t xml:space="preserve">שילם הסוכן למערער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עבור שירותיו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 xml:space="preserve">על פי עובדות האישום </w:t>
      </w:r>
      <w:r>
        <w:rPr>
          <w:rFonts w:cs="Miriam"/>
          <w:b/>
          <w:b/>
          <w:spacing w:val="0"/>
          <w:szCs w:val="24"/>
          <w:rtl w:val="true"/>
        </w:rPr>
        <w:t>השני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3.11.2013</w:t>
      </w:r>
      <w:r>
        <w:rPr>
          <w:rtl w:val="true"/>
        </w:rPr>
        <w:t xml:space="preserve"> </w:t>
      </w:r>
      <w:r>
        <w:rPr>
          <w:rtl w:val="true"/>
        </w:rPr>
        <w:t xml:space="preserve">בשעה </w:t>
      </w:r>
      <w:r>
        <w:rPr/>
        <w:t>13:00</w:t>
      </w:r>
      <w:r>
        <w:rPr>
          <w:rtl w:val="true"/>
        </w:rPr>
        <w:t xml:space="preserve"> </w:t>
      </w:r>
      <w:r>
        <w:rPr>
          <w:rtl w:val="true"/>
        </w:rPr>
        <w:t>לערך</w:t>
      </w:r>
      <w:r>
        <w:rPr>
          <w:rtl w:val="true"/>
        </w:rPr>
        <w:t xml:space="preserve">, </w:t>
      </w:r>
      <w:r>
        <w:rPr>
          <w:rtl w:val="true"/>
        </w:rPr>
        <w:t xml:space="preserve">התקשר המערער לסוכן ואמר לו כי באפשרותו לארגן לו </w:t>
      </w:r>
      <w:r>
        <w:rPr>
          <w:rtl w:val="true"/>
        </w:rPr>
        <w:t>"</w:t>
      </w:r>
      <w:r>
        <w:rPr>
          <w:rtl w:val="true"/>
        </w:rPr>
        <w:t>שלושה ברזלים</w:t>
      </w:r>
      <w:r>
        <w:rPr>
          <w:rtl w:val="true"/>
        </w:rPr>
        <w:t xml:space="preserve">" </w:t>
      </w:r>
      <w:r>
        <w:rPr>
          <w:rtl w:val="true"/>
        </w:rPr>
        <w:t xml:space="preserve">כשכוונתו לשלושה כלי נשק שישמשו את הסוכן בסכסוך עם </w:t>
      </w:r>
      <w:r>
        <w:rPr>
          <w:rtl w:val="true"/>
        </w:rPr>
        <w:t>"</w:t>
      </w:r>
      <w:r>
        <w:rPr>
          <w:rtl w:val="true"/>
        </w:rPr>
        <w:t>חמולה</w:t>
      </w:r>
      <w:r>
        <w:rPr>
          <w:rtl w:val="true"/>
        </w:rPr>
        <w:t xml:space="preserve">", </w:t>
      </w:r>
      <w:r>
        <w:rPr>
          <w:rtl w:val="true"/>
        </w:rPr>
        <w:t>שהינו סיפור כיסוי שבדה הסוכן למערער</w:t>
      </w:r>
      <w:r>
        <w:rPr>
          <w:rtl w:val="true"/>
        </w:rPr>
        <w:t xml:space="preserve">. </w:t>
      </w:r>
      <w:r>
        <w:rPr>
          <w:rtl w:val="true"/>
        </w:rPr>
        <w:t>לאחר משא ומתן בין הסוכן למערער שכלל פגישה מקדמית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4.11.2013</w:t>
      </w:r>
      <w:r>
        <w:rPr>
          <w:rtl w:val="true"/>
        </w:rPr>
        <w:t xml:space="preserve">, </w:t>
      </w:r>
      <w:r>
        <w:rPr>
          <w:rtl w:val="true"/>
        </w:rPr>
        <w:t xml:space="preserve">בסמוך לשעה </w:t>
      </w:r>
      <w:r>
        <w:rPr/>
        <w:t>19:00</w:t>
      </w:r>
      <w:r>
        <w:rPr>
          <w:rtl w:val="true"/>
        </w:rPr>
        <w:t xml:space="preserve">, </w:t>
      </w:r>
      <w:r>
        <w:rPr>
          <w:rtl w:val="true"/>
        </w:rPr>
        <w:t xml:space="preserve">נפגש הסוכן עם המערער ומורשע נוסף בפרשה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cs="Miriam"/>
          <w:b/>
          <w:b/>
          <w:spacing w:val="0"/>
          <w:szCs w:val="24"/>
          <w:rtl w:val="true"/>
        </w:rPr>
        <w:t>דבש</w:t>
      </w:r>
      <w:r>
        <w:rPr>
          <w:rtl w:val="true"/>
        </w:rPr>
        <w:t xml:space="preserve">) </w:t>
      </w:r>
      <w:r>
        <w:rPr>
          <w:rtl w:val="true"/>
        </w:rPr>
        <w:t xml:space="preserve">בצור באהר על מנת לרכוש אקדח חצי אוטומט מסוג </w:t>
      </w:r>
      <w:r>
        <w:rPr/>
        <w:t>COLT</w:t>
      </w:r>
      <w:r>
        <w:rPr>
          <w:rtl w:val="true"/>
        </w:rPr>
        <w:t xml:space="preserve"> </w:t>
      </w:r>
      <w:r>
        <w:rPr>
          <w:rtl w:val="true"/>
        </w:rPr>
        <w:t xml:space="preserve">ומחסנית תואמת טעונת כדורים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cs="Miriam"/>
          <w:b/>
          <w:b/>
          <w:spacing w:val="0"/>
          <w:szCs w:val="24"/>
          <w:rtl w:val="true"/>
        </w:rPr>
        <w:t>האקדח</w:t>
      </w:r>
      <w:r>
        <w:rPr>
          <w:rtl w:val="true"/>
        </w:rPr>
        <w:t xml:space="preserve">). </w:t>
      </w:r>
      <w:r>
        <w:rPr>
          <w:rtl w:val="true"/>
        </w:rPr>
        <w:t>המערער ודבש נכנסו לרכבו של הסוכן ולאחר חילופי דברים שלף דבש את האקדח שהוסתר מתחת לחולצתו ומסר אותו לסוכן</w:t>
      </w:r>
      <w:r>
        <w:rPr>
          <w:rtl w:val="true"/>
        </w:rPr>
        <w:t xml:space="preserve">. </w:t>
      </w:r>
      <w:r>
        <w:rPr>
          <w:rtl w:val="true"/>
        </w:rPr>
        <w:t>בתמורה לאקדח</w:t>
      </w:r>
      <w:r>
        <w:rPr>
          <w:rtl w:val="true"/>
        </w:rPr>
        <w:t xml:space="preserve">, </w:t>
      </w:r>
      <w:r>
        <w:rPr>
          <w:rtl w:val="true"/>
        </w:rPr>
        <w:t>המחסנית והכדורים</w:t>
      </w:r>
      <w:r>
        <w:rPr>
          <w:rtl w:val="true"/>
        </w:rPr>
        <w:t xml:space="preserve">, </w:t>
      </w:r>
      <w:r>
        <w:rPr>
          <w:rtl w:val="true"/>
        </w:rPr>
        <w:t xml:space="preserve">מסר הסוכן למערער סכום של </w:t>
      </w:r>
      <w:r>
        <w:rPr/>
        <w:t>14,000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אותו העביר המערער לדבש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 xml:space="preserve">שילם הסוכן למערער סכום של 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עבור שירותיו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 xml:space="preserve">על פי האישום </w:t>
      </w:r>
      <w:r>
        <w:rPr>
          <w:rFonts w:cs="Miriam"/>
          <w:b/>
          <w:b/>
          <w:spacing w:val="0"/>
          <w:szCs w:val="24"/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10.11.2013</w:t>
      </w:r>
      <w:r>
        <w:rPr>
          <w:rtl w:val="true"/>
        </w:rPr>
        <w:t xml:space="preserve">, </w:t>
      </w:r>
      <w:r>
        <w:rPr>
          <w:rtl w:val="true"/>
        </w:rPr>
        <w:t xml:space="preserve">בשעה </w:t>
      </w:r>
      <w:r>
        <w:rPr/>
        <w:t>19:00</w:t>
      </w:r>
      <w:r>
        <w:rPr>
          <w:rtl w:val="true"/>
        </w:rPr>
        <w:t xml:space="preserve"> </w:t>
      </w:r>
      <w:r>
        <w:rPr>
          <w:rtl w:val="true"/>
        </w:rPr>
        <w:t>לערך</w:t>
      </w:r>
      <w:r>
        <w:rPr>
          <w:rtl w:val="true"/>
        </w:rPr>
        <w:t xml:space="preserve">, </w:t>
      </w:r>
      <w:r>
        <w:rPr>
          <w:rtl w:val="true"/>
        </w:rPr>
        <w:t>נפגשו הסוכן</w:t>
      </w:r>
      <w:r>
        <w:rPr>
          <w:rtl w:val="true"/>
        </w:rPr>
        <w:t xml:space="preserve">, </w:t>
      </w:r>
      <w:r>
        <w:rPr>
          <w:rtl w:val="true"/>
        </w:rPr>
        <w:t>המערער ודבש</w:t>
      </w:r>
      <w:r>
        <w:rPr>
          <w:rtl w:val="true"/>
        </w:rPr>
        <w:t xml:space="preserve">, </w:t>
      </w:r>
      <w:r>
        <w:rPr>
          <w:rtl w:val="true"/>
        </w:rPr>
        <w:t>ולאחר דין ודברים ביניהם</w:t>
      </w:r>
      <w:r>
        <w:rPr>
          <w:rtl w:val="true"/>
        </w:rPr>
        <w:t xml:space="preserve">, </w:t>
      </w:r>
      <w:r>
        <w:rPr>
          <w:rtl w:val="true"/>
        </w:rPr>
        <w:t>הציג דבש לסוכן תת מקלע ומחסנית</w:t>
      </w:r>
      <w:r>
        <w:rPr>
          <w:rtl w:val="true"/>
        </w:rPr>
        <w:t xml:space="preserve">. </w:t>
      </w:r>
      <w:r>
        <w:rPr>
          <w:rtl w:val="true"/>
        </w:rPr>
        <w:t>הסוכן בחן את תת המקלע ואת המחסנית וכשסיים לעשות כן מסר אותם לידיו של המערער</w:t>
      </w:r>
      <w:r>
        <w:rPr>
          <w:rtl w:val="true"/>
        </w:rPr>
        <w:t xml:space="preserve">, </w:t>
      </w:r>
      <w:r>
        <w:rPr>
          <w:rtl w:val="true"/>
        </w:rPr>
        <w:t>אשר הסליקם מתחת לחולצתו</w:t>
      </w:r>
      <w:r>
        <w:rPr>
          <w:rtl w:val="true"/>
        </w:rPr>
        <w:t xml:space="preserve">. </w:t>
      </w:r>
      <w:r>
        <w:rPr>
          <w:rtl w:val="true"/>
        </w:rPr>
        <w:t>בהמשך לכך</w:t>
      </w:r>
      <w:r>
        <w:rPr>
          <w:rtl w:val="true"/>
        </w:rPr>
        <w:t xml:space="preserve">, </w:t>
      </w:r>
      <w:r>
        <w:rPr>
          <w:rtl w:val="true"/>
        </w:rPr>
        <w:t xml:space="preserve">הציע דבש לסוכן לרכוש שני תתי מקלע ושלוש מחסניות תמורת </w:t>
      </w:r>
      <w:r>
        <w:rPr/>
        <w:t>15,000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 xml:space="preserve">ביום </w:t>
      </w:r>
      <w:r>
        <w:rPr/>
        <w:t>11.11.2013</w:t>
      </w:r>
      <w:r>
        <w:rPr>
          <w:rtl w:val="true"/>
        </w:rPr>
        <w:t xml:space="preserve"> </w:t>
      </w:r>
      <w:r>
        <w:rPr>
          <w:rtl w:val="true"/>
        </w:rPr>
        <w:t xml:space="preserve">בשעה </w:t>
      </w:r>
      <w:r>
        <w:rPr/>
        <w:t>17:00</w:t>
      </w:r>
      <w:r>
        <w:rPr>
          <w:rtl w:val="true"/>
        </w:rPr>
        <w:t xml:space="preserve"> </w:t>
      </w:r>
      <w:r>
        <w:rPr>
          <w:rtl w:val="true"/>
        </w:rPr>
        <w:t>לערך</w:t>
      </w:r>
      <w:r>
        <w:rPr>
          <w:rtl w:val="true"/>
        </w:rPr>
        <w:t xml:space="preserve">, </w:t>
      </w:r>
      <w:r>
        <w:rPr>
          <w:rtl w:val="true"/>
        </w:rPr>
        <w:t>נפגש הסוכן עם המערער ודבש בצור באהר</w:t>
      </w:r>
      <w:r>
        <w:rPr>
          <w:rtl w:val="true"/>
        </w:rPr>
        <w:t xml:space="preserve">, </w:t>
      </w:r>
      <w:r>
        <w:rPr>
          <w:rtl w:val="true"/>
        </w:rPr>
        <w:t>שהציגו לו תת מקלע מאולתר</w:t>
      </w:r>
      <w:r>
        <w:rPr>
          <w:rtl w:val="true"/>
        </w:rPr>
        <w:t xml:space="preserve">, </w:t>
      </w:r>
      <w:r>
        <w:rPr>
          <w:rtl w:val="true"/>
        </w:rPr>
        <w:t>שלטענתם היה תת המקלע שהראו לו יום קודם לכן</w:t>
      </w:r>
      <w:r>
        <w:rPr>
          <w:rtl w:val="true"/>
        </w:rPr>
        <w:t xml:space="preserve">, </w:t>
      </w:r>
      <w:r>
        <w:rPr>
          <w:rtl w:val="true"/>
        </w:rPr>
        <w:t>ודבש ביצע ירי הדגמה בתת מקלע זה</w:t>
      </w:r>
      <w:r>
        <w:rPr>
          <w:rtl w:val="true"/>
        </w:rPr>
        <w:t xml:space="preserve">, </w:t>
      </w:r>
      <w:r>
        <w:rPr>
          <w:rtl w:val="true"/>
        </w:rPr>
        <w:t>בסמוך לבית ספר במקום</w:t>
      </w:r>
      <w:r>
        <w:rPr>
          <w:rtl w:val="true"/>
        </w:rPr>
        <w:t xml:space="preserve">. </w:t>
      </w:r>
      <w:r>
        <w:rPr>
          <w:rtl w:val="true"/>
        </w:rPr>
        <w:t>לאחר מכן מסר דבש את תת המקלע המאולתר ומחסנית למערער שמסרם לסוכן</w:t>
      </w:r>
      <w:r>
        <w:rPr>
          <w:rtl w:val="true"/>
        </w:rPr>
        <w:t xml:space="preserve">. </w:t>
      </w:r>
      <w:r>
        <w:rPr>
          <w:rtl w:val="true"/>
        </w:rPr>
        <w:t>בתמורה</w:t>
      </w:r>
      <w:r>
        <w:rPr>
          <w:rtl w:val="true"/>
        </w:rPr>
        <w:t xml:space="preserve">, </w:t>
      </w:r>
      <w:r>
        <w:rPr>
          <w:rtl w:val="true"/>
        </w:rPr>
        <w:t xml:space="preserve">מסר הסוכן למערער סכום של </w:t>
      </w:r>
      <w:r>
        <w:rPr/>
        <w:t>15,000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עבור תת המקלע והמחסנית</w:t>
      </w:r>
      <w:r>
        <w:rPr>
          <w:rtl w:val="true"/>
        </w:rPr>
        <w:t xml:space="preserve">, </w:t>
      </w:r>
      <w:r>
        <w:rPr>
          <w:rtl w:val="true"/>
        </w:rPr>
        <w:t xml:space="preserve">בנוסף לסכום של 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 שיועד למערער עבור שירותיו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 xml:space="preserve">על פי עובדות האישום </w:t>
      </w:r>
      <w:r>
        <w:rPr>
          <w:rFonts w:cs="Miriam"/>
          <w:b/>
          <w:b/>
          <w:spacing w:val="0"/>
          <w:szCs w:val="24"/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1.4.2014</w:t>
      </w:r>
      <w:r>
        <w:rPr>
          <w:rtl w:val="true"/>
        </w:rPr>
        <w:t xml:space="preserve"> </w:t>
      </w:r>
      <w:r>
        <w:rPr>
          <w:rtl w:val="true"/>
        </w:rPr>
        <w:t xml:space="preserve">בשעה </w:t>
      </w:r>
      <w:r>
        <w:rPr/>
        <w:t>15:30</w:t>
      </w:r>
      <w:r>
        <w:rPr>
          <w:rtl w:val="true"/>
        </w:rPr>
        <w:t xml:space="preserve"> </w:t>
      </w:r>
      <w:r>
        <w:rPr>
          <w:rtl w:val="true"/>
        </w:rPr>
        <w:t>לערך</w:t>
      </w:r>
      <w:r>
        <w:rPr>
          <w:rtl w:val="true"/>
        </w:rPr>
        <w:t xml:space="preserve">, </w:t>
      </w:r>
      <w:r>
        <w:rPr>
          <w:rtl w:val="true"/>
        </w:rPr>
        <w:t xml:space="preserve">נפגש הסוכן עם המערער ועם אדם בשם עזמי עווד אללה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עזמי</w:t>
      </w:r>
      <w:r>
        <w:rPr>
          <w:rtl w:val="true"/>
        </w:rPr>
        <w:t xml:space="preserve">), </w:t>
      </w:r>
      <w:r>
        <w:rPr>
          <w:rtl w:val="true"/>
        </w:rPr>
        <w:t xml:space="preserve">כדי לרכוש אקדח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האקדח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הנוסף</w:t>
      </w:r>
      <w:r>
        <w:rPr>
          <w:rtl w:val="true"/>
        </w:rPr>
        <w:t xml:space="preserve">) </w:t>
      </w:r>
      <w:r>
        <w:rPr>
          <w:rtl w:val="true"/>
        </w:rPr>
        <w:t>ומחסנית</w:t>
      </w:r>
      <w:r>
        <w:rPr>
          <w:rtl w:val="true"/>
        </w:rPr>
        <w:t xml:space="preserve">. </w:t>
      </w:r>
      <w:r>
        <w:rPr>
          <w:rtl w:val="true"/>
        </w:rPr>
        <w:t>בשלב מסוים הוציא עזמי את האקדח הנוסף והמחסנית מתחת לחולצתו ומסרם לידי הסוכן כדי שיבדוק את תקינותם</w:t>
      </w:r>
      <w:r>
        <w:rPr>
          <w:rtl w:val="true"/>
        </w:rPr>
        <w:t xml:space="preserve">. </w:t>
      </w:r>
      <w:r>
        <w:rPr>
          <w:rtl w:val="true"/>
        </w:rPr>
        <w:t>הסוכן בחן את תקינות האקדח הנוסף ומסר את המחסנית לידי המערער</w:t>
      </w:r>
      <w:r>
        <w:rPr>
          <w:rtl w:val="true"/>
        </w:rPr>
        <w:t xml:space="preserve">, </w:t>
      </w:r>
      <w:r>
        <w:rPr>
          <w:rtl w:val="true"/>
        </w:rPr>
        <w:t>שהחל טוען אותה בכדורים</w:t>
      </w:r>
      <w:r>
        <w:rPr>
          <w:rtl w:val="true"/>
        </w:rPr>
        <w:t xml:space="preserve">. </w:t>
      </w:r>
      <w:r>
        <w:rPr>
          <w:rtl w:val="true"/>
        </w:rPr>
        <w:t>בשלב זה הגיעו סוכנים למקום ועצרו את עזמי ואת המערער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תסקיר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שירות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המבחן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Fonts w:ascii="Century" w:hAnsi="Century" w:cs="Century"/>
          <w:sz w:val="22"/>
          <w:sz w:val="22"/>
          <w:rtl w:val="true"/>
        </w:rPr>
        <w:t xml:space="preserve">בתסקיר שירות המבחן שהוגש לבית המשפט המחוזי בעניינו של המערער צוין כי מדובר בצעיר בן </w:t>
      </w:r>
      <w:r>
        <w:rPr>
          <w:rFonts w:cs="Century" w:ascii="Century" w:hAnsi="Century"/>
          <w:sz w:val="22"/>
        </w:rPr>
        <w:t>19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שסיים שבע שנות לימוד</w:t>
      </w:r>
      <w:r>
        <w:rPr>
          <w:rtl w:val="true"/>
        </w:rPr>
        <w:t xml:space="preserve"> וטרם מעצרו עבד בעבודות שיפוצים מזדמנות</w:t>
      </w:r>
      <w:r>
        <w:rPr>
          <w:rtl w:val="true"/>
        </w:rPr>
        <w:t xml:space="preserve">. </w:t>
      </w:r>
      <w:r>
        <w:rPr>
          <w:rtl w:val="true"/>
        </w:rPr>
        <w:t>כן צוין כי אביו של המערער הוא עבריין שריצה עונשי מאסר ארוכים לאורך השנים בגין הרשעותיו בעבירות אלימות וסמים</w:t>
      </w:r>
      <w:r>
        <w:rPr>
          <w:rtl w:val="true"/>
        </w:rPr>
        <w:t xml:space="preserve">, </w:t>
      </w:r>
      <w:r>
        <w:rPr>
          <w:rtl w:val="true"/>
        </w:rPr>
        <w:t>וכן כי בבית הוריו של המערער שררה מצוקה כלכלית קשה לאורך ילדותו</w:t>
      </w:r>
      <w:r>
        <w:rPr>
          <w:rtl w:val="true"/>
        </w:rPr>
        <w:t xml:space="preserve">. </w:t>
      </w:r>
      <w:r>
        <w:rPr>
          <w:rtl w:val="true"/>
        </w:rPr>
        <w:t>עוד עלה מהתסקיר</w:t>
      </w:r>
      <w:r>
        <w:rPr>
          <w:rtl w:val="true"/>
        </w:rPr>
        <w:t xml:space="preserve">, </w:t>
      </w:r>
      <w:r>
        <w:rPr>
          <w:rtl w:val="true"/>
        </w:rPr>
        <w:t>כי המערער נעדר עבר פלילי וכי הוא לוקח אחריות על מעשיו</w:t>
      </w:r>
      <w:r>
        <w:rPr>
          <w:rtl w:val="true"/>
        </w:rPr>
        <w:t xml:space="preserve">, </w:t>
      </w:r>
      <w:r>
        <w:rPr>
          <w:rtl w:val="true"/>
        </w:rPr>
        <w:t>שלטענתו בוצעו בשל מצוקה כלכלית</w:t>
      </w:r>
      <w:r>
        <w:rPr>
          <w:rtl w:val="true"/>
        </w:rPr>
        <w:t xml:space="preserve">. </w:t>
      </w:r>
      <w:r>
        <w:rPr>
          <w:rtl w:val="true"/>
        </w:rPr>
        <w:t>שירות המבחן סבר כי המערער יתקשה לעמוד בעונש מאסר שירוצה בעבודות שירות והמליץ להשית עליו עונש מאסר בפועל לתקופה קצרה יחסית</w:t>
      </w:r>
      <w:r>
        <w:rPr>
          <w:rtl w:val="true"/>
        </w:rPr>
        <w:t xml:space="preserve">, </w:t>
      </w:r>
      <w:r>
        <w:rPr>
          <w:rtl w:val="true"/>
        </w:rPr>
        <w:t>שיגלם הצבת גבול לצד הכרה שמדובר בבחור צעיר שעומד לדין לראשונה</w:t>
      </w:r>
      <w:r>
        <w:rPr>
          <w:rtl w:val="true"/>
        </w:rPr>
        <w:t xml:space="preserve">. </w:t>
      </w:r>
      <w:r>
        <w:rPr>
          <w:rtl w:val="true"/>
        </w:rPr>
        <w:t>כן הומלץ להשית עליו עונש מרתיע בדרך של מאסר מותנה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/>
      </w:pPr>
      <w:r>
        <w:rPr>
          <w:rFonts w:ascii="Century" w:hAnsi="Century" w:cs="Miriam"/>
          <w:b/>
          <w:b/>
          <w:szCs w:val="24"/>
          <w:rtl w:val="true"/>
        </w:rPr>
        <w:t>טיעוני</w:t>
      </w:r>
      <w:r>
        <w:rPr>
          <w:rFonts w:ascii="Century" w:hAnsi="Century" w:eastAsia="Century" w:cs="Century"/>
          <w:b/>
          <w:b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zCs w:val="24"/>
          <w:rtl w:val="true"/>
        </w:rPr>
        <w:t>הצדדים</w:t>
      </w:r>
      <w:r>
        <w:rPr>
          <w:rFonts w:ascii="Century" w:hAnsi="Century" w:eastAsia="Century" w:cs="Century"/>
          <w:b/>
          <w:b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zCs w:val="24"/>
          <w:rtl w:val="true"/>
        </w:rPr>
        <w:t>לעונש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בטיעוניו לעונש</w:t>
      </w:r>
      <w:r>
        <w:rPr>
          <w:rtl w:val="true"/>
        </w:rPr>
        <w:t xml:space="preserve">, </w:t>
      </w:r>
      <w:r>
        <w:rPr>
          <w:rtl w:val="true"/>
        </w:rPr>
        <w:t>טען המערער כי בביצוע עבירת הסחר בסמים שימש כמתווך שולי בלבד שרווחו הסתכם בכ</w:t>
      </w:r>
      <w:r>
        <w:rPr>
          <w:rtl w:val="true"/>
        </w:rPr>
        <w:t>-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נסיבות שלטענתו מצדיקות מתחם עונש המתחיל במאסר שירוצה בעבודות שירות עד למספר מצומצם של חודשי מאסר בפועל</w:t>
      </w:r>
      <w:r>
        <w:rPr>
          <w:rtl w:val="true"/>
        </w:rPr>
        <w:t xml:space="preserve">. </w:t>
      </w:r>
      <w:r>
        <w:rPr>
          <w:rtl w:val="true"/>
        </w:rPr>
        <w:t>לעניין עבירות הסחר בנשק</w:t>
      </w:r>
      <w:r>
        <w:rPr>
          <w:rtl w:val="true"/>
        </w:rPr>
        <w:t xml:space="preserve">, </w:t>
      </w:r>
      <w:r>
        <w:rPr>
          <w:rtl w:val="true"/>
        </w:rPr>
        <w:t>טען המערער כי התפקיד שמילא בסחר בנשקים היה ברף הנמוך של עבירת הסחר וקרוב לעבירה של סיוע</w:t>
      </w:r>
      <w:r>
        <w:rPr>
          <w:rtl w:val="true"/>
        </w:rPr>
        <w:t xml:space="preserve">. </w:t>
      </w:r>
      <w:r>
        <w:rPr>
          <w:rtl w:val="true"/>
        </w:rPr>
        <w:t>נוכח כך ובהתייחס לנסיבותיו האישיות ולטענתו שפניו לשיקום</w:t>
      </w:r>
      <w:r>
        <w:rPr>
          <w:rtl w:val="true"/>
        </w:rPr>
        <w:t xml:space="preserve">, </w:t>
      </w:r>
      <w:r>
        <w:rPr>
          <w:rtl w:val="true"/>
        </w:rPr>
        <w:t xml:space="preserve">טען המערער כי על מתחם העונש בעניינו בגין עבירות הסחר בנשק לנוע בין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; </w:t>
      </w:r>
      <w:r>
        <w:rPr>
          <w:rtl w:val="true"/>
        </w:rPr>
        <w:t>כי יש לקבוע מתחם נמוך מזה בגין עבירת הניסיון בסחר בנשק</w:t>
      </w:r>
      <w:r>
        <w:rPr>
          <w:rtl w:val="true"/>
        </w:rPr>
        <w:t xml:space="preserve">; </w:t>
      </w:r>
      <w:r>
        <w:rPr>
          <w:rtl w:val="true"/>
        </w:rPr>
        <w:t>וכי יש להשית עליו עונש שנמצא בתחתית כל אחד מהמתחמים</w:t>
      </w:r>
      <w:r>
        <w:rPr>
          <w:rtl w:val="true"/>
        </w:rPr>
        <w:t xml:space="preserve">, </w:t>
      </w:r>
      <w:r>
        <w:rPr>
          <w:rtl w:val="true"/>
        </w:rPr>
        <w:t>ואף לחרוג מהמתחמים לקולא</w:t>
      </w:r>
      <w:r>
        <w:rPr>
          <w:rtl w:val="true"/>
        </w:rPr>
        <w:t xml:space="preserve">, </w:t>
      </w:r>
      <w:r>
        <w:rPr>
          <w:rtl w:val="true"/>
        </w:rPr>
        <w:t>בשל נסיבותיו האישיות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טען המערער כי נסיבות ביצוע העבירות מצדיקות קביעת מתחם עונש כולל אחד לכל העבירות בהן הורשע</w:t>
      </w:r>
      <w:r>
        <w:rPr>
          <w:rtl w:val="true"/>
        </w:rPr>
        <w:t xml:space="preserve">, </w:t>
      </w:r>
      <w:r>
        <w:rPr>
          <w:rtl w:val="true"/>
        </w:rPr>
        <w:t>או לחילופין</w:t>
      </w:r>
      <w:r>
        <w:rPr>
          <w:rtl w:val="true"/>
        </w:rPr>
        <w:t xml:space="preserve">, </w:t>
      </w:r>
      <w:r>
        <w:rPr>
          <w:rtl w:val="true"/>
        </w:rPr>
        <w:t>מצדיקות להורות שתקופות המאסר בפועל או מקצתן תרוצנה בחופף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בטיעוניה לעונש</w:t>
      </w:r>
      <w:r>
        <w:rPr>
          <w:rtl w:val="true"/>
        </w:rPr>
        <w:t xml:space="preserve">, </w:t>
      </w:r>
      <w:r>
        <w:rPr>
          <w:rtl w:val="true"/>
        </w:rPr>
        <w:t>עמדה המשיבה על נסיבות מעשיו של המערער</w:t>
      </w:r>
      <w:r>
        <w:rPr>
          <w:rtl w:val="true"/>
        </w:rPr>
        <w:t xml:space="preserve">; </w:t>
      </w:r>
      <w:r>
        <w:rPr>
          <w:rtl w:val="true"/>
        </w:rPr>
        <w:t>על נסיבותיו האישיות של המערער</w:t>
      </w:r>
      <w:r>
        <w:rPr>
          <w:rtl w:val="true"/>
        </w:rPr>
        <w:t xml:space="preserve">; </w:t>
      </w:r>
      <w:r>
        <w:rPr>
          <w:rtl w:val="true"/>
        </w:rPr>
        <w:t>על הפגיעה בערכים המוגנים העומדים בבסיס כל אחת מהעבירות המיוחסות לו</w:t>
      </w:r>
      <w:r>
        <w:rPr>
          <w:rtl w:val="true"/>
        </w:rPr>
        <w:t xml:space="preserve">; </w:t>
      </w:r>
      <w:r>
        <w:rPr>
          <w:rtl w:val="true"/>
        </w:rPr>
        <w:t>על הצורך למגר מהחברה הן את התופעה של הסחר בנשק והן את התופעה של הסחר בסמים</w:t>
      </w:r>
      <w:r>
        <w:rPr>
          <w:rtl w:val="true"/>
        </w:rPr>
        <w:t xml:space="preserve">; </w:t>
      </w:r>
      <w:r>
        <w:rPr>
          <w:rtl w:val="true"/>
        </w:rPr>
        <w:t>ועל רף הענישה הנוהג במקרים דומים</w:t>
      </w:r>
      <w:r>
        <w:rPr>
          <w:rtl w:val="true"/>
        </w:rPr>
        <w:t xml:space="preserve">. </w:t>
      </w:r>
      <w:r>
        <w:rPr>
          <w:rtl w:val="true"/>
        </w:rPr>
        <w:t>על רקע האמור</w:t>
      </w:r>
      <w:r>
        <w:rPr>
          <w:rtl w:val="true"/>
        </w:rPr>
        <w:t xml:space="preserve">, </w:t>
      </w:r>
      <w:r>
        <w:rPr>
          <w:rtl w:val="true"/>
        </w:rPr>
        <w:t>טענה המשיבה כי על מתחם עונשו לנוע בין שבע ל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 מאסר בפועל בגין האישום הראשון</w:t>
      </w:r>
      <w:r>
        <w:rPr>
          <w:rtl w:val="true"/>
        </w:rPr>
        <w:t xml:space="preserve">; </w:t>
      </w:r>
      <w:r>
        <w:rPr>
          <w:rtl w:val="true"/>
        </w:rPr>
        <w:t xml:space="preserve">בין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 מאסר בפועל בגין הרשעתו באישום השני ובאישום הרביעי</w:t>
      </w:r>
      <w:r>
        <w:rPr>
          <w:rtl w:val="true"/>
        </w:rPr>
        <w:t xml:space="preserve">; </w:t>
      </w:r>
      <w:r>
        <w:rPr>
          <w:rtl w:val="true"/>
        </w:rPr>
        <w:t xml:space="preserve">בין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חודשי מאסר בפועל בגין הרשעתו באישום השלישי</w:t>
      </w:r>
      <w:r>
        <w:rPr>
          <w:rtl w:val="true"/>
        </w:rPr>
        <w:t xml:space="preserve">; </w:t>
      </w:r>
      <w:r>
        <w:rPr>
          <w:rtl w:val="true"/>
        </w:rPr>
        <w:t>וכי בסופו של דבר יש להשית עליו את עונש המאסר בפועל במצטבר</w:t>
      </w:r>
      <w:r>
        <w:rPr>
          <w:rtl w:val="true"/>
        </w:rPr>
        <w:t xml:space="preserve">, </w:t>
      </w:r>
      <w:r>
        <w:rPr>
          <w:rtl w:val="true"/>
        </w:rPr>
        <w:t>כך שעונשו הכולל יעמוד על תשע שנות מאסר בפועל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/>
      </w:pPr>
      <w:r>
        <w:rPr>
          <w:rFonts w:ascii="Century" w:hAnsi="Century" w:cs="Miriam"/>
          <w:b/>
          <w:b/>
          <w:spacing w:val="0"/>
          <w:szCs w:val="24"/>
          <w:rtl w:val="true"/>
        </w:rPr>
        <w:t>גזר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דינו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המשפט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המחוזי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בית המשפט המחוזי עמד על נסיבות ביצוע כל אחת מהעבירות</w:t>
      </w:r>
      <w:r>
        <w:rPr>
          <w:rtl w:val="true"/>
        </w:rPr>
        <w:t xml:space="preserve">; </w:t>
      </w:r>
      <w:r>
        <w:rPr>
          <w:rtl w:val="true"/>
        </w:rPr>
        <w:t>על הערכים המוגנים ביסוד עבירות אלה</w:t>
      </w:r>
      <w:r>
        <w:rPr>
          <w:rtl w:val="true"/>
        </w:rPr>
        <w:t xml:space="preserve">; </w:t>
      </w:r>
      <w:r>
        <w:rPr>
          <w:rtl w:val="true"/>
        </w:rPr>
        <w:t>ועל השיקולים המנחים לקביעת מתחם העונש</w:t>
      </w:r>
      <w:r>
        <w:rPr>
          <w:rtl w:val="true"/>
        </w:rPr>
        <w:t xml:space="preserve">, </w:t>
      </w:r>
      <w:r>
        <w:rPr>
          <w:rtl w:val="true"/>
        </w:rPr>
        <w:t>וקבע מתחמי עונש נפרדים בעניינו של המערער כדלקמן</w:t>
      </w:r>
      <w:r>
        <w:rPr>
          <w:rtl w:val="true"/>
        </w:rPr>
        <w:t xml:space="preserve">: </w:t>
      </w:r>
      <w:r>
        <w:rPr>
          <w:rtl w:val="true"/>
        </w:rPr>
        <w:t>בין שישה חודשי מאסר שירוצו בעבודות שירות ל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הראשון</w:t>
      </w:r>
      <w:r>
        <w:rPr>
          <w:rtl w:val="true"/>
        </w:rPr>
        <w:t xml:space="preserve">;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 xml:space="preserve">עד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השני</w:t>
      </w:r>
      <w:r>
        <w:rPr>
          <w:rtl w:val="true"/>
        </w:rPr>
        <w:t xml:space="preserve">;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 xml:space="preserve">עד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השלישי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 xml:space="preserve">עד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הרביעי</w:t>
      </w:r>
      <w:r>
        <w:rPr>
          <w:rtl w:val="true"/>
        </w:rPr>
        <w:t xml:space="preserve">. </w:t>
      </w:r>
      <w:r>
        <w:rPr>
          <w:rtl w:val="true"/>
        </w:rPr>
        <w:t>בית המשפט עמד</w:t>
      </w:r>
      <w:r>
        <w:rPr>
          <w:rtl w:val="true"/>
        </w:rPr>
        <w:t xml:space="preserve">, </w:t>
      </w:r>
      <w:r>
        <w:rPr>
          <w:rtl w:val="true"/>
        </w:rPr>
        <w:t>בין היתר</w:t>
      </w:r>
      <w:r>
        <w:rPr>
          <w:rtl w:val="true"/>
        </w:rPr>
        <w:t xml:space="preserve">, </w:t>
      </w:r>
      <w:r>
        <w:rPr>
          <w:rtl w:val="true"/>
        </w:rPr>
        <w:t xml:space="preserve">על נסיבותיו האישיות של המערער ועל התסקיר בעניינו וקבע עונש מאסר בפועל של שלושה חודשים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הראשון</w:t>
      </w:r>
      <w:r>
        <w:rPr>
          <w:rtl w:val="true"/>
        </w:rPr>
        <w:t xml:space="preserve">;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 xml:space="preserve">חודשים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השני</w:t>
      </w:r>
      <w:r>
        <w:rPr>
          <w:rtl w:val="true"/>
        </w:rPr>
        <w:t xml:space="preserve">; </w:t>
      </w:r>
      <w:r>
        <w:rPr/>
        <w:t>42</w:t>
      </w:r>
      <w:r>
        <w:rPr>
          <w:rtl w:val="true"/>
        </w:rPr>
        <w:t xml:space="preserve"> </w:t>
      </w:r>
      <w:r>
        <w:rPr>
          <w:rtl w:val="true"/>
        </w:rPr>
        <w:t xml:space="preserve">חודשים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השלישי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 xml:space="preserve">חודשים בגין האישום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הרביעי</w:t>
      </w:r>
      <w:r>
        <w:rPr>
          <w:rtl w:val="true"/>
        </w:rPr>
        <w:t xml:space="preserve">, </w:t>
      </w:r>
      <w:r>
        <w:rPr>
          <w:rtl w:val="true"/>
        </w:rPr>
        <w:t>שירוצו במלואם באופן מצטבר</w:t>
      </w:r>
      <w:r>
        <w:rPr>
          <w:rtl w:val="true"/>
        </w:rPr>
        <w:t xml:space="preserve">. </w:t>
      </w:r>
      <w:r>
        <w:rPr>
          <w:rtl w:val="true"/>
        </w:rPr>
        <w:t>זאת לצד ענישה נלווית</w:t>
      </w:r>
      <w:r>
        <w:rPr>
          <w:rtl w:val="true"/>
        </w:rPr>
        <w:t xml:space="preserve">, </w:t>
      </w:r>
      <w:r>
        <w:rPr>
          <w:rtl w:val="true"/>
        </w:rPr>
        <w:t>כאמור ברישא</w:t>
      </w:r>
      <w:r>
        <w:rPr>
          <w:rtl w:val="true"/>
        </w:rPr>
        <w:t>.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לשם השלמת התמונה יצוין כי דבש הורשע</w:t>
      </w:r>
      <w:r>
        <w:rPr>
          <w:rtl w:val="true"/>
        </w:rPr>
        <w:t xml:space="preserve">, </w:t>
      </w:r>
      <w:r>
        <w:rPr>
          <w:rtl w:val="true"/>
        </w:rPr>
        <w:t>על פי הודאתו במסגרת אותו הסדר טיעון לעיל</w:t>
      </w:r>
      <w:r>
        <w:rPr>
          <w:rtl w:val="true"/>
        </w:rPr>
        <w:t xml:space="preserve">, </w:t>
      </w:r>
      <w:r>
        <w:rPr>
          <w:rtl w:val="true"/>
        </w:rPr>
        <w:t>בשתי עבירות של עסקה בנשק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7">
        <w:r>
          <w:rPr>
            <w:rStyle w:val="Hyperlink"/>
            <w:rtl w:val="true"/>
          </w:rPr>
          <w:t>סעיף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</w:rPr>
          <w:t>2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 xml:space="preserve">והושת עליו עונש של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 xml:space="preserve">חודשי מאסר בפועל </w:t>
      </w:r>
      <w:r>
        <w:rPr>
          <w:rtl w:val="true"/>
        </w:rPr>
        <w:t>(</w:t>
      </w:r>
      <w:r>
        <w:rPr>
          <w:rtl w:val="true"/>
        </w:rPr>
        <w:t>בניכוי ימי מעצרו</w:t>
      </w:r>
      <w:r>
        <w:rPr>
          <w:rtl w:val="true"/>
        </w:rPr>
        <w:t xml:space="preserve">) </w:t>
      </w:r>
      <w:r>
        <w:rPr>
          <w:rtl w:val="true"/>
        </w:rPr>
        <w:t>וענישה נלווית</w:t>
      </w:r>
      <w:r>
        <w:rPr>
          <w:rtl w:val="true"/>
        </w:rPr>
        <w:t xml:space="preserve">. </w:t>
      </w:r>
      <w:r>
        <w:rPr>
          <w:rtl w:val="true"/>
        </w:rPr>
        <w:t xml:space="preserve">ביום </w:t>
      </w:r>
      <w:r>
        <w:rPr/>
        <w:t>26.11.2015</w:t>
      </w:r>
      <w:r>
        <w:rPr>
          <w:rtl w:val="true"/>
        </w:rPr>
        <w:t xml:space="preserve"> </w:t>
      </w:r>
      <w:r>
        <w:rPr>
          <w:rtl w:val="true"/>
        </w:rPr>
        <w:t>קיימנו דיון בערעורו של דבש על חומרת עונשו</w:t>
      </w:r>
      <w:r>
        <w:rPr>
          <w:rtl w:val="true"/>
        </w:rPr>
        <w:t xml:space="preserve">, </w:t>
      </w:r>
      <w:r>
        <w:rPr>
          <w:rtl w:val="true"/>
        </w:rPr>
        <w:t>ובפסק דיננו קיצרנו את עונש המאסר בפועל בשישה חודשים</w:t>
      </w:r>
      <w:r>
        <w:rPr>
          <w:rtl w:val="true"/>
        </w:rPr>
        <w:t xml:space="preserve">; </w:t>
      </w:r>
      <w:r>
        <w:rPr>
          <w:rtl w:val="true"/>
        </w:rPr>
        <w:t>והפחתנו את עונש המאסר כנגד אי תשלום הקנס שהושת עליו</w:t>
      </w:r>
      <w:r>
        <w:rPr>
          <w:rtl w:val="true"/>
        </w:rPr>
        <w:t xml:space="preserve">, </w:t>
      </w:r>
      <w:r>
        <w:rPr>
          <w:rtl w:val="true"/>
        </w:rPr>
        <w:t xml:space="preserve">והעמדנו אותו על חמישה חודשי מאסר בפועל חלף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חודשים שקבע בית המשפט המחוזי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נימוקי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הערעור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המערער טוען – באמצעות בא כוחו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 עיסא מחמדיה – כי שגה בית המשפט המחוזי כאשר השית עליו עונש שסוטה לחומרה מרמת הענישה הנהוגה במקרים דומים</w:t>
      </w:r>
      <w:r>
        <w:rPr>
          <w:rtl w:val="true"/>
        </w:rPr>
        <w:t xml:space="preserve">. </w:t>
      </w:r>
      <w:r>
        <w:rPr>
          <w:rtl w:val="true"/>
        </w:rPr>
        <w:t>בתוך כך טוען המערער כי מתחמי העונש שנקבעו בעניינו חורגים לחומרה ממתחמי עונש שנקבעו במקרים דומים</w:t>
      </w:r>
      <w:r>
        <w:rPr>
          <w:rtl w:val="true"/>
        </w:rPr>
        <w:t xml:space="preserve">; </w:t>
      </w:r>
      <w:r>
        <w:rPr>
          <w:rtl w:val="true"/>
        </w:rPr>
        <w:t>כי נוכח נסיבות מעשיו היה על בית המשפט לקבוע בעניינו מתחם עונש אחד כולל לכל העבירות בהן הורשע</w:t>
      </w:r>
      <w:r>
        <w:rPr>
          <w:rtl w:val="true"/>
        </w:rPr>
        <w:t xml:space="preserve">; </w:t>
      </w:r>
      <w:r>
        <w:rPr>
          <w:rtl w:val="true"/>
        </w:rPr>
        <w:t>וכי קביעת עונש המאסר בפועל שהושת עליו בתוך המתחם חורגת לחומרה מנסיבות העניין</w:t>
      </w:r>
      <w:r>
        <w:rPr>
          <w:rtl w:val="true"/>
        </w:rPr>
        <w:t xml:space="preserve">, </w:t>
      </w:r>
      <w:r>
        <w:rPr>
          <w:rtl w:val="true"/>
        </w:rPr>
        <w:t>סוטה מהמלצת התסקיר בעניינו ואינה לוקחת בחשבון את נסיבותיו האישיות</w:t>
      </w:r>
      <w:r>
        <w:rPr>
          <w:rtl w:val="true"/>
        </w:rPr>
        <w:t xml:space="preserve">. </w:t>
      </w:r>
      <w:r>
        <w:rPr>
          <w:rtl w:val="true"/>
        </w:rPr>
        <w:t>בנוסף לכך</w:t>
      </w:r>
      <w:r>
        <w:rPr>
          <w:rtl w:val="true"/>
        </w:rPr>
        <w:t xml:space="preserve">, </w:t>
      </w:r>
      <w:r>
        <w:rPr>
          <w:rtl w:val="true"/>
        </w:rPr>
        <w:t>טוען המערער כי יש להפחית מסכום הקנס שהוטל עליו על רקע מצבם הכלכלי הקשה שלו ושל משפחתו</w:t>
      </w:r>
      <w:r>
        <w:rPr>
          <w:rtl w:val="true"/>
        </w:rPr>
        <w:t>.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המשיבה טוענת – באמצעות באת כוחה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 עילית מידן – כי נוכח חומרת העבירות בהן הורשע המערער</w:t>
      </w:r>
      <w:r>
        <w:rPr>
          <w:rtl w:val="true"/>
        </w:rPr>
        <w:t xml:space="preserve">, </w:t>
      </w:r>
      <w:r>
        <w:rPr>
          <w:rtl w:val="true"/>
        </w:rPr>
        <w:t>אין להתערב בעונש שהושת עליו</w:t>
      </w:r>
      <w:r>
        <w:rPr>
          <w:rtl w:val="true"/>
        </w:rPr>
        <w:t xml:space="preserve">. </w:t>
      </w:r>
      <w:r>
        <w:rPr>
          <w:rtl w:val="true"/>
        </w:rPr>
        <w:t>לטענתה מתקיימות נסיבות חמורות במעשיו של המערער שבאות לידי ביטוי</w:t>
      </w:r>
      <w:r>
        <w:rPr>
          <w:rtl w:val="true"/>
        </w:rPr>
        <w:t xml:space="preserve">, </w:t>
      </w:r>
      <w:r>
        <w:rPr>
          <w:rtl w:val="true"/>
        </w:rPr>
        <w:t>בין היתר</w:t>
      </w:r>
      <w:r>
        <w:rPr>
          <w:rtl w:val="true"/>
        </w:rPr>
        <w:t xml:space="preserve">, </w:t>
      </w:r>
      <w:r>
        <w:rPr>
          <w:rtl w:val="true"/>
        </w:rPr>
        <w:t>בנשקים מסוג תתי מקלע ואקדחים עם תחמושת שמכר לסוכן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מדובר בעסקאות מתוחכמות שנעשו בצורה מאורגנת</w:t>
      </w:r>
      <w:r>
        <w:rPr>
          <w:rtl w:val="true"/>
        </w:rPr>
        <w:t xml:space="preserve">, </w:t>
      </w:r>
      <w:r>
        <w:rPr>
          <w:rtl w:val="true"/>
        </w:rPr>
        <w:t>כאשר למערער חלק דומיננטי בתכנון ובהוצאה לפועל של כל אותן עסקאות</w:t>
      </w:r>
      <w:r>
        <w:rPr>
          <w:rtl w:val="true"/>
        </w:rPr>
        <w:t xml:space="preserve">. </w:t>
      </w:r>
      <w:r>
        <w:rPr>
          <w:rtl w:val="true"/>
        </w:rPr>
        <w:t>בתוך כך טענה המשיבה כי לא ידוע מה הסכום שקיבל המערער בפועל עבור חלקו בעסקאות</w:t>
      </w:r>
      <w:r>
        <w:rPr>
          <w:rtl w:val="true"/>
        </w:rPr>
        <w:t xml:space="preserve">, </w:t>
      </w:r>
      <w:r>
        <w:rPr>
          <w:rtl w:val="true"/>
        </w:rPr>
        <w:t xml:space="preserve">שיכול להעלות משמעותית על הסכום שדרש מהסוכן בנפרד </w:t>
      </w:r>
      <w:r>
        <w:rPr>
          <w:rtl w:val="true"/>
        </w:rPr>
        <w:t>"</w:t>
      </w:r>
      <w:r>
        <w:rPr>
          <w:rtl w:val="true"/>
        </w:rPr>
        <w:t>עבור שירותיו</w:t>
      </w:r>
      <w:r>
        <w:rPr>
          <w:rtl w:val="true"/>
        </w:rPr>
        <w:t xml:space="preserve">". </w:t>
      </w:r>
      <w:r>
        <w:rPr>
          <w:rtl w:val="true"/>
        </w:rPr>
        <w:t>לשיטתה</w:t>
      </w:r>
      <w:r>
        <w:rPr>
          <w:rtl w:val="true"/>
        </w:rPr>
        <w:t xml:space="preserve">, </w:t>
      </w:r>
      <w:r>
        <w:rPr>
          <w:rtl w:val="true"/>
        </w:rPr>
        <w:t>חומרת העבירות מצדיקה קביעת מתחמי עונש נפרדים עבור כל אחד מהאישומים והשתת העונשים שנקבעו בכל אחד מהמתחמים במצטבר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תסקיר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משלים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מהתסקיר המשלים שנערך למערער ושהוגש לעיוננו עולה כי הוא שולב בפעילות חינוך</w:t>
      </w:r>
      <w:r>
        <w:rPr>
          <w:rtl w:val="true"/>
        </w:rPr>
        <w:t xml:space="preserve">, </w:t>
      </w:r>
      <w:r>
        <w:rPr>
          <w:rtl w:val="true"/>
        </w:rPr>
        <w:t>אך למרות שהביע רצון להשתלב במסגרת קבוצה טיפולית</w:t>
      </w:r>
      <w:r>
        <w:rPr>
          <w:rtl w:val="true"/>
        </w:rPr>
        <w:t xml:space="preserve">, </w:t>
      </w:r>
      <w:r>
        <w:rPr>
          <w:rtl w:val="true"/>
        </w:rPr>
        <w:t>טרם שולב במסגרת כזו</w:t>
      </w:r>
      <w:r>
        <w:rPr>
          <w:rtl w:val="true"/>
        </w:rPr>
        <w:t xml:space="preserve">. </w:t>
      </w:r>
      <w:r>
        <w:rPr>
          <w:rtl w:val="true"/>
        </w:rPr>
        <w:t xml:space="preserve">בנוסף מצוין בתסקיר כי לחובתו של המערער נרשמה עבירת משמעת בגינה נשפט וקיבל התראה וקנס בסך 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עוד עולה מהתסקיר כי שלוש בדיקות שתן שמסר המערער נמצאו נקיות משרידי סם</w:t>
      </w:r>
      <w:r>
        <w:rPr>
          <w:rtl w:val="true"/>
        </w:rPr>
        <w:t xml:space="preserve">. </w:t>
      </w:r>
      <w:r>
        <w:rPr>
          <w:rtl w:val="true"/>
        </w:rPr>
        <w:t>כמו כן צוין כי המערער מודה בביצוע העבירות דנן ומביע חרטה על ביצוען</w:t>
      </w:r>
      <w:r>
        <w:rPr>
          <w:rtl w:val="true"/>
        </w:rPr>
        <w:t xml:space="preserve">. </w:t>
      </w:r>
      <w:r>
        <w:rPr>
          <w:rtl w:val="true"/>
        </w:rPr>
        <w:t>ניכר כי בני משפחתו של המערער עומדים איתו בקשר אולם מתקשים לבקרו נוכח המרחק הגאוגרפי ביניהם ומתקשים לתמוך בו כלכלית</w:t>
      </w:r>
      <w:r>
        <w:rPr>
          <w:rtl w:val="true"/>
        </w:rPr>
        <w:t xml:space="preserve">. </w:t>
      </w:r>
      <w:r>
        <w:rPr>
          <w:rtl w:val="true"/>
        </w:rPr>
        <w:t>התסקיר נעדר המלצה בנוגע לערעור</w:t>
      </w:r>
      <w:r>
        <w:rPr>
          <w:rtl w:val="true"/>
        </w:rPr>
        <w:t>.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/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לאחר שעיינו בכתובים ושמענו את טענות הצדדים במהלך הדיון לפנינו</w:t>
      </w:r>
      <w:r>
        <w:rPr>
          <w:rtl w:val="true"/>
        </w:rPr>
        <w:t xml:space="preserve">, </w:t>
      </w:r>
      <w:r>
        <w:rPr>
          <w:rtl w:val="true"/>
        </w:rPr>
        <w:t>הגענו למסקנה כי יש מקום להקל במידת מה בעונשו של המערער</w:t>
      </w:r>
      <w:r>
        <w:rPr>
          <w:rtl w:val="true"/>
        </w:rPr>
        <w:t xml:space="preserve">. </w:t>
      </w:r>
      <w:r>
        <w:rPr>
          <w:rtl w:val="true"/>
        </w:rPr>
        <w:t>הלכה מושרשת היא כי ערכאת הערעור לא נוטה להתערב בעונש שמטילה הערכאה הדיונית</w:t>
      </w:r>
      <w:r>
        <w:rPr>
          <w:rtl w:val="true"/>
        </w:rPr>
        <w:t xml:space="preserve">, </w:t>
      </w:r>
      <w:r>
        <w:rPr>
          <w:rtl w:val="true"/>
        </w:rPr>
        <w:t>אלא במקרים חריגים בלבד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מצאנו כי במקרה דנן קיימת הצדקה להתערבותנו ולהקלה במידת מה בעונש שהושת על המערער</w:t>
      </w:r>
      <w:r>
        <w:rPr>
          <w:rtl w:val="true"/>
        </w:rPr>
        <w:t>.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אין חולק כי מעשי המערער חמורים ביותר</w:t>
      </w:r>
      <w:r>
        <w:rPr>
          <w:rtl w:val="true"/>
        </w:rPr>
        <w:t xml:space="preserve">. </w:t>
      </w:r>
      <w:r>
        <w:rPr>
          <w:rtl w:val="true"/>
        </w:rPr>
        <w:t>בית משפט זה הדגיש לא אחת את חומרתן של העבירות השונות בנשק אשר מסכנות באופן ישיר את שלום הציבור וביטחונו</w:t>
      </w:r>
      <w:r>
        <w:rPr>
          <w:rtl w:val="true"/>
        </w:rPr>
        <w:t xml:space="preserve">. </w:t>
      </w:r>
      <w:r>
        <w:rPr>
          <w:rtl w:val="true"/>
        </w:rPr>
        <w:t xml:space="preserve">המערער </w:t>
      </w:r>
      <w:r>
        <w:rPr>
          <w:rtl w:val="true"/>
        </w:rPr>
        <w:t>"</w:t>
      </w:r>
      <w:r>
        <w:rPr>
          <w:rtl w:val="true"/>
        </w:rPr>
        <w:t>הגדיל לעשות</w:t>
      </w:r>
      <w:r>
        <w:rPr>
          <w:rtl w:val="true"/>
        </w:rPr>
        <w:t xml:space="preserve">" </w:t>
      </w:r>
      <w:r>
        <w:rPr>
          <w:rtl w:val="true"/>
        </w:rPr>
        <w:t>ואף היה מעורב בעבירה של תיווך בסם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נראה כי עונש המאסר בפועל וכן רכיב המאסר חלף הקנס שהושתו על המערער חורגים לחומרה בעניינו</w:t>
      </w:r>
      <w:r>
        <w:rPr>
          <w:rtl w:val="true"/>
        </w:rPr>
        <w:t xml:space="preserve">. </w:t>
      </w:r>
      <w:r>
        <w:rPr>
          <w:rtl w:val="true"/>
        </w:rPr>
        <w:t>זאת בשים לב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לגילו הצעיר של המערער</w:t>
      </w:r>
      <w:r>
        <w:rPr>
          <w:rtl w:val="true"/>
        </w:rPr>
        <w:t xml:space="preserve">; </w:t>
      </w:r>
      <w:r>
        <w:rPr>
          <w:rtl w:val="true"/>
        </w:rPr>
        <w:t>לעובדה שהוא נעדר עבר פלילי</w:t>
      </w:r>
      <w:r>
        <w:rPr>
          <w:rtl w:val="true"/>
        </w:rPr>
        <w:t xml:space="preserve">; </w:t>
      </w:r>
      <w:r>
        <w:rPr>
          <w:rtl w:val="true"/>
        </w:rPr>
        <w:t>לכך ששיתף פעולה עם רשויות אכיפת החוק והודה במיוחס לו</w:t>
      </w:r>
      <w:r>
        <w:rPr>
          <w:rtl w:val="true"/>
        </w:rPr>
        <w:t xml:space="preserve">; </w:t>
      </w:r>
      <w:r>
        <w:rPr>
          <w:rtl w:val="true"/>
        </w:rPr>
        <w:t>לכך שנטל אחריות והביע חרטה על מעשיו</w:t>
      </w:r>
      <w:r>
        <w:rPr>
          <w:rtl w:val="true"/>
        </w:rPr>
        <w:t xml:space="preserve">; </w:t>
      </w:r>
      <w:r>
        <w:rPr>
          <w:rtl w:val="true"/>
        </w:rPr>
        <w:t>ולנסיבות חייו המורכבות לרבות המצוקה הכלכלית בה גדל</w:t>
      </w:r>
      <w:r>
        <w:rPr>
          <w:rtl w:val="true"/>
        </w:rPr>
        <w:t>.</w:t>
      </w:r>
    </w:p>
    <w:p>
      <w:pPr>
        <w:pStyle w:val="Ruller42"/>
        <w:numPr>
          <w:ilvl w:val="0"/>
          <w:numId w:val="1"/>
        </w:numPr>
        <w:tabs>
          <w:tab w:val="clear" w:pos="360"/>
          <w:tab w:val="left" w:pos="800" w:leader="none"/>
        </w:tabs>
        <w:spacing w:before="160" w:after="160"/>
        <w:ind w:end="0"/>
        <w:jc w:val="both"/>
        <w:rPr/>
      </w:pP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ראינו לנכון לקבל את הערעור ולהקל הקלת מה בעונשו של המערער כדלקמן</w:t>
      </w:r>
      <w:r>
        <w:rPr>
          <w:rtl w:val="true"/>
        </w:rPr>
        <w:t xml:space="preserve">: </w:t>
      </w:r>
      <w:r>
        <w:rPr>
          <w:rtl w:val="true"/>
        </w:rPr>
        <w:t xml:space="preserve">עונש המאסר הכולל בפועל שהושת על המערער יופחת ויעמוד על </w:t>
      </w:r>
      <w:r>
        <w:rPr/>
        <w:t>78</w:t>
      </w:r>
      <w:r>
        <w:rPr>
          <w:rtl w:val="true"/>
        </w:rPr>
        <w:t xml:space="preserve"> </w:t>
      </w:r>
      <w:r>
        <w:rPr>
          <w:rtl w:val="true"/>
        </w:rPr>
        <w:t xml:space="preserve">חודשים </w:t>
      </w:r>
      <w:r>
        <w:rPr>
          <w:rtl w:val="true"/>
        </w:rPr>
        <w:t>(</w:t>
      </w:r>
      <w:r>
        <w:rPr>
          <w:rtl w:val="true"/>
        </w:rPr>
        <w:t>בניכוי ימי המעצר</w:t>
      </w:r>
      <w:r>
        <w:rPr>
          <w:rtl w:val="true"/>
        </w:rPr>
        <w:t xml:space="preserve">), </w:t>
      </w:r>
      <w:r>
        <w:rPr>
          <w:rtl w:val="true"/>
        </w:rPr>
        <w:t xml:space="preserve">במקום </w:t>
      </w:r>
      <w:r>
        <w:rPr/>
        <w:t>84</w:t>
      </w:r>
      <w:r>
        <w:rPr>
          <w:rtl w:val="true"/>
        </w:rPr>
        <w:t xml:space="preserve"> </w:t>
      </w:r>
      <w:r>
        <w:rPr>
          <w:rtl w:val="true"/>
        </w:rPr>
        <w:t xml:space="preserve">חודשים </w:t>
      </w:r>
      <w:r>
        <w:rPr>
          <w:rtl w:val="true"/>
        </w:rPr>
        <w:t>(</w:t>
      </w:r>
      <w:r>
        <w:rPr>
          <w:rtl w:val="true"/>
        </w:rPr>
        <w:t>בניכוי ימי המעצר</w:t>
      </w:r>
      <w:r>
        <w:rPr>
          <w:rtl w:val="true"/>
        </w:rPr>
        <w:t xml:space="preserve">); </w:t>
      </w:r>
      <w:r>
        <w:rPr>
          <w:rtl w:val="true"/>
        </w:rPr>
        <w:t>אי תשלום איזה מתשלומי הקנס שהושת על המערער יגרום להעמדת מלוא הקנס לפירעון מיידי</w:t>
      </w:r>
      <w:r>
        <w:rPr>
          <w:rtl w:val="true"/>
        </w:rPr>
        <w:t xml:space="preserve">, </w:t>
      </w:r>
      <w:r>
        <w:rPr>
          <w:rtl w:val="true"/>
        </w:rPr>
        <w:t>ואם לא ישולם יישא המערער בעונש של חמישה חודשי מאסר בפועל</w:t>
      </w:r>
      <w:r>
        <w:rPr>
          <w:rtl w:val="true"/>
        </w:rPr>
        <w:t xml:space="preserve">, </w:t>
      </w:r>
      <w:r>
        <w:rPr>
          <w:rtl w:val="true"/>
        </w:rPr>
        <w:t xml:space="preserve">חלף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חודשי מאסר בפועל כפי שנקבע בגזר הדין</w:t>
      </w:r>
      <w:r>
        <w:rPr>
          <w:rtl w:val="true"/>
        </w:rPr>
        <w:t xml:space="preserve">, </w:t>
      </w:r>
      <w:r>
        <w:rPr>
          <w:rtl w:val="true"/>
        </w:rPr>
        <w:t>או החלק היחסי בגין כל תשלום שלא שולם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spacing w:before="160" w:after="160"/>
        <w:ind w:hanging="0" w:start="0" w:end="0"/>
        <w:jc w:val="both"/>
        <w:rPr/>
      </w:pPr>
      <w:r>
        <w:rPr>
          <w:color w:val="FFFFFF"/>
          <w:sz w:val="2"/>
          <w:szCs w:val="2"/>
        </w:rPr>
        <w:t>5129371</w:t>
      </w:r>
      <w:r>
        <w:rPr>
          <w:rtl w:val="true"/>
        </w:rPr>
        <w:tab/>
      </w:r>
      <w:r>
        <w:rPr>
          <w:rtl w:val="true"/>
        </w:rPr>
        <w:t>שאר רכיבי העונש יעמדו בעינם</w:t>
      </w:r>
      <w:r>
        <w:rPr>
          <w:rtl w:val="true"/>
        </w:rPr>
        <w:t>.</w:t>
      </w:r>
    </w:p>
    <w:p>
      <w:pPr>
        <w:pStyle w:val="Ruller41"/>
        <w:spacing w:before="160" w:after="160"/>
        <w:ind w:end="0"/>
        <w:jc w:val="both"/>
        <w:rPr/>
      </w:pPr>
      <w:r>
        <w:rPr>
          <w:color w:val="FFFFFF"/>
          <w:sz w:val="2"/>
          <w:szCs w:val="2"/>
        </w:rPr>
        <w:t>54678313</w:t>
      </w:r>
      <w:r>
        <w:rPr>
          <w:rtl w:val="true"/>
        </w:rPr>
        <w:t xml:space="preserve"> </w:t>
      </w:r>
      <w:r>
        <w:rPr>
          <w:rtl w:val="true"/>
        </w:rPr>
        <w:t>ניתנה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בכסלו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(‏</w:t>
      </w:r>
      <w:r>
        <w:rPr/>
        <w:t>6.12.2015</w:t>
      </w:r>
      <w:r>
        <w:rPr>
          <w:rtl w:val="true"/>
        </w:rPr>
        <w:t xml:space="preserve">). </w:t>
      </w:r>
      <w:r>
        <w:rPr>
          <w:rtl w:val="true"/>
        </w:rPr>
        <w:tab/>
      </w:r>
    </w:p>
    <w:p>
      <w:pPr>
        <w:pStyle w:val="Ruller41"/>
        <w:spacing w:before="160" w:after="160"/>
        <w:ind w:end="0"/>
        <w:jc w:val="both"/>
        <w:rPr/>
      </w:pP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                        </w:t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                         </w:t>
      </w:r>
      <w:r>
        <w:rPr>
          <w:rtl w:val="true"/>
        </w:rPr>
        <w:t>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</w:t>
      </w:r>
    </w:p>
    <w:p>
      <w:pPr>
        <w:pStyle w:val="Normal"/>
        <w:spacing w:before="160" w:after="0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r>
        <w:rPr>
          <w:sz w:val="16"/>
        </w:rPr>
        <w:t>15007850</w:t>
      </w:r>
      <w:r>
        <w:rPr>
          <w:sz w:val="16"/>
          <w:rtl w:val="true"/>
        </w:rPr>
        <w:t>_</w:t>
      </w:r>
      <w:r>
        <w:rPr>
          <w:sz w:val="16"/>
        </w:rPr>
        <w:t>W02.doc</w:t>
      </w:r>
      <w:r>
        <w:rPr>
          <w:sz w:val="16"/>
          <w:rtl w:val="true"/>
        </w:rPr>
        <w:t xml:space="preserve">   </w:t>
      </w:r>
      <w:r>
        <w:rPr>
          <w:sz w:val="16"/>
          <w:sz w:val="16"/>
          <w:rtl w:val="true"/>
        </w:rPr>
        <w:t>חכ</w:t>
      </w:r>
      <w:r>
        <w:rPr>
          <w:sz w:val="16"/>
          <w:rtl w:val="true"/>
        </w:rPr>
        <w:t>/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9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spacing w:before="160" w:after="0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0"/>
        </w:rPr>
      </w:pPr>
      <w:r>
        <w:rPr>
          <w:rFonts w:cs="David" w:ascii="David" w:hAnsi="David"/>
          <w:color w:val="FFFFFF"/>
          <w:sz w:val="2"/>
          <w:szCs w:val="20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0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>י</w:t>
      </w:r>
      <w:r>
        <w:rPr>
          <w:rFonts w:cs="David" w:ascii="David" w:hAnsi="David"/>
          <w:color w:val="000000"/>
          <w:sz w:val="22"/>
          <w:szCs w:val="22"/>
          <w:rtl w:val="true"/>
        </w:rPr>
        <w:t xml:space="preserve">' </w:t>
      </w: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דנציגר </w:t>
      </w:r>
      <w:r>
        <w:rPr>
          <w:rFonts w:cs="David" w:ascii="David" w:hAnsi="David"/>
          <w:color w:val="000000"/>
          <w:sz w:val="22"/>
          <w:szCs w:val="22"/>
        </w:rPr>
        <w:t>54678313-785/15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  <w:bookmarkEnd w:id="5"/>
    </w:p>
    <w:sectPr>
      <w:headerReference w:type="default" r:id="rId21"/>
      <w:footerReference w:type="default" r:id="rId22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9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785/15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איהאב פואקה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tabs>
        <w:tab w:val="left" w:pos="360" w:leader="none"/>
        <w:tab w:val="left" w:pos="800" w:leader="none"/>
      </w:tabs>
      <w:ind w:hanging="0" w:start="0" w:end="0"/>
      <w:jc w:val="both"/>
    </w:pPr>
    <w:rPr>
      <w:rFonts w:ascii="Garamond" w:hAnsi="Garamond" w:cs="Garamond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6870510" TargetMode="External"/><Relationship Id="rId3" Type="http://schemas.openxmlformats.org/officeDocument/2006/relationships/hyperlink" Target="http://www.nevo.co.il/law/4216" TargetMode="External"/><Relationship Id="rId4" Type="http://schemas.openxmlformats.org/officeDocument/2006/relationships/hyperlink" Target="http://www.nevo.co.il/law/4216/13" TargetMode="External"/><Relationship Id="rId5" Type="http://schemas.openxmlformats.org/officeDocument/2006/relationships/hyperlink" Target="http://www.nevo.co.il/law/4216/19a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law/70301/25" TargetMode="External"/><Relationship Id="rId8" Type="http://schemas.openxmlformats.org/officeDocument/2006/relationships/hyperlink" Target="http://www.nevo.co.il/law/70301/144.b2" TargetMode="External"/><Relationship Id="rId9" Type="http://schemas.openxmlformats.org/officeDocument/2006/relationships/hyperlink" Target="http://www.nevo.co.il/case/16870510" TargetMode="External"/><Relationship Id="rId10" Type="http://schemas.openxmlformats.org/officeDocument/2006/relationships/hyperlink" Target="http://www.nevo.co.il/law/4216" TargetMode="External"/><Relationship Id="rId11" Type="http://schemas.openxmlformats.org/officeDocument/2006/relationships/hyperlink" Target="http://www.nevo.co.il/law/4216/13" TargetMode="External"/><Relationship Id="rId12" Type="http://schemas.openxmlformats.org/officeDocument/2006/relationships/hyperlink" Target="http://www.nevo.co.il/law/4216/19a" TargetMode="External"/><Relationship Id="rId13" Type="http://schemas.openxmlformats.org/officeDocument/2006/relationships/hyperlink" Target="http://www.nevo.co.il/law/70301/144.b2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144.b2" TargetMode="External"/><Relationship Id="rId16" Type="http://schemas.openxmlformats.org/officeDocument/2006/relationships/hyperlink" Target="http://www.nevo.co.il/law/70301/25" TargetMode="External"/><Relationship Id="rId17" Type="http://schemas.openxmlformats.org/officeDocument/2006/relationships/hyperlink" Target="http://www.nevo.co.il/law/70301/144.b2" TargetMode="External"/><Relationship Id="rId18" Type="http://schemas.openxmlformats.org/officeDocument/2006/relationships/hyperlink" Target="http://www.nevo.co.il/law/70301" TargetMode="External"/><Relationship Id="rId19" Type="http://schemas.openxmlformats.org/officeDocument/2006/relationships/hyperlink" Target="http://www.court.gov.il/" TargetMode="External"/><Relationship Id="rId20" Type="http://schemas.openxmlformats.org/officeDocument/2006/relationships/hyperlink" Target="http://www.nevo.co.il/advertisements/nevo-100.doc" TargetMode="External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15007850.01W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2015-12-13T12:40:00Z</dcterms:created>
  <dc:creator> </dc:creator>
  <dc:description/>
  <cp:keywords/>
  <dc:language>en-IL</dc:language>
  <cp:lastModifiedBy>yafit</cp:lastModifiedBy>
  <cp:lastPrinted>2009-02-15T11:12:00Z</cp:lastPrinted>
  <dcterms:modified xsi:type="dcterms:W3CDTF">2015-12-13T12:40:00Z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איהאב פואקה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16870510:2</vt:lpwstr>
  </property>
  <property fmtid="{D5CDD505-2E9C-101B-9397-08002B2CF9AE}" pid="9" name="CITY">
    <vt:lpwstr/>
  </property>
  <property fmtid="{D5CDD505-2E9C-101B-9397-08002B2CF9AE}" pid="10" name="DATE">
    <vt:lpwstr>20151206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דנציגר;נ' סולברג;ע' ברון</vt:lpwstr>
  </property>
  <property fmtid="{D5CDD505-2E9C-101B-9397-08002B2CF9AE}" pid="14" name="LAWLISTTMP1">
    <vt:lpwstr>4216/013;019a</vt:lpwstr>
  </property>
  <property fmtid="{D5CDD505-2E9C-101B-9397-08002B2CF9AE}" pid="15" name="LAWLISTTMP2">
    <vt:lpwstr>70301/144.b2:3;025</vt:lpwstr>
  </property>
  <property fmtid="{D5CDD505-2E9C-101B-9397-08002B2CF9AE}" pid="16" name="LAWYER">
    <vt:lpwstr>עילית מידן;עיסא מחמדיה;ברכה וייס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קרן</vt:lpwstr>
  </property>
  <property fmtid="{D5CDD505-2E9C-101B-9397-08002B2CF9AE}" pid="23" name="NEWPARTA">
    <vt:lpwstr/>
  </property>
  <property fmtid="{D5CDD505-2E9C-101B-9397-08002B2CF9AE}" pid="24" name="NEWPARTB">
    <vt:lpwstr/>
  </property>
  <property fmtid="{D5CDD505-2E9C-101B-9397-08002B2CF9AE}" pid="25" name="NEWPARTC">
    <vt:lpwstr/>
  </property>
  <property fmtid="{D5CDD505-2E9C-101B-9397-08002B2CF9AE}" pid="26" name="NEWPROC">
    <vt:lpwstr/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>עונשין</vt:lpwstr>
  </property>
  <property fmtid="{D5CDD505-2E9C-101B-9397-08002B2CF9AE}" pid="30" name="NOSE13">
    <vt:lpwstr>דיון פלילי</vt:lpwstr>
  </property>
  <property fmtid="{D5CDD505-2E9C-101B-9397-08002B2CF9AE}" pid="31" name="NOSE14">
    <vt:lpwstr/>
  </property>
  <property fmtid="{D5CDD505-2E9C-101B-9397-08002B2CF9AE}" pid="32" name="NOSE15">
    <vt:lpwstr/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77;77;18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>ענישה</vt:lpwstr>
  </property>
  <property fmtid="{D5CDD505-2E9C-101B-9397-08002B2CF9AE}" pid="41" name="NOSE23">
    <vt:lpwstr>ערעור</vt:lpwstr>
  </property>
  <property fmtid="{D5CDD505-2E9C-101B-9397-08002B2CF9AE}" pid="42" name="NOSE24">
    <vt:lpwstr/>
  </property>
  <property fmtid="{D5CDD505-2E9C-101B-9397-08002B2CF9AE}" pid="43" name="NOSE25">
    <vt:lpwstr/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1446;1446;504</vt:lpwstr>
  </property>
  <property fmtid="{D5CDD505-2E9C-101B-9397-08002B2CF9AE}" pid="49" name="NOSE31">
    <vt:lpwstr>מדיניות ענישה: עבירות נשק</vt:lpwstr>
  </property>
  <property fmtid="{D5CDD505-2E9C-101B-9397-08002B2CF9AE}" pid="50" name="NOSE310">
    <vt:lpwstr/>
  </property>
  <property fmtid="{D5CDD505-2E9C-101B-9397-08002B2CF9AE}" pid="51" name="NOSE32">
    <vt:lpwstr>מדיניות ענישה: שיקולים</vt:lpwstr>
  </property>
  <property fmtid="{D5CDD505-2E9C-101B-9397-08002B2CF9AE}" pid="52" name="NOSE33">
    <vt:lpwstr>התערבות במידת העונש</vt:lpwstr>
  </property>
  <property fmtid="{D5CDD505-2E9C-101B-9397-08002B2CF9AE}" pid="53" name="NOSE34">
    <vt:lpwstr/>
  </property>
  <property fmtid="{D5CDD505-2E9C-101B-9397-08002B2CF9AE}" pid="54" name="NOSE35">
    <vt:lpwstr/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13800;8994;15230</vt:lpwstr>
  </property>
  <property fmtid="{D5CDD505-2E9C-101B-9397-08002B2CF9AE}" pid="60" name="PADIDATE">
    <vt:lpwstr>20151208</vt:lpwstr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>עפ</vt:lpwstr>
  </property>
  <property fmtid="{D5CDD505-2E9C-101B-9397-08002B2CF9AE}" pid="65" name="PROCNUM">
    <vt:lpwstr>785</vt:lpwstr>
  </property>
  <property fmtid="{D5CDD505-2E9C-101B-9397-08002B2CF9AE}" pid="66" name="PROCYEAR">
    <vt:lpwstr>15</vt:lpwstr>
  </property>
  <property fmtid="{D5CDD505-2E9C-101B-9397-08002B2CF9AE}" pid="67" name="PSAKDIN">
    <vt:lpwstr>פסק-דין</vt:lpwstr>
  </property>
  <property fmtid="{D5CDD505-2E9C-101B-9397-08002B2CF9AE}" pid="68" name="TYPE">
    <vt:lpwstr>1</vt:lpwstr>
  </property>
  <property fmtid="{D5CDD505-2E9C-101B-9397-08002B2CF9AE}" pid="69" name="TYPE_ABS_DATE">
    <vt:lpwstr>410120151206</vt:lpwstr>
  </property>
  <property fmtid="{D5CDD505-2E9C-101B-9397-08002B2CF9AE}" pid="70" name="TYPE_N_DATE">
    <vt:lpwstr>41020151206</vt:lpwstr>
  </property>
  <property fmtid="{D5CDD505-2E9C-101B-9397-08002B2CF9AE}" pid="71" name="VOLUME">
    <vt:lpwstr/>
  </property>
  <property fmtid="{D5CDD505-2E9C-101B-9397-08002B2CF9AE}" pid="72" name="WORDNUMPAGES">
    <vt:lpwstr>8</vt:lpwstr>
  </property>
</Properties>
</file>