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b/>
        </w:rPr>
        <w:t xml:space="preserve">ע"פ  7952/15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7955/15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המשנה לנשיאה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י' עמית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המערערת (המשיבה בע"פ 7955/15):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 (המערער בע"פ 7955/15):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אילון ישראל שץ</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הכרעת מיום 19.7.2015 וערעורים על גזר הדין מיום 8.10.2015 של בית המשפט המחוזי מרכז בת"פ         47474-01-14 שניתנו על-ידי השופטת מ' ברנט</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כ"ב בשבט התשע"ו</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(1.2.2016)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המערערת (המשיבה בע"פ 7955/15):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עדי צימרמן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 (המערער בע"פ 7955/15):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ששון בר-עוז; עו"ד אלעד אלימלך</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"http://www.nevo.co.il/law/70301/40jc.a" 40יג(א)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"http://www.nevo.co.il/law/98569" פקודת הראיות [נוסח חדש], תשל"א-1971</w:t>
      </w:r>
      <w:r>
        <w:rPr>
          <w:rFonts w:ascii="Times" w:hAnsi="Times" w:cs="Times"/>
          <w:sz w:val="24"/>
          <w:sz-cs w:val="24"/>
        </w:rPr>
        <w:t xml:space="preserve">: סע'  </w:t>
      </w:r>
      <w:r>
        <w:rPr>
          <w:rFonts w:ascii="Times" w:hAnsi="Times" w:cs="Times"/>
          <w:sz w:val="24"/>
          <w:sz-cs w:val="24"/>
          <w:u w:val="single"/>
          <w:color w:val="0000FF"/>
        </w:rPr>
        <w:t xml:space="preserve"> HYPERLINK "http://www.nevo.co.il/law/98569/54a" 54א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ערעור מזה ומזה על פס"ד בגדרו הורשע הנאשם בסחר ב3 ק"ג קוקאין וזוכה מנסיון לסחור בק"ג נוסף של הסם. ערעור המדינה התקבל. הנאשם הורשע גם בעבירת הניסיון לסחר ועונש המאסר בפועל שהוטל עליו הוחמר. בין היתר צוין כי המונח 'גרסה כבושה' מתייחס גם לגרסה כבושה שהועלתה בשלב מאוחר של חקירת המשטרה. לפיכך, משקלה של גרסה כזו יהיה מועט כל עוד לא ניתן הסבר סביר לכבישה, וניתן יהיה לראות בכבישת הגרסה חיזוק לראיות התביעה.</w:t>
      </w:r>
    </w:p>
    <w:p>
      <w:pPr>
        <w:jc w:val="both"/>
        <w:bidi/>
        <w:spacing w:after="120"/>
      </w:pPr>
      <w:r>
        <w:rPr>
          <w:rFonts w:ascii="Times New Roman" w:hAnsi="Times New Roman" w:cs="Times New Roman"/>
          <w:sz w:val="24"/>
          <w:sz-cs w:val="24"/>
        </w:rPr>
        <w:t xml:space="preserve">* עונשין – עבירות – סמים</w:t>
      </w:r>
    </w:p>
    <w:p>
      <w:pPr>
        <w:jc w:val="both"/>
        <w:bidi/>
        <w:spacing w:after="120"/>
      </w:pPr>
      <w:r>
        <w:rPr>
          <w:rFonts w:ascii="Times New Roman" w:hAnsi="Times New Roman" w:cs="Times New Roman"/>
          <w:sz w:val="24"/>
          <w:sz-cs w:val="24"/>
        </w:rPr>
        <w:t xml:space="preserve">* ראיות – חיזוק – גירסה כבושה</w:t>
      </w:r>
    </w:p>
    <w:p>
      <w:pPr>
        <w:jc w:val="both"/>
        <w:bidi/>
        <w:spacing w:after="120"/>
      </w:pPr>
      <w:r>
        <w:rPr>
          <w:rFonts w:ascii="Times New Roman" w:hAnsi="Times New Roman" w:cs="Times New Roman"/>
          <w:sz w:val="24"/>
          <w:sz-cs w:val="24"/>
        </w:rPr>
        <w:t xml:space="preserve">* ראיות – חיזוק – שתיקת הנאשם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מזה ומזה על פס"ד מחוזי בגדרו נקבע כי המשיב ב HYPERLINK "http://www.nevo.co.il/case/20683594" ע"פ 7952/15 והמערער ב HYPERLINK "http://www.nevo.co.il/case/20683595" ע"פ 7955/15, (להלן: "אילון") היה שותף לביצוע עבירות סמים על אדמת אקוודור. בהכרעת הדין אילון הורשע בעבירת סחר בסם מסוכן (3 ק"ג קוקאין), וזוכה מעבירת נסיון לסחר בסם מסוכן (בנוגע לק"ג הרביעי בעסקה הראשונה שלא סופק) ומעבירת נסיון לייצוא סם מסוכן (עסקה נפרדת הנוגעת לק"ג נוסף של קוקאין ולהלן: הק"ג החמישי). בגזה"ד, נגזרו על אילון 40 חודשי מאסר בפועל, 24 חודשי מאסר על-תנאי, וקנס בסך של 20,000 ₪ או 45 ימי מאסר חלף הקנס. המדינה מערערת כלפי זיכויו של אילון מעבירה של נסיון לסחר בסם מסוכן ביחס לקילוגרם הרביעי וכן כלפי קולת העונש. מנגד, אילון מערער על הכרעת הדין ועל גזר הדין.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נֹעם סולברג בהסכמת המשנה לנשיאה א' רובינשטיין והשופט י' עמית) דחה את ערעורו של אילון, וקיבל את ערעורה של המדינה, מהטעמים הבאים:</w:t>
      </w:r>
    </w:p>
    <w:p>
      <w:pPr>
        <w:jc w:val="both"/>
        <w:bidi/>
        <w:spacing w:after="120"/>
      </w:pPr>
      <w:r>
        <w:rPr>
          <w:rFonts w:ascii="Times New Roman" w:hAnsi="Times New Roman" w:cs="Times New Roman"/>
          <w:sz w:val="24"/>
          <w:sz-cs w:val="24"/>
        </w:rPr>
        <w:t xml:space="preserve">ערעורו של אילון על הכרעת הדין נסוב, בעיקרו של דבר, על ממצאי עובדה ומהימנות שנקבעו על-ידי ביהמ"ש המחוזי. כידוע, אין זו דרכה של ערכאת הערעור להתערב בממצאים שכאלה שנקבעו על-ידי הערכאה הדיונית, אלא במקרים חריגים. ענייננו אינו בא בגדר חריגים אלה. ביהמ"ש המחוזי ביסס את הרשעתו של אילון בעבירת סחר בסם מסוכן בראש ובראשונה על עדותו של הסוכן הסמוי, אשר היתה מהימנה עליו. משלא נמצא להתערב בקביעה זו, די בעדות זו לבדה כדי לבסס את מעורבותו של אילון בעבירת הסחר בסם מסוכן. לא כל שכן, כשמתווספים אליה חיזוקים בהם גרסתו הכבושה של אילון. בהקשר זה צוין בין היתר, כי המונח 'גרסה כבושה' מתייחס גם לגרסה כבושה שהועלתה בשלב מאוחר של חקירת המשטרה. לפיכך, משקלה של גרסה כזו יהיה מועט כל עוד לא ניתן הסבר סביר לכבישה, וניתן יהיה לראות בכבישת הגרסה חיזוק לראיות התביעה. בענייננו, אין מחלוקת כי אילון שתק בחקירתו במשטרה. לפיכך, צדק ביהמ"ש המחוזי בקבעו כי יש לייחס לגרסתו משקל מועט. בנסיבות אלה, נכון היה לנקוט בכלל 'פלגינן דיבורא' כפי שעשה ביהמ"ש המחוזי; כן נדחו יתר טענותיו של אילון בהם הטענה לנתק בשרשרת הסם בשל השארתו למשך 24 שעות בתחנת המשטרה בקיטו ללא השגחה או פיקוח של שוטרי משטרת ישראל;הטענה בדבר הנזק הראייתי שנגרם לו עקב ויתור המדינה על העדת שוטרי משטרת אקוודור וטענתו החלופית ולפיה מעשיו אינם עולים כדי ביצוע בצוותא, ויש לראותו כמסייע בלבד. </w:t>
      </w:r>
    </w:p>
    <w:p>
      <w:pPr>
        <w:jc w:val="both"/>
        <w:bidi/>
        <w:spacing w:after="120"/>
      </w:pPr>
      <w:r>
        <w:rPr>
          <w:rFonts w:ascii="Times New Roman" w:hAnsi="Times New Roman" w:cs="Times New Roman"/>
          <w:sz w:val="24"/>
          <w:sz-cs w:val="24"/>
        </w:rPr>
        <w:t xml:space="preserve"> ערעורה של המדינה על זיכויו של אילון מעבירה של ניסיון לסחור ב-1 ק"ג סם מסוכן מסוג קוקאין – התקבל. אכן, ככל שהדבר נוגע לעסקה השניה – 'עסקת היצוא' של הק"ג החמישי – אין בנמצא 'בדל ראיה' המעיד על מעורבותו של אילון בניסיון להוציאה לפועל. שונים הם פני הדברים באשר לניסיון לסחור בקילוגרם הרביעי, כחלק מהעסקה הראשונה. עסקה זו התייחסה מראשיתה ל-4 ק"ג קוקאין, וקיימות אינדיקציות ברורות לכך שאילון היה מודע לעובדה זו.</w:t>
      </w:r>
    </w:p>
    <w:p>
      <w:pPr>
        <w:jc w:val="both"/>
        <w:bidi/>
        <w:spacing w:after="120"/>
      </w:pPr>
      <w:r>
        <w:rPr>
          <w:rFonts w:ascii="Times New Roman" w:hAnsi="Times New Roman" w:cs="Times New Roman"/>
          <w:sz w:val="24"/>
          <w:sz-cs w:val="24"/>
        </w:rPr>
        <w:t xml:space="preserve">העונש: בימ"ש זה עמד לא אחת על החומרה הרבה הטמונה בעבירות סחר והפצה של סמים, לא כל שכן סמים מסוכנים המוגדרים 'קשים', ועל הצורך להיאבק בהן באמצעות ענישה משמעותית ומרתיעה. בהתאם לכך, מדיניות הענישה הנוהגת בעבירות הסמים, ובכלל זאת בעבירת הסחר בסם, מצויה במגמת החמרה. ברי כי בעבירה של סחר בסם נודעת חשיבות לסוג הסם ולכמותו. במקרה דנה מדובר בסחר בקוקאין – סם מסוכן, שנזקיו הפוטנציאליים חמורים ורחבי היקף כאשר חומרת המעשים מתעצמת נוכח כמותו של הסם הנסחר, השקולה לאלפים רבים של מנות סם. זאת ועוד, לו היה הדבר תלוי באילון ושותפו, הייתה הכמות הנסחרת גדולה אף יותר. בנוסף על העונש לשקף גם את ההרשעה בעבירה הנוספת, החמורה כשלעצמה. לפיכך ונוכח ההלכה כי אין זה מדרכה של ערכאת הערעור למצות את מלוא חומרת הדין, ובהתחשב בחלקו הפחוּת של אילון במעשים; בנסיבותיו האישיות, ובראשן היותו נעדר עבר פלילי; ובסיכוייו הטובים לשיקום, ביהמ"ש מוסיף 12 חודשי מאסר בפועל לעונשו של אילון, באופן שעונש המאסר הכולל יעמוד על 52 חודשי מאסר בפועל. שאר רכיבי גזר הדין יעמדו בעינם.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נ' סולברג:</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1.        ערעור מזה ומזה על הכרעת הדין של בית המשפט המחוזי מרכז-לוד ב</w:t>
      </w:r>
      <w:r>
        <w:rPr>
          <w:rFonts w:ascii="Times New Roman" w:hAnsi="Times New Roman" w:cs="Times New Roman"/>
          <w:sz w:val="28"/>
          <w:sz-cs w:val="28"/>
          <w:u w:val="single"/>
          <w:spacing w:val="10"/>
          <w:color w:val="0000FF"/>
        </w:rPr>
        <w:t xml:space="preserve"> HYPERLINK "http://www.nevo.co.il/case/11267315" ת"פ 47474-01-14</w:t>
      </w:r>
      <w:r>
        <w:rPr>
          <w:rFonts w:ascii="Times New Roman" w:hAnsi="Times New Roman" w:cs="Times New Roman"/>
          <w:sz w:val="28"/>
          <w:sz-cs w:val="28"/>
          <w:spacing w:val="10"/>
        </w:rPr>
        <w:t xml:space="preserve"> מיום 19.7.2015 (השופטת </w:t>
      </w:r>
      <w:r>
        <w:rPr>
          <w:rFonts w:ascii="Times New Roman" w:hAnsi="Times New Roman" w:cs="Times New Roman"/>
          <w:sz w:val="24"/>
          <w:sz-cs w:val="24"/>
        </w:rPr>
        <w:t xml:space="preserve">מ' ברנט</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בגדרה הורשע המשיב ב</w:t>
      </w:r>
      <w:r>
        <w:rPr>
          <w:rFonts w:ascii="Times New Roman" w:hAnsi="Times New Roman" w:cs="Times New Roman"/>
          <w:sz w:val="28"/>
          <w:sz-cs w:val="28"/>
          <w:u w:val="single"/>
          <w:spacing w:val="10"/>
          <w:color w:val="0000FF"/>
        </w:rPr>
        <w:t xml:space="preserve"> HYPERLINK "http://www.nevo.co.il/case/20683594" ע"פ 7952/15</w:t>
      </w:r>
      <w:r>
        <w:rPr>
          <w:rFonts w:ascii="Times New Roman" w:hAnsi="Times New Roman" w:cs="Times New Roman"/>
          <w:sz w:val="28"/>
          <w:sz-cs w:val="28"/>
          <w:spacing w:val="10"/>
        </w:rPr>
        <w:t xml:space="preserve"> והמערער ב</w:t>
      </w:r>
      <w:r>
        <w:rPr>
          <w:rFonts w:ascii="Times New Roman" w:hAnsi="Times New Roman" w:cs="Times New Roman"/>
          <w:sz w:val="28"/>
          <w:sz-cs w:val="28"/>
          <w:u w:val="single"/>
          <w:spacing w:val="10"/>
          <w:color w:val="0000FF"/>
        </w:rPr>
        <w:t xml:space="preserve"> HYPERLINK "http://www.nevo.co.il/case/20683595" ע"פ 7955/15</w:t>
      </w:r>
      <w:r>
        <w:rPr>
          <w:rFonts w:ascii="Times New Roman" w:hAnsi="Times New Roman" w:cs="Times New Roman"/>
          <w:sz w:val="28"/>
          <w:sz-cs w:val="28"/>
          <w:spacing w:val="10"/>
        </w:rPr>
        <w:t xml:space="preserve">, אילון ישראל שץ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(להלן: </w:t>
      </w:r>
      <w:r>
        <w:rPr>
          <w:rFonts w:ascii="Times New Roman" w:hAnsi="Times New Roman" w:cs="Times New Roman"/>
          <w:sz w:val="24"/>
          <w:sz-cs w:val="24"/>
        </w:rPr>
        <w:t xml:space="preserve">"אילון"</w:t>
      </w:r>
      <w:r>
        <w:rPr>
          <w:rFonts w:ascii="Times New Roman" w:hAnsi="Times New Roman" w:cs="Times New Roman"/>
          <w:sz w:val="28"/>
          <w:sz-cs w:val="28"/>
          <w:spacing w:val="10"/>
        </w:rPr>
        <w:t xml:space="preserve">) בעבירת סחר בסם מסוכן, וזוכה מעבירת נסיון לסחר בסם מסוכן ומעבירת נסיון לייצוא סם מסוכן; וכן על גזר הדין של בית המשפט המחוזי מיום 8.10.2015, בגדרו נגזרו על אילון 40 חודשי מאסר בפועל ו-24 חודשי מאסר על-תנאי, והוטל עליו קנס בסך של 20,000 ₪ או 45 ימי מאסר חלף הקנס.</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רקע</w:t>
      </w:r>
    </w:p>
    <w:p>
      <w:pPr>
        <w:jc w:val="both"/>
        <w:bidi/>
      </w:pPr>
      <w:r>
        <w:rPr>
          <w:rFonts w:ascii="Times New Roman" w:hAnsi="Times New Roman" w:cs="Times New Roman"/>
          <w:sz w:val="28"/>
          <w:sz-cs w:val="28"/>
          <w:spacing w:val="10"/>
        </w:rPr>
        <w:t xml:space="preserve">2.        נגד אילון ונגד אליקים אלצ'יק (להלן: </w:t>
      </w:r>
      <w:r>
        <w:rPr>
          <w:rFonts w:ascii="Times New Roman" w:hAnsi="Times New Roman" w:cs="Times New Roman"/>
          <w:sz w:val="24"/>
          <w:sz-cs w:val="24"/>
        </w:rPr>
        <w:t xml:space="preserve">"יעקב"</w:t>
      </w:r>
      <w:r>
        <w:rPr>
          <w:rFonts w:ascii="Times New Roman" w:hAnsi="Times New Roman" w:cs="Times New Roman"/>
          <w:sz w:val="28"/>
          <w:sz-cs w:val="28"/>
          <w:spacing w:val="10"/>
        </w:rPr>
        <w:t xml:space="preserve">) הוגש כתב אישום, המייחס להם עבירות של סחר בסם מסוכן, לפי </w:t>
      </w:r>
      <w:r>
        <w:rPr>
          <w:rFonts w:ascii="Times New Roman" w:hAnsi="Times New Roman" w:cs="Times New Roman"/>
          <w:sz w:val="28"/>
          <w:sz-cs w:val="28"/>
          <w:u w:val="single"/>
          <w:spacing w:val="10"/>
          <w:color w:val="0000FF"/>
        </w:rPr>
        <w:t xml:space="preserve"> HYPERLINK "http://www.nevo.co.il/law/4216/13" סעיפים 13</w:t>
      </w:r>
      <w:r>
        <w:rPr>
          <w:rFonts w:ascii="Times New Roman" w:hAnsi="Times New Roman" w:cs="Times New Roman"/>
          <w:sz w:val="28"/>
          <w:sz-cs w:val="28"/>
          <w:spacing w:val="10"/>
        </w:rPr>
        <w:t xml:space="preserve"> ו-</w:t>
      </w:r>
      <w:r>
        <w:rPr>
          <w:rFonts w:ascii="Times New Roman" w:hAnsi="Times New Roman" w:cs="Times New Roman"/>
          <w:sz w:val="28"/>
          <w:sz-cs w:val="28"/>
          <w:u w:val="single"/>
          <w:spacing w:val="10"/>
          <w:color w:val="0000FF"/>
        </w:rPr>
        <w:t xml:space="preserve"> HYPERLINK "http://www.nevo.co.il/law/4216/19a" 19א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"http://www.nevo.co.il/law/4216" פקודת הסמים המסוכנים</w:t>
      </w:r>
      <w:r>
        <w:rPr>
          <w:rFonts w:ascii="Times New Roman" w:hAnsi="Times New Roman" w:cs="Times New Roman"/>
          <w:sz w:val="28"/>
          <w:sz-cs w:val="28"/>
          <w:spacing w:val="10"/>
        </w:rPr>
        <w:t xml:space="preserve"> [נוסח חדש], התשל"ג-1973 (להלן: </w:t>
      </w:r>
      <w:r>
        <w:rPr>
          <w:rFonts w:ascii="Times New Roman" w:hAnsi="Times New Roman" w:cs="Times New Roman"/>
          <w:sz w:val="24"/>
          <w:sz-cs w:val="24"/>
        </w:rPr>
        <w:t xml:space="preserve">"פקודת הסמים המסוכנים"</w:t>
      </w:r>
      <w:r>
        <w:rPr>
          <w:rFonts w:ascii="Times New Roman" w:hAnsi="Times New Roman" w:cs="Times New Roman"/>
          <w:sz w:val="28"/>
          <w:sz-cs w:val="28"/>
          <w:spacing w:val="10"/>
        </w:rPr>
        <w:t xml:space="preserve">); נסיון לסחר בסם מסוכן, לפי </w:t>
      </w:r>
      <w:r>
        <w:rPr>
          <w:rFonts w:ascii="Times New Roman" w:hAnsi="Times New Roman" w:cs="Times New Roman"/>
          <w:sz w:val="28"/>
          <w:sz-cs w:val="28"/>
          <w:u w:val="single"/>
          <w:spacing w:val="10"/>
          <w:color w:val="0000FF"/>
        </w:rPr>
        <w:t xml:space="preserve"> HYPERLINK "http://www.nevo.co.il/law/4216/13" סעיפים 13</w:t>
      </w:r>
      <w:r>
        <w:rPr>
          <w:rFonts w:ascii="Times New Roman" w:hAnsi="Times New Roman" w:cs="Times New Roman"/>
          <w:sz w:val="28"/>
          <w:sz-cs w:val="28"/>
          <w:spacing w:val="10"/>
        </w:rPr>
        <w:t xml:space="preserve"> ו-</w:t>
      </w:r>
      <w:r>
        <w:rPr>
          <w:rFonts w:ascii="Times New Roman" w:hAnsi="Times New Roman" w:cs="Times New Roman"/>
          <w:sz w:val="28"/>
          <w:sz-cs w:val="28"/>
          <w:u w:val="single"/>
          <w:spacing w:val="10"/>
          <w:color w:val="0000FF"/>
        </w:rPr>
        <w:t xml:space="preserve"> HYPERLINK "http://www.nevo.co.il/law/4216/19a" 19א</w:t>
      </w:r>
      <w:r>
        <w:rPr>
          <w:rFonts w:ascii="Times New Roman" w:hAnsi="Times New Roman" w:cs="Times New Roman"/>
          <w:sz w:val="28"/>
          <w:sz-cs w:val="28"/>
          <w:spacing w:val="10"/>
        </w:rPr>
        <w:t xml:space="preserve"> לפקודת הסמים המסוכנים בשילוב </w:t>
      </w:r>
      <w:r>
        <w:rPr>
          <w:rFonts w:ascii="Times New Roman" w:hAnsi="Times New Roman" w:cs="Times New Roman"/>
          <w:sz w:val="28"/>
          <w:sz-cs w:val="28"/>
          <w:u w:val="single"/>
          <w:spacing w:val="10"/>
          <w:color w:val="0000FF"/>
        </w:rPr>
        <w:t xml:space="preserve"> HYPERLINK "http://www.nevo.co.il/law/70301/25" סעיף 25</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התשל"ז-1977 (להלן: </w:t>
      </w:r>
      <w:r>
        <w:rPr>
          <w:rFonts w:ascii="Times New Roman" w:hAnsi="Times New Roman" w:cs="Times New Roman"/>
          <w:sz w:val="24"/>
          <w:sz-cs w:val="24"/>
        </w:rPr>
        <w:t xml:space="preserve">"חוק העונשין"</w:t>
      </w:r>
      <w:r>
        <w:rPr>
          <w:rFonts w:ascii="Times New Roman" w:hAnsi="Times New Roman" w:cs="Times New Roman"/>
          <w:sz w:val="28"/>
          <w:sz-cs w:val="28"/>
          <w:spacing w:val="10"/>
        </w:rPr>
        <w:t xml:space="preserve">) ונסיון ליצוא סם מסוכן, לפי </w:t>
      </w:r>
      <w:r>
        <w:rPr>
          <w:rFonts w:ascii="Times New Roman" w:hAnsi="Times New Roman" w:cs="Times New Roman"/>
          <w:sz w:val="28"/>
          <w:sz-cs w:val="28"/>
          <w:u w:val="single"/>
          <w:spacing w:val="10"/>
          <w:color w:val="0000FF"/>
        </w:rPr>
        <w:t xml:space="preserve"> HYPERLINK "http://www.nevo.co.il/law/4216/13" סעיפים 13</w:t>
      </w:r>
      <w:r>
        <w:rPr>
          <w:rFonts w:ascii="Times New Roman" w:hAnsi="Times New Roman" w:cs="Times New Roman"/>
          <w:sz w:val="28"/>
          <w:sz-cs w:val="28"/>
          <w:spacing w:val="10"/>
        </w:rPr>
        <w:t xml:space="preserve"> ו-</w:t>
      </w:r>
      <w:r>
        <w:rPr>
          <w:rFonts w:ascii="Times New Roman" w:hAnsi="Times New Roman" w:cs="Times New Roman"/>
          <w:sz w:val="28"/>
          <w:sz-cs w:val="28"/>
          <w:u w:val="single"/>
          <w:spacing w:val="10"/>
          <w:color w:val="0000FF"/>
        </w:rPr>
        <w:t xml:space="preserve"> HYPERLINK "http://www.nevo.co.il/law/4216/19a" 19א</w:t>
      </w:r>
      <w:r>
        <w:rPr>
          <w:rFonts w:ascii="Times New Roman" w:hAnsi="Times New Roman" w:cs="Times New Roman"/>
          <w:sz w:val="28"/>
          <w:sz-cs w:val="28"/>
          <w:spacing w:val="10"/>
        </w:rPr>
        <w:t xml:space="preserve"> לפקודת הסמים המסוכנים בשילוב </w:t>
      </w:r>
      <w:r>
        <w:rPr>
          <w:rFonts w:ascii="Times New Roman" w:hAnsi="Times New Roman" w:cs="Times New Roman"/>
          <w:sz w:val="28"/>
          <w:sz-cs w:val="28"/>
          <w:u w:val="single"/>
          <w:spacing w:val="10"/>
          <w:color w:val="0000FF"/>
        </w:rPr>
        <w:t xml:space="preserve"> HYPERLINK "http://www.nevo.co.il/law/70301/25" סעיף 25</w:t>
      </w:r>
      <w:r>
        <w:rPr>
          <w:rFonts w:ascii="Times New Roman" w:hAnsi="Times New Roman" w:cs="Times New Roman"/>
          <w:sz w:val="28"/>
          <w:sz-cs w:val="28"/>
          <w:spacing w:val="10"/>
        </w:rPr>
        <w:t xml:space="preserve"> לחוק העונשין.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        על-פי המתואר בכתב האישום, ביום 28.5.13 יצר יעקב, שהתגורר אותה עת באקוודור, קשר טלפוני עם רונן (להלן גם: </w:t>
      </w:r>
      <w:r>
        <w:rPr>
          <w:rFonts w:ascii="Times New Roman" w:hAnsi="Times New Roman" w:cs="Times New Roman"/>
          <w:sz w:val="24"/>
          <w:sz-cs w:val="24"/>
        </w:rPr>
        <w:t xml:space="preserve">"הסוכן"</w:t>
      </w:r>
      <w:r>
        <w:rPr>
          <w:rFonts w:ascii="Times New Roman" w:hAnsi="Times New Roman" w:cs="Times New Roman"/>
          <w:sz w:val="28"/>
          <w:sz-cs w:val="28"/>
          <w:spacing w:val="10"/>
        </w:rPr>
        <w:t xml:space="preserve">), סוכן משטרתי סמוי, והציע לספק לו סמים מסוכנים. בהמשך, מיום 8.7.13 ועד ליום 20.8.13, התנהלו בין יעקב לרונן שיחות</w:t>
      </w:r>
      <w:r>
        <w:rPr>
          <w:rFonts w:ascii="Times New Roman" w:hAnsi="Times New Roman" w:cs="Times New Roman"/>
          <w:sz w:val="24"/>
          <w:sz-cs w:val="24"/>
          <w:spacing w:val="10"/>
        </w:rPr>
        <w:t xml:space="preserve"> </w:t>
      </w:r>
      <w:r>
        <w:rPr>
          <w:rFonts w:ascii="Arial" w:hAnsi="Arial" w:cs="Arial"/>
          <w:sz w:val="18"/>
          <w:sz-cs w:val="18"/>
          <w:spacing w:val="10"/>
        </w:rPr>
        <w:t xml:space="preserve">SKYPE</w:t>
      </w:r>
      <w:r>
        <w:rPr>
          <w:rFonts w:ascii="Times New Roman" w:hAnsi="Times New Roman" w:cs="Times New Roman"/>
          <w:sz w:val="28"/>
          <w:sz-cs w:val="28"/>
          <w:spacing w:val="10"/>
        </w:rPr>
        <w:t xml:space="preserve">, אשר במסגרתן סוכם כי יעקב יספק לרונן 4 ק"ג סם מסוכן מסוג קוקאין בתמורה ל-2,500 דולר לק"ג. עוד סוכם כי אפי, שוטר סמוי נוסף, אשר פעל בשיתוף עם רונן, יגיע לקיטו שבאקוודור, ויבצע את העסקה. במסגרת השיחות ביניהם, הודיע יעקב לרונן שאילון והוא שותפים בעסקה. בנוסף, ביקש יעקב מרונן להעביר באמצעות אפי 1 ק"ג נוסף של סם מסוכן מסוג קוקאין, שלא במסגרת העסקה, אל מחוץ לגבולות אקוודור.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        ביום 25.8.13 נפגש אפי עם אילון ויעקב בקיטו. השניים הודיעו לאפי שמחירו של קילוגרם סם יהיה 2,700 דולר, ולא כפי שסוכם מראש. אפי הסכים, ומסר לאילון 10,000 דולר [בסופו של דבר קבע בית המשפט המחוזי כממצא עובדתי כי הכסף הועבר מאפי ליעקב, ולא לאילון; נ' ס'], והם סיכמו כי ישוחחו בהמשך לצורך השלמת העסקה.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        ביום 27.8.13 נפגשו אפי, אילון ויעקב בעיר קיטו. אפי מסר ליעקב 800 דולר נוספים, וקיבל מאילון תיק ובתוכו שלוש חבילות של סם מסוכן מסוג קוקאין, במשקל נטו של 2,987.68 גרם. יעקב עדכן את אפי כי טרם עלה בידו להשיג את שני הקילוגרמים הנוספים של הסם, אולם הוא ישיגם בהמשך. במפגש השלישי בין השלושה הודיע יעקב לאפי כי לא יוכל לספק את שני הקילוגרמים הנוספים, והחזיר לו 2,700 דולר.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        במסגרת הסדר טיעון הודה יעקב בעובדות כתב אישום מתוקן, והורשע בעבירת הסחר בסם מסוכן, ובעבירת הנסיון לסחר בסם מסוכן. לעומתו, אילון הודה בעדותו בפני בית המשפט המחוזי כי הוא מכיר את יעקב; כי שהה במועדים הרלוונטיים באקוודור; וכי פגש את אפי שלוש פעמים, אולם טען כי נוכחותו במפגשים נבעה אך מחברותו עם יעקב, כי לא היה מודע למהות העסקה ולפרטיה, וכי לא עסק מעולם בסחר, ביצוא או ביבוא סמים. עוד טען אילון למחדלי חקירה של המשטרה, הן בכך שלא ביצעה מסדר זיהוי לאפי בטרם הוצג לפניו אילון בארץ, הן בכך שבחרה לוותר על העדתם של שוטרי משטרת אקוודור, עדות שהייתה עשויה לאשש, לטענתו, את גרסתו. בכך נוצר לו נזק ראייתי, אשר פגע בזכותו להליך הוגן.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עיקרי הכרעת הדין של בית המשפט המחוזי</w:t>
      </w:r>
    </w:p>
    <w:p>
      <w:pPr>
        <w:jc w:val="both"/>
        <w:bidi/>
      </w:pPr>
      <w:r>
        <w:rPr>
          <w:rFonts w:ascii="Times New Roman" w:hAnsi="Times New Roman" w:cs="Times New Roman"/>
          <w:sz w:val="28"/>
          <w:sz-cs w:val="28"/>
          <w:spacing w:val="10"/>
        </w:rPr>
        <w:t xml:space="preserve">7.        בית המשפט המחוזי קבע כי עדותו של אפי, עד התביעה העיקרי, מהימנה עליו, ואף הצביע על חיזוקים לעדות זו בחומר הראיות, בדמות שיחות שהתקיימו בין רונן ליעקב, הן בתקופה הרלוונטית לאירועים, הן עובר לאותם אירועים. חיזוק ראייתי נוסף לגרסת התביעה נמצא בשתיקתו של אילון בחקירתו במשטרה.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8.        בית המשפט המחוזי קבע כי עדותו של אילון, אשר שתק במהלך חקירתו במשטרה, ובחר למסור את גרסתו לראשונה בבית המשפט, היא בגדר 'עדות כבושה', שערכה מועט. לפיכך, נקט בית המשפט המחוזי בדרך של 'פלגינן דיבורא', באופן שקיבל את גרסתו של אילון בדבר נוכחותו בפגישות (בניגוד לטענת יעקב, ולפיה אילון לא נכח בהן), אך דחה את גרסתו בדבר אי-מעורבותו בהן. בית המשפט המחוזי קבע כי דבריו של יעקב לפיהם אילון הוא </w:t>
      </w:r>
      <w:r>
        <w:rPr>
          <w:rFonts w:ascii="Times New Roman" w:hAnsi="Times New Roman" w:cs="Times New Roman"/>
          <w:sz w:val="24"/>
          <w:sz-cs w:val="24"/>
        </w:rPr>
        <w:t xml:space="preserve">"שותפו ויד ימינו"</w:t>
      </w:r>
      <w:r>
        <w:rPr>
          <w:rFonts w:ascii="Times New Roman" w:hAnsi="Times New Roman" w:cs="Times New Roman"/>
          <w:sz w:val="28"/>
          <w:sz-cs w:val="28"/>
          <w:spacing w:val="10"/>
        </w:rPr>
        <w:t xml:space="preserve">, כמו גם נוכחותו של אילון בשלוש הפגישות ומעורבותו בהן, מצביעים על היותו </w:t>
      </w:r>
      <w:r>
        <w:rPr>
          <w:rFonts w:ascii="Times New Roman" w:hAnsi="Times New Roman" w:cs="Times New Roman"/>
          <w:sz w:val="24"/>
          <w:sz-cs w:val="24"/>
        </w:rPr>
        <w:t xml:space="preserve">"שותף מלא לביצוע העבירות"</w:t>
      </w:r>
      <w:r>
        <w:rPr>
          <w:rFonts w:ascii="Times New Roman" w:hAnsi="Times New Roman" w:cs="Times New Roman"/>
          <w:sz w:val="28"/>
          <w:sz-cs w:val="28"/>
          <w:spacing w:val="10"/>
        </w:rPr>
        <w:t xml:space="preserve">. מעורבותו של אילון באה לידי ביטוי הן בפגישה הראשונה – בכך שהסביר לאפי כי רצו לראות אותו, מן הטעם שאילון ביטל בעבר עסקאות כאשר התרשם שהקונים משתמשים בעצמם בסמים; בשאלתו אם הבלדרית ישראלית; בשיחה עם יעקב על דרכים להעברת הסמים ועל הצורך בטשטוש הריח; ובספירת הכסף שהעביר אליו יעקב לאחר קבלתו מאפי והנחתו במגירה; והן בפגישה השניה – כאשר העביר את הסם באמצעות תיק גב לידי אפי, והציע לו את עזרתו באיטום אחת משלוש שקיות סם מסוכן מסוג קוקאין, שהייתה פתוחה. לפיכך, קבע בית המשפט המחוזי כי </w:t>
      </w:r>
      <w:r>
        <w:rPr>
          <w:rFonts w:ascii="Times New Roman" w:hAnsi="Times New Roman" w:cs="Times New Roman"/>
          <w:sz w:val="24"/>
          <w:sz-cs w:val="24"/>
        </w:rPr>
        <w:t xml:space="preserve">"חלקו של אילון בעבירת סחר בסמים עולה כדי ביצוע בצוותא"</w:t>
      </w:r>
      <w:r>
        <w:rPr>
          <w:rFonts w:ascii="Times New Roman" w:hAnsi="Times New Roman" w:cs="Times New Roman"/>
          <w:sz w:val="28"/>
          <w:sz-cs w:val="28"/>
          <w:spacing w:val="10"/>
        </w:rPr>
        <w:t xml:space="preserve">, והרשיע אותו בעבירה של סחר בכ-3 ק"ג סם מסוכן מסוג קוקאין.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9.        בצד זאת, זיכה בית המשפט המחוזי את אילון מעבירת נסיון סחר וייצוא של 1 ק"ג סם (סעיף 4 לכתב האישום), בקובעו כי </w:t>
      </w:r>
      <w:r>
        <w:rPr>
          <w:rFonts w:ascii="Times New Roman" w:hAnsi="Times New Roman" w:cs="Times New Roman"/>
          <w:sz w:val="24"/>
          <w:sz-cs w:val="24"/>
        </w:rPr>
        <w:t xml:space="preserve">"העבירה תוכננה מלכתחילה בין יעקב לרונן, ללא מעורבות מצד אילון ואין בחומר הראיות בדל של ראיה המתייחס למעורבות כלשהי של אילון בניסיון להוציא לפועל עסקה זו"</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תסקירי שירות המבחן</w:t>
      </w:r>
    </w:p>
    <w:p>
      <w:pPr>
        <w:jc w:val="both"/>
        <w:bidi/>
      </w:pPr>
      <w:r>
        <w:rPr>
          <w:rFonts w:ascii="Times New Roman" w:hAnsi="Times New Roman" w:cs="Times New Roman"/>
          <w:sz w:val="28"/>
          <w:sz-cs w:val="28"/>
          <w:spacing w:val="10"/>
        </w:rPr>
        <w:t xml:space="preserve">10.      במסגרת הטיעונים לעונש בבית המשפט המחוזי ערך שירות המבחן תסקיר בעניינו של אילון, ולקראת הדיון בערעור הוגש גם תסקיר משלים. בתסקיר צוין כי אילון נעדר עבר פלילי, וכי ברקע ביצוע העבירות עמד הקושי שלו לעמוד במחויבויותיו הכספיות ותחושה של אובדן שליטה על מצבו הכלכלי, נוכח הלוואות רבות שנטל לשם רכישת דירה. מצבו היה ידוע לגורמים עברייניים, אשר פנו אליו בהצעה לסחור בסמים. לצד זאת ציין שירות המבחן את שאיפתו של אילון להשגת רווחים מהירים ואת משיכתו לסממנים חיצוניים המאפיינים יכולת כלכלית ומעמד, מתוך צורך לחוש בעל ערך. שירות המבחן ציין כי אילון קיבל אחריות למעשיו, וכי הוא מודע לחומרתם. עוד ציין שירות המבחן כי לא התרשם מקיומם של דפוסי התנהגות עברייניים מושרשים אצל אילון, כי הוא מבטא נכונות להימנע ממעורבות חוזרת עם הפרת החוק, מעוניין לשנות את אורח חייו, וההליך המשפטי והמעצר מהווים גורמים מרתיעים עבורו. עוד צוין כי במהלך מעצרו שימש אילון כתומך לאסירים במצוקה, וכי השתלב בטיפול פרטני וקבוצתי, ממנו הוא מפיק תועלת. אילון הביע נכונות להמשיך בהליך הטיפולי. נוכח זאת, ועל רקע ההערכות כי </w:t>
      </w:r>
      <w:r>
        <w:rPr>
          <w:rFonts w:ascii="Times New Roman" w:hAnsi="Times New Roman" w:cs="Times New Roman"/>
          <w:sz w:val="24"/>
          <w:sz-cs w:val="24"/>
        </w:rPr>
        <w:t xml:space="preserve">"פחת הסיכון להישנות מעורבות עם החוק"</w:t>
      </w:r>
      <w:r>
        <w:rPr>
          <w:rFonts w:ascii="Times New Roman" w:hAnsi="Times New Roman" w:cs="Times New Roman"/>
          <w:sz w:val="28"/>
          <w:sz-cs w:val="28"/>
          <w:spacing w:val="10"/>
        </w:rPr>
        <w:t xml:space="preserve"> וכי הוא זקוק להמשך טיפול לשם הפחתת הסיכון למעורבות חוזרת עם החוק במצבים בהם הוא חש צורך לפצות על דימויו העצמי הנמוך, המליץ שירות המבחן על העדפת הפן הטיפולי-שיקומי בעניינו של אילון, באופן שיוטל עליו עונש מאסר שיכלול את תקופת מעצרו בתוספת מספר חודשים, שבמהלכם תגובש תוכנית טיפולית אשר תסייע בשיקומו כאשר ישתחרר מבית הסוהר. בתסקיר המשלים שערך שירות המבחן לקראת הדיון בערעור צוינו כגורמים מרתיעים נוספים אובדן הקשר הזוגי שהתרחש בינתיים ותחושת הבושה של אילון אל מול הסובבים אותו. שירות המבחן שב והעריך כי הטיפול המוצע על-ידי הרשות לאסיר מהווה מרכיב משמעותי בהמשך תהליך שיקומו של אילון ובמניעת מעורבות חוזרת עם החוק, והמליץ להסתפק בעונש שהוטל עליו.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עיקרי גזר הדין של בית המשפט המחוזי</w:t>
      </w:r>
    </w:p>
    <w:p>
      <w:pPr>
        <w:jc w:val="both"/>
        <w:bidi/>
      </w:pPr>
      <w:r>
        <w:rPr>
          <w:rFonts w:ascii="Times New Roman" w:hAnsi="Times New Roman" w:cs="Times New Roman"/>
          <w:sz w:val="28"/>
          <w:sz-cs w:val="28"/>
          <w:spacing w:val="10"/>
        </w:rPr>
        <w:t xml:space="preserve">11.      בהתאם לקביעתו כי אילון היה שותף לביצוע עבירות סמים על אדמת אקוודור, ולאחר שלקח בחשבון את הערכים המוגנים בעבירה ואת נסיבות העניין, ובכלל זאת מסוכנותו הרבה של הסם וכמותו הגדולה מחד גיסא, ומידת מעורבותו הפחותה של אילון ביחס לזו של יעקב והעובדה כי הסם נתפס טרם הפצתו למשתמשים מאידך גיסא, קבע בית המשפט המחוזי כי מתחם העונש ההולם נע בין 3.5 לבין 5.5 שנות מאסר בפועל. בית המשפט המחוזי הוסיף וקבע כי עניינו של אילון אינו מצדיק סטיה ממתחם העונש ההולם מטעמי שיקום. לאחר שקבע כי מידת פגיעתו של העונש באילון ובבני משפחתו היא משמעותית לאור ריחוקם של אשתו ובנו הפעוט, הנמצאים באקוודור, ולאחר שלקח בחשבון את היותו של אילון נעדר עבר פלילי; את שירותו הצבאי; את התנהגותו החיובית במהלך המעצר; את הטיפול אותו הוא עובר; את קיומם של </w:t>
      </w:r>
      <w:r>
        <w:rPr>
          <w:rFonts w:ascii="Times New Roman" w:hAnsi="Times New Roman" w:cs="Times New Roman"/>
          <w:sz w:val="24"/>
          <w:sz-cs w:val="24"/>
        </w:rPr>
        <w:t xml:space="preserve">"גורמים מפחיתי סיכון להישנות העבירות בעתיד"</w:t>
      </w:r>
      <w:r>
        <w:rPr>
          <w:rFonts w:ascii="Times New Roman" w:hAnsi="Times New Roman" w:cs="Times New Roman"/>
          <w:sz w:val="28"/>
          <w:sz-cs w:val="28"/>
          <w:spacing w:val="10"/>
        </w:rPr>
        <w:t xml:space="preserve">, ובהם האפקט ההרתעתי של מעצרו ושילובו בטיפול; ואת המלצת שירות המבחן לריצוי כמה חודשי מאסר נוספים מעבר לתקופת מעצרו עד אותה עת, קבע בית המשפט המחוזי כי יש לגזור את עונשו של אילון ברף התחתון של המתחם שקבע, והשית עליו את העונשים שלעיל.</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תמצית טענות הצדדים</w:t>
      </w:r>
    </w:p>
    <w:p>
      <w:pPr>
        <w:jc w:val="both"/>
        <w:bidi/>
      </w:pPr>
      <w:r>
        <w:rPr>
          <w:rFonts w:ascii="Times New Roman" w:hAnsi="Times New Roman" w:cs="Times New Roman"/>
          <w:sz w:val="28"/>
          <w:sz-cs w:val="28"/>
          <w:spacing w:val="10"/>
        </w:rPr>
        <w:t xml:space="preserve">12.      ערעורה של המערערת בע"פ 7952/15 והמשיבה בע"פ 7955/15 (להלן: </w:t>
      </w:r>
      <w:r>
        <w:rPr>
          <w:rFonts w:ascii="Times New Roman" w:hAnsi="Times New Roman" w:cs="Times New Roman"/>
          <w:sz w:val="24"/>
          <w:sz-cs w:val="24"/>
        </w:rPr>
        <w:t xml:space="preserve">"המדינה"</w:t>
      </w:r>
      <w:r>
        <w:rPr>
          <w:rFonts w:ascii="Times New Roman" w:hAnsi="Times New Roman" w:cs="Times New Roman"/>
          <w:sz w:val="28"/>
          <w:sz-cs w:val="28"/>
          <w:spacing w:val="10"/>
        </w:rPr>
        <w:t xml:space="preserve">), מופנה הן כלפי זיכויו של אילון מעבירה של נסיון לסחור ב-1 ק"ג סם מסוכן מסוג קוקאין (</w:t>
      </w:r>
      <w:r>
        <w:rPr>
          <w:rFonts w:ascii="Times New Roman" w:hAnsi="Times New Roman" w:cs="Times New Roman"/>
          <w:sz w:val="24"/>
          <w:sz-cs w:val="24"/>
        </w:rPr>
        <w:t xml:space="preserve">"הקילוגרם הרביעי"</w:t>
      </w:r>
      <w:r>
        <w:rPr>
          <w:rFonts w:ascii="Times New Roman" w:hAnsi="Times New Roman" w:cs="Times New Roman"/>
          <w:sz w:val="28"/>
          <w:sz-cs w:val="28"/>
          <w:spacing w:val="10"/>
        </w:rPr>
        <w:t xml:space="preserve">), הן כלפי קולת העונש שנגזר עליו.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13.      אשר לזיכויו של אילון מעבירה של נסיון לסחור ב-1 ק"ג סם מסוכן מסוג קוקאין, טוענת המדינה כי הקילוגרם הרביעי </w:t>
      </w:r>
      <w:r>
        <w:rPr>
          <w:rFonts w:ascii="Times New Roman" w:hAnsi="Times New Roman" w:cs="Times New Roman"/>
          <w:sz w:val="24"/>
          <w:sz-cs w:val="24"/>
        </w:rPr>
        <w:t xml:space="preserve">"היווה חלק בלתי נפרד מעסקת הסמים בגינה הורשע המשיב כמבצע בצוותא"</w:t>
      </w:r>
      <w:r>
        <w:rPr>
          <w:rFonts w:ascii="Times New Roman" w:hAnsi="Times New Roman" w:cs="Times New Roman"/>
          <w:sz w:val="28"/>
          <w:sz-cs w:val="28"/>
          <w:spacing w:val="10"/>
        </w:rPr>
        <w:t xml:space="preserve">. לטענתה, העסקה התייחסה מראשיתה, ובמהלך כל שלביה, ל-4 ק"ג קוקאין, ומבנה העסקה 'שובש' אך בשל הקושי של יעקב ואילון להשיג את קילוגרם הסם הרביעי. לפיכך, שותפותו של אילון לא הוגבלה לשלושת הקילוגרמים שסופקו בפועל, אלא הוא היה שותף מלא גם בעבירת הנסיון לספק את הקילוגרם הרביעי.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14.      אשר לעונש: ראשית טוענת המדינה כי בהתאם לצורך להרשיע את אילון בעבירה של נסיון לסחר בקילוגרם הרביעי, יש להחמיר בעונשו, באופן שישקף את ההרשעה בעבירה הנוספת. שנית, טוענת המדינה כי המתחם שקבע בית המשפט המחוזי קל מדי, וכך גם העונש שנגזר על אילון בפועל. לטענתה, בנסיבות בהן התבצע סחר בסם מסוכן 'קשה' מסוג קוקאין בכמות כה גדולה, אין מדובר בסחר סיטונאי 'רגיל', אלא בעסקת אספקה </w:t>
      </w:r>
      <w:r>
        <w:rPr>
          <w:rFonts w:ascii="Times New Roman" w:hAnsi="Times New Roman" w:cs="Times New Roman"/>
          <w:sz w:val="24"/>
          <w:sz-cs w:val="24"/>
        </w:rPr>
        <w:t xml:space="preserve">לסיטונאים</w:t>
      </w:r>
      <w:r>
        <w:rPr>
          <w:rFonts w:ascii="Times New Roman" w:hAnsi="Times New Roman" w:cs="Times New Roman"/>
          <w:sz w:val="28"/>
          <w:sz-cs w:val="28"/>
          <w:spacing w:val="10"/>
        </w:rPr>
        <w:t xml:space="preserve">. לפיכך, מבקשת המדינה להחמיר בעונשו של אילון, </w:t>
      </w:r>
      <w:r>
        <w:rPr>
          <w:rFonts w:ascii="Times New Roman" w:hAnsi="Times New Roman" w:cs="Times New Roman"/>
          <w:sz w:val="24"/>
          <w:sz-cs w:val="24"/>
        </w:rPr>
        <w:t xml:space="preserve">"כך שיהלום את חומרת העבירה ונסיבותיה החמורות"</w:t>
      </w:r>
      <w:r>
        <w:rPr>
          <w:rFonts w:ascii="Times New Roman" w:hAnsi="Times New Roman" w:cs="Times New Roman"/>
          <w:sz w:val="28"/>
          <w:sz-cs w:val="28"/>
          <w:spacing w:val="10"/>
        </w:rPr>
        <w:t xml:space="preserve">, וזאת אף אם ידחה ערעורה על זיכויו בעבירת נסיון סחר בקילוגרם הרביעי.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15.      המדינה טוענת כי חרף קביעתו של בית המשפט המחוזי לפיה אין הצדקה לסטות ממתחם העונש ההולם משיקולי שיקום, חרג הוא ממתחם השיקום כאשר גזר על אילון 40 חודשי מאסר בפועל, בעוד הרף התחתון של המתחם שנקבע הוא 42 חודשי מאסר בפועל, וזאת מבלי שנומקה החריגה מן המתחם.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16.      עוד טוענת המדינה כי שגה בית המשפט המחוזי כשקבע כי אין רלוונטיות לרמת הענישה בפסיקה שהוצגה על-ידה מן הטעם שמדובר בגזרי דין הכוללים גם עבירה של יבוא או נסיון יבוא סם מסוכן. לטענת המדינה, נסיבות ביצוע העבירה, ובהן כמות הסם; מיקום העסקה בדרום אמריקה, מקור הפצת סם הקוקאין; ידיעתם של יעקב ואילון כי הם סוחרים מול גורם ישראלי ולא מקומי; התעניינותם אם הבלדרית ישראלית; ושיחתם בעניין ספריי שתפקידו לטשטש את ריח הסם ולהערים על הכלבים שבשדה התעופה, מעידות כי מדובר בעסקת סחר </w:t>
      </w:r>
      <w:r>
        <w:rPr>
          <w:rFonts w:ascii="Times New Roman" w:hAnsi="Times New Roman" w:cs="Times New Roman"/>
          <w:sz w:val="24"/>
          <w:sz-cs w:val="24"/>
        </w:rPr>
        <w:t xml:space="preserve">בינלאומי</w:t>
      </w:r>
      <w:r>
        <w:rPr>
          <w:rFonts w:ascii="Times New Roman" w:hAnsi="Times New Roman" w:cs="Times New Roman"/>
          <w:sz w:val="28"/>
          <w:sz-cs w:val="28"/>
          <w:spacing w:val="10"/>
        </w:rPr>
        <w:t xml:space="preserve"> בסם מסוכן מסוג קוקאין, ולא בעסקת סחר מקומית 'בלבד', והיה על בית המשפט המחוזי לקבוע רף ענישה התואם את החומרה שבעבירות מסוג זה.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17.      לבסוף טוענת המדינה כי אין בעניינו של אילון נסיבות אישיות יחודיות שבכוחן לגבור על הצורך בענישה ממשית ומרתיעה כאשר מדובר בעבירות של סחר בסמים.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18.      מנגד, אילון מערער על הכרעת הדין ועל גזר הדין. לטענתו, אין מחלוקת כי הוא לא נטל חלק פעיל בשיחות שקדמו לביצוע העסקה, שבהן נקבעו סוג הסם, כמותו ומחירו. בכך יש כדי להקים ספק סביר על אודות כוונתו להוציא לפועל עסקת סם, ובדבר מודעותו לסוג הסם, לכמותו ולמחירו. נוסף על כך, לא הוכחה לטענתו מעורבותו בתכנון העסקה בפועל, לאחר הגעתו של אפי לאקוודור. לפיכך, שגה בית המשפט המחוזי כאשר לא עשה הבחנה ברורה בין חלקו של יעקב לחלקו-שלו באירועים, והרשיע אותו בעבירה של סחר בסם מסוכן. לטענת אילון, משקבע בית המשפט כי יש לזכותו מהנסיון לסחור בקילוגרם הרביעי, וזאת חרף נוכחותו בפגישה בה הוחזר לאפי סכום הכסף ששילם בעד קילוגרם זה, היה עליו לזכותו גם מעבירת הסחר בשלושת הקילוגרמים ה'ראשונים'. עוד טוען אילון כי שגה בית המשפט המחוזי כשקבע כי המדינה הרימה את הנטל המוטל עליה על אף הימנעותה מלהעיד את שוטרי משטרת אקוודור. לדבריו, בעשותה כן גרמה לו המדינה נזק ראייתי חמור שבשלו יש לזכותו מהמיוחס לו בכתב האישום, או למצער, להקל בעונשו.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19.      טענות נוספות אשר מעלה אילון הן כי שגה בית המשפט המחוזי כשלא קבע כי קיים נתק בשרשרת הסם בשל כך שמשך 24 שעות נמצא הסם בתחנת המשטרה בקיטו ללא השגחה או פיקוח של שוטרי משטרת ישראל; כשלא קבע כי יש ליתן לעדותו של רפ"ק לאון הירש משקל אפסי, וזאת לאור העובדה שהשלים בדיעבד בדוח הפעולה את הפרט בדבר היות התיק בו הועבר הסם </w:t>
      </w:r>
      <w:r>
        <w:rPr>
          <w:rFonts w:ascii="Times New Roman" w:hAnsi="Times New Roman" w:cs="Times New Roman"/>
          <w:sz w:val="24"/>
          <w:sz-cs w:val="24"/>
        </w:rPr>
        <w:t xml:space="preserve">"תיק נייק כחול"</w:t>
      </w:r>
      <w:r>
        <w:rPr>
          <w:rFonts w:ascii="Times New Roman" w:hAnsi="Times New Roman" w:cs="Times New Roman"/>
          <w:sz w:val="28"/>
          <w:sz-cs w:val="28"/>
          <w:spacing w:val="10"/>
        </w:rPr>
        <w:t xml:space="preserve">, ובהתחשב בכך שבאי-כוחו התמקדו בחקירותיהם בצורתו החיצונית של התיק; כשמצא חיזוק ראייתי לאשמתו בשיחות שהוא עצמו לא היה צד להן; כשקבע כי גרסתו היא בגדר 'גרסה כבושה'; כשמצא בגרסתו של אילון חיזוק לעדותו של אפי; כשהעניק משקל מלא לעדותו של אפי על אף סתירות שנתגלו בין עדותו בבית המשפט לבין המסמכים בהם תיעד את האירועים והעימות שבוצע בינו לבין אילון במהלך חקירתו של אילון; וכשקבע כי אין להעניק כל משקל לעדותו של יעקב, שבה טען כי לא נפגש מעולם עם אפי ואילון יחדיו.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20.      לחלופין טוען אילון כי שגה בית המשפט המחוזי כשקבע כי יש לראותו כמבצע בצוותא של עבירת הסחר בסם, ולא אך כמסייע. לטענתו, בית המשפט המחוזי הסתמך בקביעתו זו על עדותו של אפי, </w:t>
      </w:r>
      <w:r>
        <w:rPr>
          <w:rFonts w:ascii="Times New Roman" w:hAnsi="Times New Roman" w:cs="Times New Roman"/>
          <w:sz w:val="24"/>
          <w:sz-cs w:val="24"/>
        </w:rPr>
        <w:t xml:space="preserve">"הנעדרת חיזוק לעניין הפרטים שבאמצעותם קובע בית המשפט הנכבד כי המערער הינו שותף מלא לביצוע העבירות"</w:t>
      </w:r>
      <w:r>
        <w:rPr>
          <w:rFonts w:ascii="Times New Roman" w:hAnsi="Times New Roman" w:cs="Times New Roman"/>
          <w:sz w:val="28"/>
          <w:sz-cs w:val="28"/>
          <w:spacing w:val="10"/>
        </w:rPr>
        <w:t xml:space="preserve">. לעניין זה שב אילון וטוען כי לא ניתן לראות בשיחות שהתקיימו בין יעקב לרונן תוספת ראייתית מסוג 'חיזוק'.</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21.      אשר לעונש שנגזר עליו, טוען אילון כי מששגה בית המשפט המחוזי בהרשעתו כמבצע בצוותא, שגה הוא גם בקביעת מתחם העונש ההולם, שצריך להיות נמוך משמעותית מזה שנקבע. מכל מקום, כך נטען, הבחנה מהותית בין חלקו של יעקב לחלקו-שלו, שלטענתו היה על בית המשפט המחוזי לערוך, הייתה מובילה לקביעת מתחם ענישה נמוך בהרבה מהמתחם שנקבע בפועל. עוד טוען אילון כי שגה בית המשפט המחוזי כשבחר שלא לאמץ את המלצת שירות המבחן להסתפק בתקופת מעצרו, בתוספת מספר חודשי מאסר נוספים, וכן כאשר קבע שהמקרה הנוכחי אינו מצדיק סטיה ממתחם הענישה שנקבע לטובת שיקולי שיקום. עוד הוא טוען כי בגזירת העונש לא ניתן משקל מספיק להיותו נעדר עבר פלילי ולתהליך השיקום שעבר. לבסוף טוען אילון כי הקנס שהושת עליו גבוה מאוד, וכי הוא יתקשה לעמוד בתשלומו. לפיכך הוא מבקש כי גובה הקנס יועמד על מחצית מהסכום שקבע בית המשפט המחוזי. בדיון לפנינו הוסיפו באי כוחו של אילון כי התיק נשמע בפני בית המשפט המחוזי משך שנה וחצי, ואף בכך יש משום הצדקה להקלה בעונש.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22.      המדינה סומכת ידיה על קביעות בית המשפט המחוזי ועל נימוקיו בכל האמור בהרשעתו של אילון בעבירה של סחר בסם מסוכן מסוג קוקאין.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דיון והכרעה</w:t>
      </w:r>
    </w:p>
    <w:p>
      <w:pPr>
        <w:jc w:val="both"/>
        <w:bidi/>
      </w:pPr>
      <w:r>
        <w:rPr>
          <w:rFonts w:ascii="Times New Roman" w:hAnsi="Times New Roman" w:cs="Times New Roman"/>
          <w:sz w:val="28"/>
          <w:sz-cs w:val="28"/>
          <w:spacing w:val="10"/>
        </w:rPr>
        <w:t xml:space="preserve">23.      לאחר שנתתי דעתי על טענות הצדדים בכתב ובעל-פה, ושקלתי בדברים, באתי לכלל מסקנה כי דין ערעורה של המדינה להתקבל, ודין ערעורו של אילון להידחות.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ערעורו של אילון על הרשעתו בעבירת סחר בכ-3 ק"ג סם מסוכן</w:t>
      </w:r>
    </w:p>
    <w:p>
      <w:pPr>
        <w:jc w:val="both"/>
        <w:bidi/>
      </w:pPr>
      <w:r>
        <w:rPr>
          <w:rFonts w:ascii="Times New Roman" w:hAnsi="Times New Roman" w:cs="Times New Roman"/>
          <w:sz w:val="28"/>
          <w:sz-cs w:val="28"/>
          <w:spacing w:val="10"/>
        </w:rPr>
        <w:t xml:space="preserve">24.      ערעורו של אילון על הכרעת הדין נסוב, בעיקרו של דבר, על ממצאי עובדה ומהימנות שנקבעו על-ידי בית המשפט המחוזי. כידוע, אין זו דרכה של ערכאת הערעור להתערב בממצאים שכאלה שנקבעו על-ידי הערכאה הדיונית, אלא במקרים חריגים. זאת, בשל היתרון האינהרנטי שיש לערכאה הדיונית על-פני ערכאת הערעור כמי שרואה את העדים, שומעת אותם ומתרשמת מהם באורח ישיר ובלתי אמצעי (</w:t>
      </w:r>
      <w:r>
        <w:rPr>
          <w:rFonts w:ascii="Times New Roman" w:hAnsi="Times New Roman" w:cs="Times New Roman"/>
          <w:sz w:val="28"/>
          <w:sz-cs w:val="28"/>
          <w:u w:val="single"/>
          <w:spacing w:val="10"/>
          <w:color w:val="0000FF"/>
        </w:rPr>
        <w:t xml:space="preserve"> HYPERLINK "http://www.nevo.co.il/case/20531136" ע"פ 5672/15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דיומנקו נ' מדינת ישראל</w:t>
      </w:r>
      <w:r>
        <w:rPr>
          <w:rFonts w:ascii="Times New Roman" w:hAnsi="Times New Roman" w:cs="Times New Roman"/>
          <w:sz w:val="28"/>
          <w:sz-cs w:val="28"/>
          <w:spacing w:val="10"/>
        </w:rPr>
        <w:t xml:space="preserve">, פסקה 11 וההפניות שם (‏17.12.2015)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(להלן: </w:t>
      </w:r>
      <w:r>
        <w:rPr>
          <w:rFonts w:ascii="Times New Roman" w:hAnsi="Times New Roman" w:cs="Times New Roman"/>
          <w:sz w:val="24"/>
          <w:sz-cs w:val="24"/>
        </w:rPr>
        <w:t xml:space="preserve">"עניין דיומנקו"</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25.      ברבות השנים, נקבעו לכלל אי-ההתערבות מספר חריגים, שבהתקיימם אין לערכאה הדיונית יתרון על פני ערכאת הערעור, ואז מוצדקת התערבותה של ערכאת הערעור בממצאים של עובדה ומהימנות שנקבעו על-ידי הערכאה הדיונית (עניין </w:t>
      </w:r>
      <w:r>
        <w:rPr>
          <w:rFonts w:ascii="Times New Roman" w:hAnsi="Times New Roman" w:cs="Times New Roman"/>
          <w:sz w:val="24"/>
          <w:sz-cs w:val="24"/>
        </w:rPr>
        <w:t xml:space="preserve">דיומנקו</w:t>
      </w:r>
      <w:r>
        <w:rPr>
          <w:rFonts w:ascii="Times New Roman" w:hAnsi="Times New Roman" w:cs="Times New Roman"/>
          <w:sz w:val="28"/>
          <w:sz-cs w:val="28"/>
          <w:spacing w:val="10"/>
        </w:rPr>
        <w:t xml:space="preserve">, פסקה 12 וההפניות שם). ענייננו אינו בא בגדר חריגים אלה.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26.      בית המשפט המחוזי ביסס את הרשעתו של אילון בעבירת סחר בסם מסוכן בראש ובראשונה על עדותו של אפי, אשר היתה מהימנה עליו. לעניין זה ציין בית המשפט המחוזי כי לא התרשם </w:t>
      </w:r>
      <w:r>
        <w:rPr>
          <w:rFonts w:ascii="Times New Roman" w:hAnsi="Times New Roman" w:cs="Times New Roman"/>
          <w:sz w:val="24"/>
          <w:sz-cs w:val="24"/>
        </w:rPr>
        <w:t xml:space="preserve">"ממגמת הרחבה של אפי בדבריו, אלא דווקא מניסיון לדייק במידת האפשר בפרטים"</w:t>
      </w:r>
      <w:r>
        <w:rPr>
          <w:rFonts w:ascii="Times New Roman" w:hAnsi="Times New Roman" w:cs="Times New Roman"/>
          <w:sz w:val="28"/>
          <w:sz-cs w:val="28"/>
          <w:spacing w:val="10"/>
        </w:rPr>
        <w:t xml:space="preserve">, וכי בעדותו עמד אפי על ההבדלים בין מידת מעורבותו של יעקב באירועים לבין מידת מעורבותו של אילון, </w:t>
      </w:r>
      <w:r>
        <w:rPr>
          <w:rFonts w:ascii="Times New Roman" w:hAnsi="Times New Roman" w:cs="Times New Roman"/>
          <w:sz w:val="24"/>
          <w:sz-cs w:val="24"/>
        </w:rPr>
        <w:t xml:space="preserve">"ותאר את חלקו של כל אחד מהם בביצוע העבירות"</w:t>
      </w:r>
      <w:r>
        <w:rPr>
          <w:rFonts w:ascii="Times New Roman" w:hAnsi="Times New Roman" w:cs="Times New Roman"/>
          <w:sz w:val="28"/>
          <w:sz-cs w:val="28"/>
          <w:spacing w:val="10"/>
        </w:rPr>
        <w:t xml:space="preserve">. עוד ציין בית המשפט כי </w:t>
      </w:r>
      <w:r>
        <w:rPr>
          <w:rFonts w:ascii="Times New Roman" w:hAnsi="Times New Roman" w:cs="Times New Roman"/>
          <w:sz w:val="24"/>
          <w:sz-cs w:val="24"/>
        </w:rPr>
        <w:t xml:space="preserve">"הפעילות לא כוונה כאמור מלכתחילה כלפי אילון אלא כלפי יעקב דווקא"</w:t>
      </w:r>
      <w:r>
        <w:rPr>
          <w:rFonts w:ascii="Times New Roman" w:hAnsi="Times New Roman" w:cs="Times New Roman"/>
          <w:sz w:val="28"/>
          <w:sz-cs w:val="28"/>
          <w:spacing w:val="10"/>
        </w:rPr>
        <w:t xml:space="preserve">, ולא נמצא </w:t>
      </w:r>
      <w:r>
        <w:rPr>
          <w:rFonts w:ascii="Times New Roman" w:hAnsi="Times New Roman" w:cs="Times New Roman"/>
          <w:sz w:val="24"/>
          <w:sz-cs w:val="24"/>
        </w:rPr>
        <w:t xml:space="preserve">"כל מניע או סיבה לאפי למסור עדות שקר בסוגיה נקודתית זו"</w:t>
      </w:r>
      <w:r>
        <w:rPr>
          <w:rFonts w:ascii="Times New Roman" w:hAnsi="Times New Roman" w:cs="Times New Roman"/>
          <w:sz w:val="28"/>
          <w:sz-cs w:val="28"/>
          <w:spacing w:val="10"/>
        </w:rPr>
        <w:t xml:space="preserve">. לבסוף, ציין בית המשפט המחוזי כי הדברים שמסר אפי בעדותו </w:t>
      </w:r>
      <w:r>
        <w:rPr>
          <w:rFonts w:ascii="Times New Roman" w:hAnsi="Times New Roman" w:cs="Times New Roman"/>
          <w:sz w:val="24"/>
          <w:sz-cs w:val="24"/>
        </w:rPr>
        <w:t xml:space="preserve">"עולים בקנה אחד עם הפרטים אותם דיווח למפעיליו מיד ובסמוך להתרחשות האירועים ואשר תועדו בדו"חות שהוגשו לעיוני"</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27.      בית המשפט המחוזי לא התעלם מן הסתירות בין הודעותיו של אפי לדברים שאמר בעימות שנערך בינו לבין אילון, אולם קבע כי </w:t>
      </w:r>
      <w:r>
        <w:rPr>
          <w:rFonts w:ascii="Times New Roman" w:hAnsi="Times New Roman" w:cs="Times New Roman"/>
          <w:sz w:val="24"/>
          <w:sz-cs w:val="24"/>
        </w:rPr>
        <w:t xml:space="preserve">"הדברים תועדו במזכר בסמוך להתרחשותם"</w:t>
      </w:r>
      <w:r>
        <w:rPr>
          <w:rFonts w:ascii="Times New Roman" w:hAnsi="Times New Roman" w:cs="Times New Roman"/>
          <w:sz w:val="28"/>
          <w:sz-cs w:val="28"/>
          <w:spacing w:val="10"/>
        </w:rPr>
        <w:t xml:space="preserve">, וקיבל את הסברו של אפי, לפיו בעוד ההודעות נגבו ממנו זמן קצר לאחר האירועים, העימות נערך כחמישה חודשים מאוחר יותר, ולכן יתכן שלא דייק בדבריו בעימות. קביעה זו מקובלת עליי, ואיני רואה טעם טוב להתערב בה.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28.      מנגד, דחה בית המשפט המחוזי את גרסתו של אילון, לפיה הוא נכח אמנם בפגישות, אך לא נטל בהן חלק פעיל ואף לא היה מודע לתוכנן. כאמור לעיל, קבע בית המשפט המחוזי כי גרסה זו היא בגדר 'עדות כבושה', אשר הועלתה על-ידי אילון לראשונה במסגרת עדותו בבית המשפט, ולכן משקלה מועט. לטענת אילון, הוא הציג את גרסתו כבר במהלך העימות שנערך בחקירתו במשטרה, ולכן היא אינה גרסה כבושה. דין הטענה להידחות.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29.      המונח 'גרסה כבושה' מתייחס גם לגרסה כבושה שהועלתה בשלב מאוחר של חקירת המשטרה (</w:t>
      </w:r>
      <w:r>
        <w:rPr>
          <w:rFonts w:ascii="Times New Roman" w:hAnsi="Times New Roman" w:cs="Times New Roman"/>
          <w:sz w:val="28"/>
          <w:sz-cs w:val="28"/>
          <w:u w:val="single"/>
          <w:spacing w:val="10"/>
          <w:color w:val="0000FF"/>
        </w:rPr>
        <w:t xml:space="preserve"> HYPERLINK "http://www.nevo.co.il/case/5952282" ע"פ 4364/02 מלמד נ' מדינת ישראל, פד"י נז</w:t>
      </w:r>
      <w:r>
        <w:rPr>
          <w:rFonts w:ascii="Times New Roman" w:hAnsi="Times New Roman" w:cs="Times New Roman"/>
          <w:sz w:val="28"/>
          <w:sz-cs w:val="28"/>
          <w:spacing w:val="10"/>
        </w:rPr>
        <w:t xml:space="preserve">(1) 634, פסקה 10 (2002); </w:t>
      </w:r>
      <w:r>
        <w:rPr>
          <w:rFonts w:ascii="Times New Roman" w:hAnsi="Times New Roman" w:cs="Times New Roman"/>
          <w:sz w:val="28"/>
          <w:sz-cs w:val="28"/>
          <w:u w:val="single"/>
          <w:spacing w:val="10"/>
          <w:color w:val="0000FF"/>
        </w:rPr>
        <w:t xml:space="preserve"> HYPERLINK "http://www.nevo.co.il/case/5768551" ע"פ 2132/04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קייס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30 לפסק דינה של השופטת </w:t>
      </w:r>
      <w:r>
        <w:rPr>
          <w:rFonts w:ascii="Times New Roman" w:hAnsi="Times New Roman" w:cs="Times New Roman"/>
          <w:sz w:val="24"/>
          <w:sz-cs w:val="24"/>
        </w:rPr>
        <w:t xml:space="preserve">א' פרוקצ'יה</w:t>
      </w:r>
      <w:r>
        <w:rPr>
          <w:rFonts w:ascii="Times New Roman" w:hAnsi="Times New Roman" w:cs="Times New Roman"/>
          <w:sz w:val="28"/>
          <w:sz-cs w:val="28"/>
          <w:spacing w:val="10"/>
        </w:rPr>
        <w:t xml:space="preserve"> (28.5.2007)). לפיכך, משקלה של גרסה כזו יהיה מועט כל עוד לא ניתן הסבר סביר לכבישה, וניתן יהיה לראות בכבישת הגרסה חיזוק לראיות התביעה (</w:t>
      </w:r>
      <w:r>
        <w:rPr>
          <w:rFonts w:ascii="Times New Roman" w:hAnsi="Times New Roman" w:cs="Times New Roman"/>
          <w:sz w:val="24"/>
          <w:sz-cs w:val="24"/>
        </w:rPr>
        <w:t xml:space="preserve">שם</w:t>
      </w:r>
      <w:r>
        <w:rPr>
          <w:rFonts w:ascii="Times New Roman" w:hAnsi="Times New Roman" w:cs="Times New Roman"/>
          <w:sz w:val="28"/>
          <w:sz-cs w:val="28"/>
          <w:spacing w:val="10"/>
        </w:rPr>
        <w:t xml:space="preserve">). בענייננו, אין מחלוקת כי אילון שתק בחקירתו במשטרה. לפיכך, צדק בית המשפט המחוזי בקבעו כי יש לייחס לגרסתו משקל מועט. בנסיבות אלה, נכון היה לנקוט בכלל 'פלגינן דיבורא' כפי שעשה בית המשפט המחוזי.</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30.      אשר לשיחות שהתקיימו בין יעקב לבין רונן, ואשר אילון לא היה צד להן, הגם שאין לראותן כראיות ישירות למעורבותו של אילון בעסקה נשוא כתב האישום, הרי שהן בגדר ראיות נסיבתיות, המלמדות על קיומו של קשר בין יעקב לבין אילון בכלל, ולעניין עסקי הסמים בפרט. לפיכך, מקובלת עליי קביעתו של בית המשפט המחוזי כי ניתן למצוא בשיחות אלה חיזוק לגרסת התביעה.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31.      לבסוף, צדק בית המשפט המחוזי בקביעתו, לפיה בהכחשתו את עצם נוכחותו של אילון בפגישות, ניסה יעקב </w:t>
      </w:r>
      <w:r>
        <w:rPr>
          <w:rFonts w:ascii="Times New Roman" w:hAnsi="Times New Roman" w:cs="Times New Roman"/>
          <w:sz w:val="24"/>
          <w:sz-cs w:val="24"/>
        </w:rPr>
        <w:t xml:space="preserve">"להרחיק כליל את אילון מן האירועים"</w:t>
      </w:r>
      <w:r>
        <w:rPr>
          <w:rFonts w:ascii="Times New Roman" w:hAnsi="Times New Roman" w:cs="Times New Roman"/>
          <w:sz w:val="28"/>
          <w:sz-cs w:val="28"/>
          <w:spacing w:val="10"/>
        </w:rPr>
        <w:t xml:space="preserve">. כפי שציין בית המשפט המחוזי, הכחשה זו עמדה בסתירה לא רק לעדותו של אפי ולשיחות המוקלטות, אלא אף לעדותו של אילון עצמו, שהודה כי נכח בשלוש הפגישות. בהקשר זה יש להזכיר כי, </w:t>
      </w:r>
      <w:r>
        <w:rPr>
          <w:rFonts w:ascii="Times New Roman" w:hAnsi="Times New Roman" w:cs="Times New Roman"/>
          <w:sz w:val="24"/>
          <w:sz-cs w:val="24"/>
        </w:rPr>
        <w:t xml:space="preserve">"שקריות גירסת ההגנה עשויה לתרום לחיזוקה של גירסת התביעה ולהוסיף לה משקל וערך משכנע"</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"http://www.nevo.co.il/case/6151583" ע"פ 9372/03‏ וייזל נ' מדינת ישראל, פ''ד נט</w:t>
      </w:r>
      <w:r>
        <w:rPr>
          <w:rFonts w:ascii="Times New Roman" w:hAnsi="Times New Roman" w:cs="Times New Roman"/>
          <w:sz w:val="28"/>
          <w:sz-cs w:val="28"/>
          <w:spacing w:val="10"/>
        </w:rPr>
        <w:t xml:space="preserve">(1) 745, פסקה 14 לפסק דינה של השופטת </w:t>
      </w:r>
      <w:r>
        <w:rPr>
          <w:rFonts w:ascii="Times New Roman" w:hAnsi="Times New Roman" w:cs="Times New Roman"/>
          <w:sz w:val="24"/>
          <w:sz-cs w:val="24"/>
        </w:rPr>
        <w:t xml:space="preserve">א' פרוקצ'יה</w:t>
      </w:r>
      <w:r>
        <w:rPr>
          <w:rFonts w:ascii="Times New Roman" w:hAnsi="Times New Roman" w:cs="Times New Roman"/>
          <w:sz w:val="28"/>
          <w:sz-cs w:val="28"/>
          <w:spacing w:val="10"/>
        </w:rPr>
        <w:t xml:space="preserve"> (2004)). לפיכך, ניתן למצוא בעדותו של יעקב משום חיזוק לגרסת התביעה.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32.      יש לציין, כי המקרה שלפנינו כלל אינו בא בגדר המקרים המנויים </w:t>
      </w:r>
      <w:r>
        <w:rPr>
          <w:rFonts w:ascii="Times New Roman" w:hAnsi="Times New Roman" w:cs="Times New Roman"/>
          <w:sz w:val="28"/>
          <w:sz-cs w:val="28"/>
          <w:u w:val="single"/>
          <w:spacing w:val="10"/>
          <w:color w:val="0000FF"/>
        </w:rPr>
        <w:t xml:space="preserve"> HYPERLINK "http://www.nevo.co.il/law/98569/54a" בסעיף 54א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"http://www.nevo.co.il/law/98569" פקודת הראיות</w:t>
      </w:r>
      <w:r>
        <w:rPr>
          <w:rFonts w:ascii="Times New Roman" w:hAnsi="Times New Roman" w:cs="Times New Roman"/>
          <w:sz w:val="28"/>
          <w:sz-cs w:val="28"/>
          <w:spacing w:val="10"/>
        </w:rPr>
        <w:t xml:space="preserve">, בהם נדרשת תוספת ראייתית לצורך הכרעה על-פי עדות יחידה במשפט פלילי. לפיכך, משנמצא כי עדותו של אפי מהימנה, קביעה אשר מצאתי כי אין להתערב בה, די בעדות זו לבדה כדי לבסס את מעורבותו של אילון בעבירת הסחר בסם מסוכן. לא כל שכן, כשמתווספים אליה חיזוקים כמצוין לעיל. בית המשפט המחוזי נימק היטב את החלטתו ליתן אמון בעדותו של אפי ולדחות את גרסתו של אילון, ולא נמצא טעם של ממש להתערב בקביעותיו.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33.      אשר לטענתו של אילון לנתק בשרשרת הסם בשל השארתו למשך 24 שעות בתחנת המשטרה בקיטו ללא השגחה או פיקוח של שוטרי משטרת ישראל – אף דינה של טענה זו, אשר נטענה בלא הנמקה של ממש, להידחות. אכן, מעדותו של רמ"ח סוכנים רפ"ק לאון הירש (להלן: </w:t>
      </w:r>
      <w:r>
        <w:rPr>
          <w:rFonts w:ascii="Times New Roman" w:hAnsi="Times New Roman" w:cs="Times New Roman"/>
          <w:sz w:val="24"/>
          <w:sz-cs w:val="24"/>
        </w:rPr>
        <w:t xml:space="preserve">"לאון"</w:t>
      </w:r>
      <w:r>
        <w:rPr>
          <w:rFonts w:ascii="Times New Roman" w:hAnsi="Times New Roman" w:cs="Times New Roman"/>
          <w:sz w:val="28"/>
          <w:sz-cs w:val="28"/>
          <w:spacing w:val="10"/>
        </w:rPr>
        <w:t xml:space="preserve">), מפעילם של הסוכנים רונן ואפי, עולה כי הסם שנבדק בארץ הוא הסם שסופק על-ידי יעקב ואילון לאפי: תיאורו של לאון את המוצגים טרם השמתם בכספת בקיטו תואם את מראה המוצגים שהגיעו ארצה; דגימה שנערכה לחבילות עובר להשמתן בכספת, בנוכחות לאון, העלתה כי כולם מכילים סם מסוג קוקאין; והשקית בה הושמו המוצגים נאטמה ו'נחתמה' במדבקה, באופן שלו הייתה נפתחת ניתן היה להבחין בכך. לפיכך, צדק בית המשפט המחוזי בקבעו כי </w:t>
      </w:r>
      <w:r>
        <w:rPr>
          <w:rFonts w:ascii="Times New Roman" w:hAnsi="Times New Roman" w:cs="Times New Roman"/>
          <w:sz w:val="24"/>
          <w:sz-cs w:val="24"/>
        </w:rPr>
        <w:t xml:space="preserve">"אין בפגם של אי הגשת תיעוד אודות 24 השעות בהן היה המוצג בקיטו כדי להביא לכישלון הוכחת טיב הסם, וכי הסם שנבדק בארץ הינו אכן הסם שסופק על ידי יעקב ואילון לאפי"</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34.      אף דינה של טענתו של אילון בדבר הנזק הראייתי שנגרם לו עקב ויתור המדינה על העדת שוטרי משטרת אקוודור להידחות. בית המשפט המחוזי עמד על כך שלא בכל מקרה בו נמנעת המדינה מלהעיד עד מסוים, ינתן לכך משקל ראייתי, תוך שהפנה ל</w:t>
      </w:r>
      <w:r>
        <w:rPr>
          <w:rFonts w:ascii="Times New Roman" w:hAnsi="Times New Roman" w:cs="Times New Roman"/>
          <w:sz w:val="28"/>
          <w:sz-cs w:val="28"/>
          <w:u w:val="single"/>
          <w:spacing w:val="10"/>
          <w:color w:val="0000FF"/>
        </w:rPr>
        <w:t xml:space="preserve"> HYPERLINK "http://www.nevo.co.il/case/5781554" ע"פ 6522/10</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זהבי נקר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(02.05.2013)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שם מנה בית המשפט מספר שיקולים אותם יש לשקול בהקשר זה. במקרה שלפנינו סיפקה המדינה הסבר סביר לאי-זימון העד לעדות, אשר נעוץ בעלויות הגבוהות הכרוכות בהטסת העדים מאקוודור, בצד התרומה הראייתית המועטה שצפויה הייתה להיות לעדותם, כאשר העדות אינה הכרחית להוכחת אשמתו של אילון. זאת ועוד, המדינה ביקשה להעיד את שוטרי משטרת אקוודור באמצעות היוועדות חזותית (</w:t>
      </w:r>
      <w:r>
        <w:rPr>
          <w:rFonts w:ascii="Arial" w:hAnsi="Arial" w:cs="Arial"/>
          <w:sz w:val="24"/>
          <w:sz-cs w:val="24"/>
          <w:spacing w:val="10"/>
        </w:rPr>
        <w:t xml:space="preserve">Video Conference</w:t>
      </w:r>
      <w:r>
        <w:rPr>
          <w:rFonts w:ascii="Times New Roman" w:hAnsi="Times New Roman" w:cs="Times New Roman"/>
          <w:sz w:val="28"/>
          <w:sz-cs w:val="28"/>
          <w:spacing w:val="10"/>
        </w:rPr>
        <w:t xml:space="preserve">), ובאי-כוחו של אילון התנגדו לבקשה. לבסוף, היה באפשרותם של באי-כוחו של אילון לזמן את שוטרי משטרת אקוודור לחקירה מטעמו, ולחקרם כאילו מדובר היה בחקירה שכנגד, אך הם בחרו שלא לעשות כן.  לפיכך, אין לראות באי-העדת שוטרי משטרת אקוודור משום מחדל ראייתי אשר קיפח את הגנתו של אילון, או אף התנהגות פסולה שיש בה כדי להצדיק הקלה בעונשו.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35.      אשר לטענתו החלופית של אילון, ולפיה מעשיו אינם עולים כדי ביצוע בצוותא, ויש לראותו כמסייע בלבד, אין בידי לקבל טענה זו. אכן, קיימים מקרים בהם ההבחנה בין מסייע למבצע בצוותא אינה פשוטה (</w:t>
      </w:r>
      <w:r>
        <w:rPr>
          <w:rFonts w:ascii="Times New Roman" w:hAnsi="Times New Roman" w:cs="Times New Roman"/>
          <w:sz w:val="28"/>
          <w:sz-cs w:val="28"/>
          <w:u w:val="single"/>
          <w:spacing w:val="10"/>
          <w:color w:val="0000FF"/>
        </w:rPr>
        <w:t xml:space="preserve"> HYPERLINK "http://www.nevo.co.il/case/17922379" ע"פ 4188/93 לוי נ' מדינת ישראל, פ"ד מט</w:t>
      </w:r>
      <w:r>
        <w:rPr>
          <w:rFonts w:ascii="Times New Roman" w:hAnsi="Times New Roman" w:cs="Times New Roman"/>
          <w:sz w:val="28"/>
          <w:sz-cs w:val="28"/>
          <w:spacing w:val="10"/>
        </w:rPr>
        <w:t xml:space="preserve">(1) 539 (1995); </w:t>
      </w:r>
      <w:r>
        <w:rPr>
          <w:rFonts w:ascii="Times New Roman" w:hAnsi="Times New Roman" w:cs="Times New Roman"/>
          <w:sz w:val="28"/>
          <w:sz-cs w:val="28"/>
          <w:u w:val="single"/>
          <w:spacing w:val="10"/>
          <w:color w:val="0000FF"/>
        </w:rPr>
        <w:t xml:space="preserve"> HYPERLINK "http://www.nevo.co.il/case/6209178" ע"פ 2796/95 פלונים נ' מדינת ישראל, פ"ד נא</w:t>
      </w:r>
      <w:r>
        <w:rPr>
          <w:rFonts w:ascii="Times New Roman" w:hAnsi="Times New Roman" w:cs="Times New Roman"/>
          <w:sz w:val="28"/>
          <w:sz-cs w:val="28"/>
          <w:spacing w:val="10"/>
        </w:rPr>
        <w:t xml:space="preserve">(3) 388 (1997)). עם זאת, על יסוד הממצאים העובדתיים שנקבעו על-ידי המשפט המחוזי, ואשר לא מצאתי לנכון להתערב בהם, סבורני כי בענייננו מדובר במקרה </w:t>
      </w:r>
      <w:r>
        <w:rPr>
          <w:rFonts w:ascii="Times New Roman" w:hAnsi="Times New Roman" w:cs="Times New Roman"/>
          <w:sz w:val="28"/>
          <w:sz-cs w:val="28"/>
        </w:rPr>
        <w:t xml:space="preserve">מובהק</w:t>
      </w:r>
      <w:r>
        <w:rPr>
          <w:rFonts w:ascii="Times New Roman" w:hAnsi="Times New Roman" w:cs="Times New Roman"/>
          <w:sz w:val="28"/>
          <w:sz-cs w:val="28"/>
          <w:spacing w:val="10"/>
        </w:rPr>
        <w:t xml:space="preserve"> של ביצוע בצוותא. כפי שהדגים בית המשפט המחוזי, אילון נטל חלק פעיל ומרכזי בפגישות עם אפי, למן הבהרתו כי יעקב והוא רצו לראות את אפי על רקע פסילת עסקאות בעבר על-ידי אילון, עובר בשיחתו עם יעקב בנוגע לצורך בטשטוש הריח, התעניינותו בזהות הבלדרית, ספירת הכסף שקיבל יעקב מאפי והנחתו במגירה, וכלה בהצעותיו החוזרות ונשנות לעזור לאפי באריזת שקית הסמים הפתוחה. פעולותיו של אילון אינן משקפות אך עזרה ליעקב, אלא יוזמה ומחויבות להצלחת העסקה. אכן, </w:t>
      </w:r>
      <w:r>
        <w:rPr>
          <w:rFonts w:ascii="Times New Roman" w:hAnsi="Times New Roman" w:cs="Times New Roman"/>
          <w:sz w:val="24"/>
          <w:sz-cs w:val="24"/>
        </w:rPr>
        <w:t xml:space="preserve">"התמונה הכוללת"</w:t>
      </w:r>
      <w:r>
        <w:rPr>
          <w:rFonts w:ascii="Times New Roman" w:hAnsi="Times New Roman" w:cs="Times New Roman"/>
          <w:sz w:val="28"/>
          <w:sz-cs w:val="28"/>
          <w:spacing w:val="10"/>
        </w:rPr>
        <w:t xml:space="preserve"> היא של מעורבות עמוקה מצד אילון במעשים (ראו והשוו: </w:t>
      </w:r>
      <w:r>
        <w:rPr>
          <w:rFonts w:ascii="Times New Roman" w:hAnsi="Times New Roman" w:cs="Times New Roman"/>
          <w:sz w:val="28"/>
          <w:sz-cs w:val="28"/>
          <w:u w:val="single"/>
          <w:spacing w:val="10"/>
          <w:color w:val="0000FF"/>
        </w:rPr>
        <w:t xml:space="preserve"> HYPERLINK "http://www.nevo.co.il/case/7965116" ע"פ 4186/13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מחמד ע'נאים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(‏13.4.2015)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"http://www.nevo.co.il/case/5719322" ע"פ 690/10</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אבו תיאה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(‏06.08.2013)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"http://www.nevo.co.il/case/6125282" ע"פ 8273/07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כואזבה נ' מדינת ישראל</w:t>
      </w:r>
      <w:r>
        <w:rPr>
          <w:rFonts w:ascii="Times New Roman" w:hAnsi="Times New Roman" w:cs="Times New Roman"/>
          <w:sz w:val="28"/>
          <w:sz-cs w:val="28"/>
          <w:spacing w:val="10"/>
        </w:rPr>
        <w:t xml:space="preserve"> (‏18.7.2012)</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לפיכך, בצדק קבע בית המשפט המחוזי כי יש לראות את אילון כמבצע בצוותא.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36.      על סמך האמור לעיל, סבורני כי יש לדחות את ערעורו של אילון על הכרעת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ערעורה של המדינה על זיכויו של אילון מעבירת הנסיון בסחר של 1 ק"ג סם מסוכן</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37.      כתב האישום מתאר שתי עסקאות נפרדות אשר נקשרו בין יעקב לבין הסוכן: העסקה הראשונה עניינה באספקת 4 ק"ג סם מסוג קוקאין לסוכן בתמורה ל-2500 דולר (להלן: </w:t>
      </w:r>
      <w:r>
        <w:rPr>
          <w:rFonts w:ascii="Times New Roman" w:hAnsi="Times New Roman" w:cs="Times New Roman"/>
          <w:sz w:val="24"/>
          <w:sz-cs w:val="24"/>
        </w:rPr>
        <w:t xml:space="preserve">"העסקה הראשונה"</w:t>
      </w:r>
      <w:r>
        <w:rPr>
          <w:rFonts w:ascii="Times New Roman" w:hAnsi="Times New Roman" w:cs="Times New Roman"/>
          <w:sz w:val="28"/>
          <w:sz-cs w:val="28"/>
          <w:spacing w:val="10"/>
        </w:rPr>
        <w:t xml:space="preserve">). בסופו של דבר, מתוך 4 הקילוגרמים עליהם הוסכם, סופקו לסוכן 'רק' כ-3 ק"ג (2987.68 גרם), וזאת בשל קושי להשיג את קילוגרם הסם הרביעי (להלן: </w:t>
      </w:r>
      <w:r>
        <w:rPr>
          <w:rFonts w:ascii="Times New Roman" w:hAnsi="Times New Roman" w:cs="Times New Roman"/>
          <w:sz w:val="24"/>
          <w:sz-cs w:val="24"/>
        </w:rPr>
        <w:t xml:space="preserve">"הקילוגרם הרביעי"</w:t>
      </w:r>
      <w:r>
        <w:rPr>
          <w:rFonts w:ascii="Times New Roman" w:hAnsi="Times New Roman" w:cs="Times New Roman"/>
          <w:sz w:val="28"/>
          <w:sz-cs w:val="28"/>
          <w:spacing w:val="10"/>
        </w:rPr>
        <w:t xml:space="preserve">). העסקה השניה עניינה בייצוא 1 ק"ג קוקאין אל מחוץ לגבולות אקוודור (להלן: </w:t>
      </w:r>
      <w:r>
        <w:rPr>
          <w:rFonts w:ascii="Times New Roman" w:hAnsi="Times New Roman" w:cs="Times New Roman"/>
          <w:sz w:val="24"/>
          <w:sz-cs w:val="24"/>
        </w:rPr>
        <w:t xml:space="preserve">"העסקה השניה"</w:t>
      </w:r>
      <w:r>
        <w:rPr>
          <w:rFonts w:ascii="Times New Roman" w:hAnsi="Times New Roman" w:cs="Times New Roman"/>
          <w:sz w:val="28"/>
          <w:sz-cs w:val="28"/>
          <w:spacing w:val="10"/>
        </w:rPr>
        <w:t xml:space="preserve">). עסקה זו, שעניינה בקילוגרם נוסף, </w:t>
      </w:r>
      <w:r>
        <w:rPr>
          <w:rFonts w:ascii="Times New Roman" w:hAnsi="Times New Roman" w:cs="Times New Roman"/>
          <w:sz w:val="24"/>
          <w:sz-cs w:val="24"/>
        </w:rPr>
        <w:t xml:space="preserve">חמישי</w:t>
      </w:r>
      <w:r>
        <w:rPr>
          <w:rFonts w:ascii="Times New Roman" w:hAnsi="Times New Roman" w:cs="Times New Roman"/>
          <w:sz w:val="28"/>
          <w:sz-cs w:val="28"/>
          <w:spacing w:val="10"/>
        </w:rPr>
        <w:t xml:space="preserve">, של סם (להלן: </w:t>
      </w:r>
      <w:r>
        <w:rPr>
          <w:rFonts w:ascii="Times New Roman" w:hAnsi="Times New Roman" w:cs="Times New Roman"/>
          <w:sz w:val="24"/>
          <w:sz-cs w:val="24"/>
        </w:rPr>
        <w:t xml:space="preserve">"הקילוגרם החמישי"</w:t>
      </w:r>
      <w:r>
        <w:rPr>
          <w:rFonts w:ascii="Times New Roman" w:hAnsi="Times New Roman" w:cs="Times New Roman"/>
          <w:sz w:val="28"/>
          <w:sz-cs w:val="28"/>
          <w:spacing w:val="10"/>
        </w:rPr>
        <w:t xml:space="preserve">), לא יצאה בסופו של דבר אל הפועל, מאותו טעם שלא סופק הקילוגרם הרביעי – קושי להשיג את הכמות הגדולה עליה הוסכם.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38.      מכתב האישום עולה כי עבירת הנסיון לסחר ב-1 ק"ג מסוכן מתייחסת לקילוגרם הרביעי, אשר אמור היה להיות מסופק במסגרת העסקה הראשונה. בית המשפט המחוזי קבע כי יש לזכות את אילון </w:t>
      </w:r>
      <w:r>
        <w:rPr>
          <w:rFonts w:ascii="Times New Roman" w:hAnsi="Times New Roman" w:cs="Times New Roman"/>
          <w:sz w:val="24"/>
          <w:sz-cs w:val="24"/>
        </w:rPr>
        <w:t xml:space="preserve">"מביצוע עבירת ניסיון לסחר בסם מסוכן וניסיון ליצוא סם מסוכן שיוחסו לו בכתב האישום"</w:t>
      </w:r>
      <w:r>
        <w:rPr>
          <w:rFonts w:ascii="Times New Roman" w:hAnsi="Times New Roman" w:cs="Times New Roman"/>
          <w:sz w:val="28"/>
          <w:sz-cs w:val="28"/>
          <w:spacing w:val="10"/>
        </w:rPr>
        <w:t xml:space="preserve">, מן הטעם ש</w:t>
      </w:r>
      <w:r>
        <w:rPr>
          <w:rFonts w:ascii="Times New Roman" w:hAnsi="Times New Roman" w:cs="Times New Roman"/>
          <w:sz w:val="24"/>
          <w:sz-cs w:val="24"/>
        </w:rPr>
        <w:t xml:space="preserve">"העבירה תוכננה מלכתחילה בין יעקב לרונן, ללא מעורבות מצד אילון ואין בחומר הראיות בדל של ראיה המתייחס למעורבות כלשהי של אילון בניסיון להוציא לפועל עסקה זו"</w:t>
      </w:r>
      <w:r>
        <w:rPr>
          <w:rFonts w:ascii="Times New Roman" w:hAnsi="Times New Roman" w:cs="Times New Roman"/>
          <w:sz w:val="28"/>
          <w:sz-cs w:val="28"/>
          <w:spacing w:val="10"/>
        </w:rPr>
        <w:t xml:space="preserve">. דומני, כי קביעתו זו של בית המשפט המחוזי בטעות יסודה.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39.      אכן, ככל שהדבר נוגע לעסקה השניה – 'עסקת היצוא' – אין בנמצא 'בדל ראיה' המעיד על מעורבותו של אילון בנסיון להוציאה לפועל. שונים הם פני הדברים באשר לניסיון לסחור בקילוגרם הרביעי, כחלק מהעסקה הראשונה. עסקה זו התייחסה מראשיתה ל-4 ק"ג קוקאין, וקיימות אינדיקציות ברורות לכך שאילון היה מודע לעובדה זו. כך, בפגישה הראשונה עם אפי, בה נכח אילון, הודיע יעקב לאפי שמחירו של ק"ג סם יהיה 2700 דולר ולא 2500 דולר, כפי שסוכם מראש. לאחר שביקש את אישורו של רונן לכך, הסכים אפי לסכום המעודכן, אך אמר שאין ברשותו את מלוא הסכום, ושיעביר את היתרה – 800 דולר –  בהמשך. לאחר שנכנסו לחדר במלון, מסר אפי ליעקב 10,000 דולר (הסכום שיועד ל-4 ק"ג קוקאין, לפי המחיר המקורי), יעקב מסר את הכסף לאילון, ואילון </w:t>
      </w:r>
      <w:r>
        <w:rPr>
          <w:rFonts w:ascii="Times New Roman" w:hAnsi="Times New Roman" w:cs="Times New Roman"/>
          <w:sz w:val="24"/>
          <w:sz-cs w:val="24"/>
        </w:rPr>
        <w:t xml:space="preserve">ספר אותו</w:t>
      </w:r>
      <w:r>
        <w:rPr>
          <w:rFonts w:ascii="Times New Roman" w:hAnsi="Times New Roman" w:cs="Times New Roman"/>
          <w:sz w:val="28"/>
          <w:sz-cs w:val="28"/>
          <w:spacing w:val="10"/>
        </w:rPr>
        <w:t xml:space="preserve"> והניחו במגירה. אילון נכח גם בפגישה השניה, שהתקיימה יום למחרת. במהלך פגישה זו נמסרו לאפי 3 ק"ג סם, ואפי העביר ליעקב את יתרת הסכום שאמור היה להיות משולם עבור 4 ק"ג לפי המחיר החדש, בסך של 800 דולר. יעקב ואילון אף ציינו את הקושי שחוו בהשגת הסם. אילון נכח אף בפגישה השלישית, בה השיב יעקב לאפי כסף בעד הקילוגרם הרביעי, שלא סופק בסופו של דבר. תיאור דברים זה אינו עולה בקנה אחד עם טענתו של אילון, ולפיה לא הייתה לו כל מודעות בנוגע לכמות הסם עליה סוכם בעסקה. לכך מצטרפות המחויבות והיוזמה שהפגין אילון ביחס לעסקה החל משלביה הראשונים, כמתואר לעיל. לפיכך, סבורני כי יש להרשיע את אילון בעבירה של נסיון לסחור ב-1 ק"ג סם מסוכן מסוג קוקאין.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העונש</w:t>
      </w:r>
    </w:p>
    <w:p>
      <w:pPr>
        <w:jc w:val="both"/>
        <w:bidi/>
      </w:pPr>
      <w:r>
        <w:rPr>
          <w:rFonts w:ascii="Times New Roman" w:hAnsi="Times New Roman" w:cs="Times New Roman"/>
          <w:sz w:val="28"/>
          <w:sz-cs w:val="28"/>
          <w:spacing w:val="10"/>
        </w:rPr>
        <w:t xml:space="preserve">40.      כאמור לעיל, המדינה ערערה על קולת העונש, ואילו אילון ערער על חומרתו.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41.      כידוע, ערכאת הערעור אינה נוטה להתערב בגזר הדין של הערכאה הדיונית, אלא בנסיבות שבהן ניכרת בגזר הדין סטייה ממשית ממדיניות הענישה הראויה (</w:t>
      </w:r>
      <w:r>
        <w:rPr>
          <w:rFonts w:ascii="Times New Roman" w:hAnsi="Times New Roman" w:cs="Times New Roman"/>
          <w:sz w:val="28"/>
          <w:sz-cs w:val="28"/>
          <w:u w:val="single"/>
          <w:spacing w:val="10"/>
          <w:color w:val="0000FF"/>
        </w:rPr>
        <w:t xml:space="preserve"> HYPERLINK "http://www.nevo.co.il/case/5583030" ע"פ 3117/12</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ארביב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(6.9.2012)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"http://www.nevo.co.il/case/5594306" ע"פ 6347/12</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מר</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(13.5.2013)). סבורני כי בשל חומרת העבירה בנסיבותיה, שומה עלינו להחמיר בעונשו של אילון.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42.      בית משפט זה עמד לא אחת על החומרה הרבה הטמונה בעבירות סחר והפצה של סמים, לא כל שכן סמים מסוכנים המוגדרים 'קשים' (ראו למשל: </w:t>
      </w:r>
      <w:r>
        <w:rPr>
          <w:rFonts w:ascii="Times New Roman" w:hAnsi="Times New Roman" w:cs="Times New Roman"/>
          <w:sz w:val="28"/>
          <w:sz-cs w:val="28"/>
          <w:u w:val="single"/>
          <w:spacing w:val="10"/>
          <w:color w:val="0000FF"/>
        </w:rPr>
        <w:t xml:space="preserve"> HYPERLINK "http://www.nevo.co.il/case/5585052" ע"פ 6747/11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אבו רקיק</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(3.1.2013)), ועל הצורך להיאבק בהן באמצעות ענישה משמעותית ומרתיעה (</w:t>
      </w:r>
      <w:r>
        <w:rPr>
          <w:rFonts w:ascii="Times New Roman" w:hAnsi="Times New Roman" w:cs="Times New Roman"/>
          <w:sz w:val="28"/>
          <w:sz-cs w:val="28"/>
          <w:u w:val="single"/>
          <w:spacing w:val="10"/>
          <w:color w:val="0000FF"/>
        </w:rPr>
        <w:t xml:space="preserve"> HYPERLINK "http://www.nevo.co.il/case/5726579" ע"פ 9482/09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ביטון נ' מדינת ישראל</w:t>
      </w:r>
      <w:r>
        <w:rPr>
          <w:rFonts w:ascii="Times New Roman" w:hAnsi="Times New Roman" w:cs="Times New Roman"/>
          <w:sz w:val="28"/>
          <w:sz-cs w:val="28"/>
          <w:spacing w:val="10"/>
        </w:rPr>
        <w:t xml:space="preserve">, פסקה 24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(24.7.2011)). זאת, לאור הנזק הרב שהן מסבות לא אך למשתמשים הישירים בסם, אלא לחברה כולה, הסובלת מעבירות רכוש ואלימות מצד העוסקים בסחר ומלקוחותיהם (</w:t>
      </w:r>
      <w:r>
        <w:rPr>
          <w:rFonts w:ascii="Times New Roman" w:hAnsi="Times New Roman" w:cs="Times New Roman"/>
          <w:sz w:val="28"/>
          <w:sz-cs w:val="28"/>
          <w:u w:val="single"/>
          <w:spacing w:val="10"/>
          <w:color w:val="0000FF"/>
        </w:rPr>
        <w:t xml:space="preserve"> HYPERLINK "http://www.nevo.co.il/case/5988308" ע"פ4998/95 מדינת ישראל נ' גומז-קרדוסו‏, פ''ד נא</w:t>
      </w:r>
      <w:r>
        <w:rPr>
          <w:rFonts w:ascii="Times New Roman" w:hAnsi="Times New Roman" w:cs="Times New Roman"/>
          <w:sz w:val="28"/>
          <w:sz-cs w:val="28"/>
          <w:spacing w:val="10"/>
        </w:rPr>
        <w:t xml:space="preserve">(3) 769, 787-786 (1997); </w:t>
      </w:r>
      <w:r>
        <w:rPr>
          <w:rFonts w:ascii="Times New Roman" w:hAnsi="Times New Roman" w:cs="Times New Roman"/>
          <w:sz w:val="28"/>
          <w:sz-cs w:val="28"/>
          <w:u w:val="single"/>
          <w:spacing w:val="10"/>
          <w:color w:val="0000FF"/>
        </w:rPr>
        <w:t xml:space="preserve"> HYPERLINK "http://www.nevo.co.il/case/6166988" ע"פ 10228/05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רובאעי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15 (26.6.06) </w:t>
      </w:r>
      <w:r>
        <w:rPr>
          <w:rFonts w:ascii="Times New Roman" w:hAnsi="Times New Roman" w:cs="Times New Roman"/>
          <w:sz w:val="28"/>
          <w:sz-cs w:val="28"/>
          <w:u w:val="single"/>
          <w:spacing w:val="10"/>
          <w:color w:val="0000FF"/>
        </w:rPr>
        <w:t xml:space="preserve"> HYPERLINK "http://www.nevo.co.il/case/11269774" ע"פ 6990/13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ח'טיב נ' מדינת ישראל</w:t>
      </w:r>
      <w:r>
        <w:rPr>
          <w:rFonts w:ascii="Times New Roman" w:hAnsi="Times New Roman" w:cs="Times New Roman"/>
          <w:sz w:val="28"/>
          <w:sz-cs w:val="28"/>
          <w:spacing w:val="10"/>
        </w:rPr>
        <w:t xml:space="preserve">, פסקה 35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(24.2.2014) (להלן: </w:t>
      </w:r>
      <w:r>
        <w:rPr>
          <w:rFonts w:ascii="Times New Roman" w:hAnsi="Times New Roman" w:cs="Times New Roman"/>
          <w:sz w:val="24"/>
          <w:sz-cs w:val="24"/>
        </w:rPr>
        <w:t xml:space="preserve">"עניין ח'טיב"</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"http://www.nevo.co.il/case/11204005" ע"פ 100/14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מחטייב</w:t>
      </w:r>
      <w:r>
        <w:rPr>
          <w:rFonts w:ascii="Times New Roman" w:hAnsi="Times New Roman" w:cs="Times New Roman"/>
          <w:sz w:val="28"/>
          <w:sz-cs w:val="28"/>
          <w:spacing w:val="10"/>
        </w:rPr>
        <w:t xml:space="preserve">, פסקה 3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(‏10.12.2014)).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43.      בהתאם לכך, מדיניות הענישה הנוהגת בעבירות הסמים, ובכלל זאת בעבירת הסחר בסם, מצויה במגמת החמרה (עניין </w:t>
      </w:r>
      <w:r>
        <w:rPr>
          <w:rFonts w:ascii="Times New Roman" w:hAnsi="Times New Roman" w:cs="Times New Roman"/>
          <w:sz w:val="24"/>
          <w:sz-cs w:val="24"/>
        </w:rPr>
        <w:t xml:space="preserve">ח'טיב</w:t>
      </w:r>
      <w:r>
        <w:rPr>
          <w:rFonts w:ascii="Times New Roman" w:hAnsi="Times New Roman" w:cs="Times New Roman"/>
          <w:sz w:val="28"/>
          <w:sz-cs w:val="28"/>
          <w:spacing w:val="10"/>
        </w:rPr>
        <w:t xml:space="preserve">, פסקה 15 וההפניות שם; </w:t>
      </w:r>
      <w:r>
        <w:rPr>
          <w:rFonts w:ascii="Times New Roman" w:hAnsi="Times New Roman" w:cs="Times New Roman"/>
          <w:sz w:val="28"/>
          <w:sz-cs w:val="28"/>
          <w:u w:val="single"/>
          <w:spacing w:val="10"/>
          <w:color w:val="0000FF"/>
        </w:rPr>
        <w:t xml:space="preserve"> HYPERLINK "http://www.nevo.co.il/case/5844639" ע"פ 2587/09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אבו רקייק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(28.3.2010); </w:t>
      </w:r>
      <w:r>
        <w:rPr>
          <w:rFonts w:ascii="Times New Roman" w:hAnsi="Times New Roman" w:cs="Times New Roman"/>
          <w:sz w:val="28"/>
          <w:sz-cs w:val="28"/>
          <w:u w:val="single"/>
          <w:spacing w:val="10"/>
          <w:color w:val="0000FF"/>
        </w:rPr>
        <w:t xml:space="preserve"> HYPERLINK "http://www.nevo.co.il/case/5726579" ע"פ 9482/09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ביטון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(24.7.2011); </w:t>
      </w:r>
      <w:r>
        <w:rPr>
          <w:rFonts w:ascii="Times New Roman" w:hAnsi="Times New Roman" w:cs="Times New Roman"/>
          <w:sz w:val="28"/>
          <w:sz-cs w:val="28"/>
          <w:u w:val="single"/>
          <w:spacing w:val="10"/>
          <w:color w:val="0000FF"/>
        </w:rPr>
        <w:t xml:space="preserve"> HYPERLINK "http://www.nevo.co.il/case/6887622" ע"פ 2661/13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יחייב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(18.2.2014); </w:t>
      </w:r>
      <w:r>
        <w:rPr>
          <w:rFonts w:ascii="Times New Roman" w:hAnsi="Times New Roman" w:cs="Times New Roman"/>
          <w:sz w:val="28"/>
          <w:sz-cs w:val="28"/>
          <w:u w:val="single"/>
          <w:spacing w:val="10"/>
          <w:color w:val="0000FF"/>
        </w:rPr>
        <w:t xml:space="preserve"> HYPERLINK "http://www.nevo.co.il/case/6708563" ע"פ 1598/13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אלהואשלה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(17.7.2014)</w:t>
      </w:r>
      <w:r>
        <w:rPr>
          <w:rFonts w:ascii="Times New Roman" w:hAnsi="Times New Roman" w:cs="Times New Roman"/>
          <w:sz w:val="22"/>
          <w:sz-cs w:val="22"/>
        </w:rPr>
        <w:t xml:space="preserve"> </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44.      ברי כי בעבירה של סחר בסם נודעת חשיבות ל</w:t>
      </w:r>
      <w:r>
        <w:rPr>
          <w:rFonts w:ascii="Times New Roman" w:hAnsi="Times New Roman" w:cs="Times New Roman"/>
          <w:sz w:val="24"/>
          <w:sz-cs w:val="24"/>
        </w:rPr>
        <w:t xml:space="preserve">סוג</w:t>
      </w:r>
      <w:r>
        <w:rPr>
          <w:rFonts w:ascii="Times New Roman" w:hAnsi="Times New Roman" w:cs="Times New Roman"/>
          <w:sz w:val="28"/>
          <w:sz-cs w:val="28"/>
          <w:spacing w:val="10"/>
        </w:rPr>
        <w:t xml:space="preserve"> הסם </w:t>
      </w:r>
      <w:r>
        <w:rPr>
          <w:rFonts w:ascii="Times New Roman" w:hAnsi="Times New Roman" w:cs="Times New Roman"/>
          <w:sz w:val="24"/>
          <w:sz-cs w:val="24"/>
        </w:rPr>
        <w:t xml:space="preserve">ולכמותו</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"http://www.nevo.co.il/case/20131420" ע"פ 1987/15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דורי נ' מדינת ישראל</w:t>
      </w:r>
      <w:r>
        <w:rPr>
          <w:rFonts w:ascii="Times New Roman" w:hAnsi="Times New Roman" w:cs="Times New Roman"/>
          <w:sz w:val="28"/>
          <w:sz-cs w:val="28"/>
          <w:spacing w:val="10"/>
        </w:rPr>
        <w:t xml:space="preserve">, פסקה 9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(‏17.8.2015)). אילון סחר בקוקאין – סם מסוכן, שנזקיו הפוטנציאליים חמורים ורחבי היקף (</w:t>
      </w:r>
      <w:r>
        <w:rPr>
          <w:rFonts w:ascii="Times New Roman" w:hAnsi="Times New Roman" w:cs="Times New Roman"/>
          <w:sz w:val="28"/>
          <w:sz-cs w:val="28"/>
          <w:u w:val="single"/>
          <w:spacing w:val="10"/>
          <w:color w:val="0000FF"/>
        </w:rPr>
        <w:t xml:space="preserve"> HYPERLINK "http://www.nevo.co.il/case/5786821" ע"פ 6029/03 מדינת ישראל נ' שמאי, פ"ד נח</w:t>
      </w:r>
      <w:r>
        <w:rPr>
          <w:rFonts w:ascii="Times New Roman" w:hAnsi="Times New Roman" w:cs="Times New Roman"/>
          <w:sz w:val="28"/>
          <w:sz-cs w:val="28"/>
          <w:spacing w:val="10"/>
        </w:rPr>
        <w:t xml:space="preserve">(2) 734, פסקה 5 לפסק דינו של השופט </w:t>
      </w:r>
      <w:r>
        <w:rPr>
          <w:rFonts w:ascii="Times New Roman" w:hAnsi="Times New Roman" w:cs="Times New Roman"/>
          <w:sz w:val="24"/>
          <w:sz-cs w:val="24"/>
        </w:rPr>
        <w:t xml:space="preserve">חשין</w:t>
      </w:r>
      <w:r>
        <w:rPr>
          <w:rFonts w:ascii="Times New Roman" w:hAnsi="Times New Roman" w:cs="Times New Roman"/>
          <w:sz w:val="28"/>
          <w:sz-cs w:val="28"/>
          <w:spacing w:val="10"/>
        </w:rPr>
        <w:t xml:space="preserve"> (2004); </w:t>
      </w:r>
      <w:r>
        <w:rPr>
          <w:rFonts w:ascii="Times New Roman" w:hAnsi="Times New Roman" w:cs="Times New Roman"/>
          <w:sz w:val="28"/>
          <w:sz-cs w:val="28"/>
          <w:u w:val="single"/>
          <w:spacing w:val="10"/>
          <w:color w:val="0000FF"/>
        </w:rPr>
        <w:t xml:space="preserve"> HYPERLINK "http://www.nevo.co.il/case/5738608" ע"פ 972/11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יונה</w:t>
      </w:r>
      <w:r>
        <w:rPr>
          <w:rFonts w:ascii="Times New Roman" w:hAnsi="Times New Roman" w:cs="Times New Roman"/>
          <w:sz w:val="28"/>
          <w:sz-cs w:val="28"/>
          <w:spacing w:val="10"/>
        </w:rPr>
        <w:t xml:space="preserve">, פסקה 4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(4.7.2012)). חומרת המעשים מתעצמת נוכח כמותו של הסם הנסחר, השקולה לאלפים רבים של מנות סם (</w:t>
      </w:r>
      <w:r>
        <w:rPr>
          <w:rFonts w:ascii="Times New Roman" w:hAnsi="Times New Roman" w:cs="Times New Roman"/>
          <w:sz w:val="28"/>
          <w:sz-cs w:val="28"/>
          <w:u w:val="single"/>
          <w:spacing w:val="10"/>
          <w:color w:val="0000FF"/>
        </w:rPr>
        <w:t xml:space="preserve"> HYPERLINK "http://www.nevo.co.il/case/5880710" ע"פ 10254/09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דהן נ' מדינת ישראל</w:t>
      </w:r>
      <w:r>
        <w:rPr>
          <w:rFonts w:ascii="Times New Roman" w:hAnsi="Times New Roman" w:cs="Times New Roman"/>
          <w:sz w:val="28"/>
          <w:sz-cs w:val="28"/>
          <w:spacing w:val="10"/>
        </w:rPr>
        <w:t xml:space="preserve">, פסקה 5 וההפניות שם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(3.5.2012)). זאת ועוד, לו היה הדבר תלוי ביעקב ובאילון, הייתה הכמות הנסחרת גדולה אף יותר.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45.      לאור חומרת המעשים, ועל רקע פסיקתו של בית משפט זה, סבורני כי העונש שנגזר על אילון מקל יתר על המידה, במידה המצריכה את התערבותנו. זאת אף בהתחשב בכך שחלקו במעשים היה קטן מזה של יעקב, ועל אף ההבדל בנסיבותיהם האישיות, ובראשן עברו הפלילי המכביד של יעקב לעומת העדר עבר פלילי לאילון.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46.      זאת ועוד, כאמור לעיל, דעתי היא כי יש להרשיע את אילון בעבירה נוספת – נסיון לסחר ב-1 ק"ג סם מסוכן מסוג קוקאין. עבירה זו נעברה במסגרת אותו אירוע בו נעברה עבירת הסחר בסם מסוכן, בה הורשע אילון, ולכן העונש שייגזר בגין שתי העבירות יהיה עונש כולל (</w:t>
      </w:r>
      <w:r>
        <w:rPr>
          <w:rFonts w:ascii="Times New Roman" w:hAnsi="Times New Roman" w:cs="Times New Roman"/>
          <w:sz w:val="28"/>
          <w:sz-cs w:val="28"/>
          <w:u w:val="single"/>
          <w:spacing w:val="10"/>
          <w:color w:val="0000FF"/>
        </w:rPr>
        <w:t xml:space="preserve"> HYPERLINK "http://www.nevo.co.il/law/70301/40jc.a" סעיף 40יג(א)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יחד עם זאת, עקרון ההלימה, שנקבע בתיקון 113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כעקרון המנחה בענישה (</w:t>
      </w:r>
      <w:r>
        <w:rPr>
          <w:rFonts w:ascii="Times New Roman" w:hAnsi="Times New Roman" w:cs="Times New Roman"/>
          <w:sz w:val="28"/>
          <w:sz-cs w:val="28"/>
          <w:u w:val="single"/>
          <w:spacing w:val="10"/>
          <w:color w:val="0000FF"/>
        </w:rPr>
        <w:t xml:space="preserve"> HYPERLINK "http://www.nevo.co.il/law/70301/40b" סעיף 40ב</w:t>
      </w:r>
      <w:r>
        <w:rPr>
          <w:rFonts w:ascii="Times New Roman" w:hAnsi="Times New Roman" w:cs="Times New Roman"/>
          <w:sz w:val="28"/>
          <w:sz-cs w:val="28"/>
          <w:spacing w:val="10"/>
        </w:rPr>
        <w:t xml:space="preserve"> לחוק העונשין), מחייב כי לכל מעשה עבירה בגינו הורשע הנאשם ינתן ביטוי הולם בקביעת עונשו (</w:t>
      </w:r>
      <w:r>
        <w:rPr>
          <w:rFonts w:ascii="Times New Roman" w:hAnsi="Times New Roman" w:cs="Times New Roman"/>
          <w:sz w:val="28"/>
          <w:sz-cs w:val="28"/>
          <w:u w:val="single"/>
          <w:spacing w:val="10"/>
          <w:color w:val="0000FF"/>
        </w:rPr>
        <w:t xml:space="preserve"> HYPERLINK "http://www.nevo.co.il/case/18654248" ע"פ 7907/14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ואזנה נ' מדינת ישראל</w:t>
      </w:r>
      <w:r>
        <w:rPr>
          <w:rFonts w:ascii="Times New Roman" w:hAnsi="Times New Roman" w:cs="Times New Roman"/>
          <w:sz w:val="28"/>
          <w:sz-cs w:val="28"/>
          <w:spacing w:val="10"/>
        </w:rPr>
        <w:t xml:space="preserve">, פסקה 16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(22.2.2015)). אמנם, לעיקרון זה נודע משנה חשיבות כאשר מדובר באירועים נפרדים (</w:t>
      </w:r>
      <w:r>
        <w:rPr>
          <w:rFonts w:ascii="Times New Roman" w:hAnsi="Times New Roman" w:cs="Times New Roman"/>
          <w:sz w:val="24"/>
          <w:sz-cs w:val="24"/>
        </w:rPr>
        <w:t xml:space="preserve">שם</w:t>
      </w:r>
      <w:r>
        <w:rPr>
          <w:rFonts w:ascii="Times New Roman" w:hAnsi="Times New Roman" w:cs="Times New Roman"/>
          <w:sz w:val="28"/>
          <w:sz-cs w:val="28"/>
          <w:spacing w:val="10"/>
        </w:rPr>
        <w:t xml:space="preserve">), אולם כוחו יפה גם כאשר מדובר בכמה עבירות שנעברו במסגרת אירוע אחד. לפיכך, על העונש בענייננו של אילון לשקף גם את ההרשעה בעבירה הנוספת, החמורה כשלעצמה.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47.      לא מצאתי לנכון להידרש לחריגת בית המשפט המחוזי ממתחם העונש שקבע חרף קביעתו אין במקרה דנן שיקולי שיקום המצדיקים זאת, שכן מקובלת עליי טענתו של אילון, ולפיה ייתכן ש'טעותו הטכנית' של בית המשפט המחוזי נפלה דווקא בציון הרף התחתון של המתחם, במובן זה שהתכוון לקבוע רף תחתון נמוך יותר.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48.      בצד האמור לעיל, הלכה היא עמנו כי אין זה מדרכה של ערכאת הערעור למצות את מלוא חומרת הדין (</w:t>
      </w:r>
      <w:r>
        <w:rPr>
          <w:rFonts w:ascii="Times New Roman" w:hAnsi="Times New Roman" w:cs="Times New Roman"/>
          <w:sz w:val="28"/>
          <w:sz-cs w:val="28"/>
          <w:u w:val="single"/>
          <w:spacing w:val="10"/>
          <w:color w:val="0000FF"/>
        </w:rPr>
        <w:t xml:space="preserve"> HYPERLINK "http://www.nevo.co.il/case/11269774" ע"פ 6990/13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ח'טיב נ' מדינת ישראל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 (2014)). לפיכך, ובהתחשב בחלקו הפחוּת של אילון במעשים; בנסיבותיו האישיות, ובראשן היותו נעדר עבר פלילי; ובסיכוייו הטובים לשיקום, עניין שהוא בטובתה של החברה כולה (</w:t>
      </w:r>
      <w:r>
        <w:rPr>
          <w:rFonts w:ascii="Times New Roman" w:hAnsi="Times New Roman" w:cs="Times New Roman"/>
          <w:sz w:val="28"/>
          <w:sz-cs w:val="28"/>
          <w:u w:val="single"/>
          <w:spacing w:val="10"/>
          <w:color w:val="0000FF"/>
        </w:rPr>
        <w:t xml:space="preserve"> HYPERLINK "http://www.nevo.co.il/case/20513526" ע"פ 4876/15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פסקה 46 וההפניות שם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(‏3.12.2015)), דעתי היא כי על העונש שגזר בית המשפט המחוזי על אילון יש להוסיף 12 חודשי מאסר בפועל, באופן שעונש המאסר הכולל יעמוד על 52 חודשי מאסר בפועל.</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49.      אשר לקנס שהוטל על אילון, דעתי היא כי אין הוא מצדיק את התערבותנו. בית משפט זה עמד בעבר על חשיבות הענישה הכלכלית בעבירות סמים: </w:t>
      </w:r>
      <w:r>
        <w:rPr>
          <w:rFonts w:ascii="Times New Roman" w:hAnsi="Times New Roman" w:cs="Times New Roman"/>
          <w:sz w:val="24"/>
          <w:sz-cs w:val="24"/>
        </w:rPr>
        <w:t xml:space="preserve">"ככלל, בעת ענישתם של העוסקים בסחר בסמים, יש ליתן משקל גדול לשאלת הרווח הכלכלי שנצמח מהעבירות. הסיבה לכך היא אופיין של עבירות אלה </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הסחר בסם ולא השימוש של האדם הבודד </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שכל כולן סובבות סביב בצע כסף. ענישה כלכלית מחמירה תורמת להרתעה של העבריין הספציפי ולהרתעת הרבים, והיא מהווה את תשובת המשקל ההולמת לעבירות כגון דא (ראו </w:t>
      </w:r>
      <w:r>
        <w:rPr>
          <w:rFonts w:ascii="Times New Roman" w:hAnsi="Times New Roman" w:cs="Times New Roman"/>
          <w:sz w:val="24"/>
          <w:sz-cs w:val="24"/>
          <w:u w:val="single"/>
          <w:color w:val="0000FF"/>
        </w:rPr>
        <w:t xml:space="preserve"> HYPERLINK "http://www.nevo.co.il/case/5734189" ע"פ 2996/09</w:t>
      </w:r>
      <w:r>
        <w:rPr>
          <w:rFonts w:ascii="Times New Roman" w:hAnsi="Times New Roman" w:cs="Times New Roman"/>
          <w:sz w:val="24"/>
          <w:sz-cs w:val="24"/>
        </w:rPr>
        <w:t xml:space="preserve"> פלוני נ' מדינת ישראל, [פורסם בנבו] פסקה שח (11.05.2011); </w:t>
      </w:r>
      <w:r>
        <w:rPr>
          <w:rFonts w:ascii="Times New Roman" w:hAnsi="Times New Roman" w:cs="Times New Roman"/>
          <w:sz w:val="24"/>
          <w:sz-cs w:val="24"/>
          <w:u w:val="single"/>
          <w:color w:val="0000FF"/>
        </w:rPr>
        <w:t xml:space="preserve"> HYPERLINK "http://www.nevo.co.il/case/5993550" ע"פ 5104/06</w:t>
      </w:r>
      <w:r>
        <w:rPr>
          <w:rFonts w:ascii="Times New Roman" w:hAnsi="Times New Roman" w:cs="Times New Roman"/>
          <w:sz w:val="24"/>
          <w:sz-cs w:val="24"/>
        </w:rPr>
        <w:t xml:space="preserve"> אנזור בנייורישלויל נ' מדינת ישראל, [פורסם בנבו] פסקה 14 (21.5.2007)). לכן יש הגיון, על פי אמת המידה של הלימת העונש, בהטלת קנס ובחילוט, גם אם נגזר על נאשם מאסר של מספר שנים"</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"http://www.nevo.co.il/case/11204005" ע"פ 100/14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מחטייב</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4 (‏10.12.2014). זאת ועוד, הקנס שהושת על אילון אינו מן הגבוהים (השוו למשל: </w:t>
      </w:r>
      <w:r>
        <w:rPr>
          <w:rFonts w:ascii="Times New Roman" w:hAnsi="Times New Roman" w:cs="Times New Roman"/>
          <w:sz w:val="28"/>
          <w:sz-cs w:val="28"/>
          <w:u w:val="single"/>
          <w:spacing w:val="10"/>
          <w:color w:val="0000FF"/>
        </w:rPr>
        <w:t xml:space="preserve"> HYPERLINK "http://www.nevo.co.il/case/5993550" ע"פ 5104/06</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בנייורישלויל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(21.5.2007)), ואיני רואה הצדקה להפחתה נוספת בו.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50.      אשר על כן, אציע לחבריי לדחות את ערעורו של אילון, ולקבל את ערעורה של המדינה, במובן זה שאילון יורשע בעבירת הניסיון לסחר בסם מסוכן, ועונשו יועמד על 52 חודשי מאסר בפועל. שאר רכיבי גזר הדין יעמדו בעינם.</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המשנה לנשיאה א' רובינשטיין:</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א.</w:t>
      </w:r>
      <w:r>
        <w:rPr>
          <w:rFonts w:ascii="Times New Roman" w:hAnsi="Times New Roman" w:cs="Times New Roman"/>
          <w:sz w:val="14"/>
          <w:sz-cs w:val="14"/>
          <w:spacing w:val="10"/>
        </w:rPr>
        <w:t xml:space="preserve">             </w:t>
      </w:r>
      <w:r>
        <w:rPr>
          <w:rFonts w:ascii="Arial" w:hAnsi="Arial" w:cs="Arial"/>
          <w:sz w:val="28"/>
          <w:sz-cs w:val="28"/>
          <w:spacing w:val="10"/>
        </w:rPr>
        <w:t xml:space="preserve">מצטרף אני לחוות דעתו של חברי השופט סולברג על כל חלקיה.</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8"/>
          <w:sz-cs w:val="28"/>
          <w:spacing w:val="10"/>
        </w:rPr>
        <w:t xml:space="preserve">ב.</w:t>
      </w:r>
      <w:r>
        <w:rPr>
          <w:rFonts w:ascii="Times New Roman" w:hAnsi="Times New Roman" w:cs="Times New Roman"/>
          <w:sz w:val="14"/>
          <w:sz-cs w:val="14"/>
          <w:spacing w:val="10"/>
        </w:rPr>
        <w:t xml:space="preserve">             </w:t>
      </w:r>
      <w:r>
        <w:rPr>
          <w:rFonts w:ascii="Arial" w:hAnsi="Arial" w:cs="Arial"/>
          <w:sz w:val="28"/>
          <w:sz-cs w:val="28"/>
          <w:spacing w:val="10"/>
        </w:rPr>
        <w:t xml:space="preserve">באשר להכרעת הדין אוסיף, כי המערער שתק במשטרה, ומסר גירסה – כבושה – בבית המשפט. ב</w:t>
      </w:r>
      <w:r>
        <w:rPr>
          <w:rFonts w:ascii="Arial" w:hAnsi="Arial" w:cs="Arial"/>
          <w:sz w:val="28"/>
          <w:sz-cs w:val="28"/>
          <w:u w:val="single"/>
          <w:spacing w:val="10"/>
          <w:color w:val="0000FF"/>
        </w:rPr>
        <w:t xml:space="preserve"> HYPERLINK "http://www.nevo.co.il/case/6002494" ע"פ 7637/05</w:t>
      </w:r>
      <w:r>
        <w:rPr>
          <w:rFonts w:ascii="Arial" w:hAnsi="Arial" w:cs="Arial"/>
          <w:sz w:val="28"/>
          <w:sz-cs w:val="28"/>
          <w:spacing w:val="10"/>
        </w:rPr>
        <w:t xml:space="preserve"> </w:t>
      </w:r>
      <w:r>
        <w:rPr>
          <w:rFonts w:ascii="Arial" w:hAnsi="Arial" w:cs="Arial"/>
          <w:sz w:val="24"/>
          <w:sz-cs w:val="24"/>
        </w:rPr>
        <w:t xml:space="preserve">יוסף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(2007)</w:t>
      </w:r>
      <w:r>
        <w:rPr>
          <w:rFonts w:ascii="Times New Roman" w:hAnsi="Times New Roman" w:cs="Times New Roman"/>
          <w:sz w:val="22"/>
          <w:sz-cs w:val="22"/>
        </w:rPr>
        <w:t xml:space="preserve"> </w:t>
      </w:r>
      <w:r>
        <w:rPr>
          <w:rFonts w:ascii="Arial" w:hAnsi="Arial" w:cs="Arial"/>
          <w:sz w:val="28"/>
          <w:sz-cs w:val="28"/>
          <w:spacing w:val="10"/>
        </w:rPr>
        <w:t xml:space="preserve">נזדמן לי לציין – אמנם שם באשר לשתיקה בבית המשפט – כלהלן: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"מסופקני אם יש בנמצא שופטים שאינם מייחסים משקל חיזוקי משמעותי לשתיקה. הדברים נעוצים בשכל הישר; אדם הנאבק על חפותו, ייכבד וימסור את גירסתו" (פסקה ז'(13)).</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עוד ראו בהמשך שם סקירה בנושא השתיקה במשפט העברי. במקרה דנא קשה שלא לייחס משקל לשתיקה בחקירה, כשם שיש לייחס משקל מועט בלבד לעדות הכבושה. יידע כל עבריין ששתיקתו בחקירה עלולה להיות לו לרועץ, ומכאן גם רכיב זה באזהרה, אף שכמובן זו זכותו. אכן, אין השתיקה כשלעצמה מהוה ראיה פוזיטיבית, אך מעמדה עמה כראיית חיזוק, וכך נהיר.  </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8"/>
          <w:sz-cs w:val="28"/>
          <w:spacing w:val="10"/>
        </w:rPr>
        <w:t xml:space="preserve">ג.</w:t>
      </w:r>
      <w:r>
        <w:rPr>
          <w:rFonts w:ascii="Times New Roman" w:hAnsi="Times New Roman" w:cs="Times New Roman"/>
          <w:sz w:val="14"/>
          <w:sz-cs w:val="14"/>
          <w:spacing w:val="10"/>
        </w:rPr>
        <w:t xml:space="preserve">              </w:t>
      </w:r>
      <w:r>
        <w:rPr>
          <w:rFonts w:ascii="Arial" w:hAnsi="Arial" w:cs="Arial"/>
          <w:sz w:val="28"/>
          <w:sz-cs w:val="28"/>
          <w:spacing w:val="10"/>
        </w:rPr>
        <w:t xml:space="preserve">באשר לעונש, עסקינן בלא פחות מאשר ארבעה קילוגרם של קוקאין, סם המוות סדרתי שכוחו עמו לגרום רע, בחינת "כי רבים חללים הפילה ועצֻמים כל הרוגיה" (</w:t>
      </w:r>
      <w:r>
        <w:rPr>
          <w:rFonts w:ascii="Arial" w:hAnsi="Arial" w:cs="Arial"/>
          <w:sz w:val="24"/>
          <w:sz-cs w:val="24"/>
        </w:rPr>
        <w:t xml:space="preserve">משלי</w:t>
      </w:r>
      <w:r>
        <w:rPr>
          <w:rFonts w:ascii="Arial" w:hAnsi="Arial" w:cs="Arial"/>
          <w:sz w:val="28"/>
          <w:sz-cs w:val="28"/>
          <w:spacing w:val="10"/>
        </w:rPr>
        <w:t xml:space="preserve"> ז', כ"ו); לאחרונה נזדמן לי לציין, בהמשך לשורה ארוכה של פסקי דין ברוח זו, כי "נגע הסמים, והסמים הקשים כבענייננו (באותו מקרה היה מדובר בכ-481 גרם קוקאין – א"ר) בפרט, מרעיל לא רק את הצרכנים עצמם, אלא השפעתו הרסנית לחברה הסובבת בכלל. בנגע זה יש להילחם בכל שלביו, החל מהפצתו ועד מכירתו" (ע"פ </w:t>
      </w:r>
      <w:r>
        <w:rPr>
          <w:rFonts w:ascii="Arial" w:hAnsi="Arial" w:cs="Arial"/>
          <w:sz w:val="24"/>
          <w:sz-cs w:val="24"/>
        </w:rPr>
        <w:t xml:space="preserve">פדידה נ' מדינת ישראל</w:t>
      </w:r>
      <w:r>
        <w:rPr>
          <w:rFonts w:ascii="Arial" w:hAnsi="Arial" w:cs="Arial"/>
          <w:sz w:val="28"/>
          <w:sz-cs w:val="28"/>
          <w:spacing w:val="10"/>
        </w:rPr>
        <w:t xml:space="preserve"> (8.2.16), פסקה כ"ד, וראו האסמכתאות שם בנוסף לאשר הביא חברי). בין היתר נסקרה פסיקה בנושא (פסקה כ"ה), ועולה הימנה כי גם העונש שהוטל שם (30 חודש) היה ברמת הענישה הנמוכה. בענייננו המדובר ב-4 ק"ג קוקאין, על כן שיעור ההחמרה עליה החלטנו בענייננו מתון וכרוך בגישה שאין ערכאת הערעור ממצה את הדין, כאמור גם בחוות דעתו של חברי.</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8"/>
          <w:sz-cs w:val="28"/>
          <w:spacing w:val="10"/>
        </w:rPr>
        <w:t xml:space="preserve">ד.</w:t>
      </w:r>
      <w:r>
        <w:rPr>
          <w:rFonts w:ascii="Times New Roman" w:hAnsi="Times New Roman" w:cs="Times New Roman"/>
          <w:sz w:val="14"/>
          <w:sz-cs w:val="14"/>
          <w:spacing w:val="10"/>
        </w:rPr>
        <w:t xml:space="preserve">             </w:t>
      </w:r>
      <w:r>
        <w:rPr>
          <w:rFonts w:ascii="Arial" w:hAnsi="Arial" w:cs="Arial"/>
          <w:sz w:val="28"/>
          <w:sz-cs w:val="28"/>
          <w:spacing w:val="10"/>
        </w:rPr>
        <w:t xml:space="preserve">אוסיף: נתנו דעתנו לכך שבמאסרו ממלא המערער תפקיד תומך לעצורים המתמודדים עם קשיים רגשיים, וראינו גם את ההמלצה לעניין תכנית השיקום. יש לקוות כי ההתנהגות הטובה תימשך והדבר יעמוד למערער, שעברו נקי, בעתיד – בלא שניטע מסמרות, אף שלעת הזאת ראינו ליתן ביטוי מדגיש לחומרת העבירה.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bidi/>
      </w:pPr>
      <w:r>
        <w:rPr>
          <w:rFonts w:ascii="Arial" w:hAnsi="Arial" w:cs="Arial"/>
          <w:sz w:val="28"/>
          <w:sz-cs w:val="28"/>
          <w:spacing w:val="10"/>
        </w:rPr>
        <w:t xml:space="preserve">המשנה לנשיאה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י' עמית: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הוחלט כאמור בפסק הדין של השופט </w:t>
      </w:r>
      <w:r>
        <w:rPr>
          <w:rFonts w:ascii="Arial" w:hAnsi="Arial" w:cs="Arial"/>
          <w:sz w:val="24"/>
          <w:sz-cs w:val="24"/>
        </w:rPr>
        <w:t xml:space="preserve">נֹעם סולברג</w:t>
      </w:r>
      <w:r>
        <w:rPr>
          <w:rFonts w:ascii="Arial" w:hAnsi="Arial" w:cs="Arial"/>
          <w:sz w:val="28"/>
          <w:sz-cs w:val="28"/>
          <w:spacing w:val="10"/>
        </w:rPr>
        <w:t xml:space="preserve">.</w:t>
      </w: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‏ו' באדר א התשע"ו (‏15.2.2016).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המשנה לנשיאה</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bidi/>
      </w:pPr>
      <w:r>
        <w:rPr>
          <w:rFonts w:ascii="Arial" w:hAnsi="Arial" w:cs="Arial"/>
          <w:sz w:val="28"/>
          <w:sz-cs w:val="28"/>
          <w:spacing w:val="10"/>
        </w:rPr>
        <w:t xml:space="preserve">ש ו פ ט</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15079520_O06.doc   עב</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54678313-7952/15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7952/15 </w:t>
        <w:tab/>
        <w:t xml:space="preserve"> מדינת ישראל נ' אילון ישראל שץ</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7952/15 </w:t>
        <w:tab/>
        <w:t xml:space="preserve"> מדינת ישראל נ' אילון ישראל שץ</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2016-02-22T13:49:00Z</dcterms:created>
  <dcterms:modified>2016-02-22T13:49:00Z</dcterms:modified>
</cp:coreProperties>
</file>

<file path=docProps/meta.xml><?xml version="1.0" encoding="utf-8"?>
<meta xmlns="http://schemas.apple.com/cocoa/2006/metadata">
  <generator>CocoaOOXMLWriter/2575.7</generator>
</meta>
</file>