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2"/>
                <w:szCs w:val="30"/>
              </w:rPr>
            </w:pPr>
            <w:r>
              <w:rPr>
                <w:sz w:val="24"/>
                <w:sz w:val="24"/>
                <w:szCs w:val="32"/>
                <w:rtl w:val="true"/>
              </w:rPr>
              <w:t>בבית</w:t>
            </w:r>
            <w:r>
              <w:rPr>
                <w:rFonts w:cs="Times New Roman"/>
                <w:sz w:val="24"/>
                <w:sz w:val="24"/>
                <w:szCs w:val="32"/>
                <w:rtl w:val="true"/>
              </w:rPr>
              <w:t xml:space="preserve"> </w:t>
            </w:r>
            <w:r>
              <w:rPr>
                <w:sz w:val="24"/>
                <w:sz w:val="24"/>
                <w:szCs w:val="32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32"/>
                <w:rtl w:val="true"/>
              </w:rPr>
              <w:t xml:space="preserve"> </w:t>
            </w:r>
            <w:r>
              <w:rPr>
                <w:sz w:val="24"/>
                <w:sz w:val="24"/>
                <w:szCs w:val="32"/>
                <w:rtl w:val="true"/>
              </w:rPr>
              <w:t>העליון</w:t>
            </w:r>
            <w:r>
              <w:rPr>
                <w:rFonts w:cs="Times New Roman"/>
                <w:sz w:val="24"/>
                <w:sz w:val="24"/>
                <w:szCs w:val="32"/>
                <w:rtl w:val="true"/>
              </w:rPr>
              <w:t xml:space="preserve"> </w:t>
            </w:r>
            <w:r>
              <w:rPr>
                <w:sz w:val="24"/>
                <w:sz w:val="24"/>
                <w:szCs w:val="32"/>
                <w:rtl w:val="true"/>
              </w:rPr>
              <w:t>בשבתו</w:t>
            </w:r>
            <w:r>
              <w:rPr>
                <w:rFonts w:cs="Times New Roman"/>
                <w:sz w:val="24"/>
                <w:sz w:val="24"/>
                <w:szCs w:val="32"/>
                <w:rtl w:val="true"/>
              </w:rPr>
              <w:t xml:space="preserve"> </w:t>
            </w:r>
            <w:r>
              <w:rPr>
                <w:sz w:val="24"/>
                <w:sz w:val="24"/>
                <w:szCs w:val="32"/>
                <w:rtl w:val="true"/>
              </w:rPr>
              <w:t>כבית</w:t>
            </w:r>
            <w:r>
              <w:rPr>
                <w:rFonts w:cs="Times New Roman"/>
                <w:sz w:val="24"/>
                <w:sz w:val="24"/>
                <w:szCs w:val="32"/>
                <w:rtl w:val="true"/>
              </w:rPr>
              <w:t xml:space="preserve"> </w:t>
            </w:r>
            <w:r>
              <w:rPr>
                <w:sz w:val="24"/>
                <w:sz w:val="24"/>
                <w:szCs w:val="32"/>
                <w:rtl w:val="true"/>
              </w:rPr>
              <w:t>משפט</w:t>
            </w:r>
            <w:r>
              <w:rPr>
                <w:rFonts w:cs="Times New Roman"/>
                <w:sz w:val="24"/>
                <w:sz w:val="24"/>
                <w:szCs w:val="32"/>
                <w:rtl w:val="true"/>
              </w:rPr>
              <w:t xml:space="preserve"> </w:t>
            </w:r>
            <w:r>
              <w:rPr>
                <w:sz w:val="24"/>
                <w:sz w:val="24"/>
                <w:szCs w:val="32"/>
                <w:rtl w:val="true"/>
              </w:rPr>
              <w:t>לערעורים</w:t>
            </w:r>
            <w:r>
              <w:rPr>
                <w:rFonts w:cs="Times New Roman"/>
                <w:sz w:val="24"/>
                <w:sz w:val="24"/>
                <w:szCs w:val="32"/>
                <w:rtl w:val="true"/>
              </w:rPr>
              <w:t xml:space="preserve"> </w:t>
            </w:r>
            <w:r>
              <w:rPr>
                <w:sz w:val="24"/>
                <w:sz w:val="24"/>
                <w:szCs w:val="32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0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9112/11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spacing w:lineRule="auto" w:line="480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פוגלמן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1" w:name="LastJudge"/>
            <w:bookmarkStart w:id="2" w:name="LastJudge"/>
            <w:bookmarkEnd w:id="2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צ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זילברטל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3" w:name="FirstAppellant"/>
            <w:bookmarkEnd w:id="3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פלוני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    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בירושלים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27.10.11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sz w:val="24"/>
                  <w:sz w:val="24"/>
                  <w:szCs w:val="24"/>
                  <w:rtl w:val="true"/>
                </w:rPr>
                <w:t>ת</w:t>
              </w:r>
              <w:r>
                <w:rPr>
                  <w:rStyle w:val="Hyperlink"/>
                  <w:sz w:val="24"/>
                  <w:szCs w:val="24"/>
                  <w:rtl w:val="true"/>
                </w:rPr>
                <w:t>"</w:t>
              </w:r>
              <w:r>
                <w:rPr>
                  <w:rStyle w:val="Hyperlink"/>
                  <w:sz w:val="24"/>
                  <w:sz w:val="24"/>
                  <w:szCs w:val="24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sz w:val="24"/>
                  <w:sz w:val="24"/>
                  <w:szCs w:val="24"/>
                  <w:rtl w:val="true"/>
                </w:rPr>
                <w:t xml:space="preserve"> </w:t>
              </w:r>
              <w:r>
                <w:rPr>
                  <w:rStyle w:val="Hyperlink"/>
                  <w:sz w:val="24"/>
                  <w:szCs w:val="24"/>
                </w:rPr>
                <w:t>50188-03-11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ר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כרמל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4" w:name="xDate"/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בכס</w:t>
            </w:r>
            <w:bookmarkEnd w:id="4"/>
            <w:r>
              <w:rPr>
                <w:sz w:val="24"/>
                <w:sz w:val="24"/>
                <w:szCs w:val="24"/>
                <w:rtl w:val="true"/>
              </w:rPr>
              <w:t>לו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ג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6.12.2012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מיכאל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עירוני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FirstLawyer"/>
            <w:bookmarkEnd w:id="5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עידית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פרג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ון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spacing w:lineRule="auto" w:line="480"/>
        <w:ind w:end="0"/>
        <w:jc w:val="start"/>
        <w:rPr/>
      </w:pPr>
      <w:r>
        <w:rPr>
          <w:rtl w:val="true"/>
        </w:rPr>
      </w:r>
      <w:bookmarkStart w:id="6" w:name="LawTable"/>
      <w:bookmarkStart w:id="7" w:name="LawTable"/>
      <w:bookmarkEnd w:id="7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284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390</w:t>
        </w:r>
      </w:hyperlink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bookmarkStart w:id="8" w:name="ABSTRACT_START"/>
      <w:bookmarkStart w:id="9" w:name="LawTable_End"/>
      <w:bookmarkEnd w:id="8"/>
      <w:bookmarkEnd w:id="9"/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מיני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רציו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נמצא פגם בשיקולים ששקל ובאיזונים שעשה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המחוזי בעניינו של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חומרת העבירות שבהן הורשע המערער – גניבה בידי עובד ציבור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נשיאת נשק שלא כדין ניסיון לבצע עסקה בנשק והפרת אמונים – מצדיקה עונש עם אפקט מרתיע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כפי זה שנגזר במקרה דנן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מאסר בפועל לתקופה של ארבע שנים ומאסר על תנאי של עשרה חודשים לתקופה של </w:t>
      </w:r>
      <w:r>
        <w:rPr>
          <w:rFonts w:cs="Times New Roman" w:ascii="Times New Roman" w:hAnsi="Times New Roman"/>
          <w:spacing w:val="0"/>
          <w:sz w:val="24"/>
          <w:szCs w:val="26"/>
        </w:rPr>
        <w:t>3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שיקולים לחומרה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עבירות – גניבה בידי עובד ציבור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עבירות – נשיאת נשק שלא כדין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עבירות – סחר בנשק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עבירות נשק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ערעור על גזר דינו של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המחוזי בירושלים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רקע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לפי כתב האישום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ששירת כשוטר במשמר הגבול במסגרת שירותו הסדיר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גנב את נשקו של חברו בזמן שהאחרון ישן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וביחד עם הנאשם </w:t>
      </w:r>
      <w:r>
        <w:rPr>
          <w:rFonts w:cs="Times New Roman" w:ascii="Times New Roman" w:hAnsi="Times New Roman"/>
          <w:spacing w:val="0"/>
          <w:sz w:val="24"/>
          <w:szCs w:val="26"/>
        </w:rPr>
        <w:t>2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ניסו להביא למכירת הנשק לאדם שלישי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להלן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הנאשם </w:t>
      </w:r>
      <w:r>
        <w:rPr>
          <w:rFonts w:cs="Times New Roman" w:ascii="Times New Roman" w:hAnsi="Times New Roman"/>
          <w:spacing w:val="0"/>
          <w:sz w:val="24"/>
          <w:szCs w:val="26"/>
        </w:rPr>
        <w:t>3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הרשיע את המערער על יסוד הודאתו במסגרת הסדר טיעון בעבירות המיוחסות לו בכתב האישום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גניבה בידי עובד ציבור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נשיאת נשק שלא כדין ניסיון לבצע עסקה בנשק והפרת אמונים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בגדרי הסדר הטיעון הוסכם בין הצדדים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בין היתר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שהמדינה תטען לעונש מאסר בפועל שלא יעלה על ארבע שנים וחצי בעוד שהמערער יהא זכאי לטעון באופן חופשי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לאחר שנתקבל תסקיר שירות מבחן בעניינו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נגזר על המערער עונש מאסר בפועל לתקופה של ארבע שנים ומאסר על תנאי של עשרה חודשים לתקופה של </w:t>
      </w:r>
      <w:r>
        <w:rPr>
          <w:rFonts w:cs="Times New Roman" w:ascii="Times New Roman" w:hAnsi="Times New Roman"/>
          <w:spacing w:val="0"/>
          <w:sz w:val="24"/>
          <w:szCs w:val="26"/>
        </w:rPr>
        <w:t>3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לטענת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יש מקום להקל בעונשו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ש העליון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מפי השופט ס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'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ג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'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ובראן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דחה את הערעור מהטעמים הבאים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הלכה היא כי למעט מקרים יוצאי דופן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ערכאת הערעור תימנע מלהתערב בעונש שנגזר על ידי הערכאה הדיונית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אלא אם כן מדובר בעונש החורג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באופן משמעותי מהעונש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שראוי היה להטיל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...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היינו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שיש בו משום גרימת עוול של ממש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..."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המקרה דנן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לא נמצאה סטייה קיצונית לחומרה ממדיניות הענישה הראויה וביהמ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אף אינו סבור כי העונש שהוטל על המערער גורם לעוול של ממש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ראשית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במעמד החתימה על הסדר הטיעון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 לא הביע התנגדות לסעיף שבו מצהירה המשיבה על כוונתה לטעון לעונש מאסר בפועל של ארבע שנים וחצי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יש בהסכמה הזו משום הבעת עמדה מצד המערער כי העונש המצוי ברף העליון של טווח העונשים שלגביו הסכים הוא עונש סביר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וזאת למעט מקרים חריגים שבהם הסטייה ממתחם הענישה הראויה היא כה ברורה עד כי ניתן לומר לגביה שהיא משוועת להתערבות ערכאת הערעור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אלו יהיו המקרים שבהם טווח ההסכמה לא יהיה חופף למתחם הענישה הראויה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וזה אינו המקרה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בהקשר זה יש לציין כי לא נמצא פגם בשיקולים ששקל ובאיזונים שעשה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המחוזי בעניינו של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חומרת העבירות שבהן הורשע המערער מצדיקה עונש עם אפקט מרתיע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כפי זה שנגזר במקרה דנן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עומד על חומרת העבירות ובנוסף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מציין כי אין בפער של </w:t>
      </w:r>
      <w:r>
        <w:rPr>
          <w:rFonts w:cs="Times New Roman" w:ascii="Times New Roman" w:hAnsi="Times New Roman"/>
          <w:spacing w:val="0"/>
          <w:sz w:val="24"/>
          <w:szCs w:val="26"/>
        </w:rPr>
        <w:t>18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החודשים בין עונשו של הנאשם </w:t>
      </w:r>
      <w:r>
        <w:rPr>
          <w:rFonts w:cs="Times New Roman" w:ascii="Times New Roman" w:hAnsi="Times New Roman"/>
          <w:spacing w:val="0"/>
          <w:sz w:val="24"/>
          <w:szCs w:val="26"/>
        </w:rPr>
        <w:t>2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שהורשע על יסוד הודאתו בעבירות של נשיאת נשק שלא כדין ובניסיון לבצע עסקה בנשק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לעונשו של המערער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שהורשע בנוסף לעבירות הנשק גם בשתי עבירות נוספות של גניבה בידי עובד ציבור והפרת אמונים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–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על רקע השוני בעבירות בהן הורשעו השניים – כדי להצדיק הפחתה בעונשו של האחרון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ואין בכך משום פגיעה בעיקרון השוויון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Normal"/>
        <w:tabs>
          <w:tab w:val="clear" w:pos="720"/>
          <w:tab w:val="left" w:pos="2552" w:leader="none"/>
        </w:tabs>
        <w:spacing w:lineRule="auto" w:line="480"/>
        <w:ind w:end="0"/>
        <w:jc w:val="start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/>
          <w:spacing w:val="0"/>
          <w:sz w:val="24"/>
          <w:szCs w:val="26"/>
          <w:rtl w:val="true"/>
        </w:rPr>
      </w:r>
      <w:bookmarkStart w:id="10" w:name="ABSTRACT_END"/>
      <w:bookmarkStart w:id="11" w:name="ABSTRACT_END"/>
      <w:bookmarkEnd w:id="11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2" w:name="PsakDin"/>
            <w:bookmarkStart w:id="13" w:name="secretary"/>
            <w:bookmarkStart w:id="14" w:name="BeginProtocol"/>
            <w:bookmarkEnd w:id="12"/>
            <w:bookmarkEnd w:id="13"/>
            <w:bookmarkEnd w:id="14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5" w:name="Writer_Name"/>
      <w:bookmarkEnd w:id="15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ס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ג</w:t>
      </w:r>
      <w:r>
        <w:rPr>
          <w:rFonts w:cs="Miriam"/>
          <w:sz w:val="24"/>
          <w:szCs w:val="24"/>
          <w:u w:val="single"/>
          <w:rtl w:val="true"/>
        </w:rPr>
        <w:t>'</w:t>
      </w:r>
      <w:r>
        <w:rPr>
          <w:rFonts w:cs="Miriam"/>
          <w:sz w:val="24"/>
          <w:sz w:val="24"/>
          <w:szCs w:val="24"/>
          <w:u w:val="single"/>
          <w:rtl w:val="true"/>
        </w:rPr>
        <w:t>ובראן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6" w:name="Start_Write"/>
      <w:bookmarkStart w:id="17" w:name="Start_Write"/>
      <w:bookmarkEnd w:id="17"/>
    </w:p>
    <w:p>
      <w:pPr>
        <w:pStyle w:val="Ruller41"/>
        <w:numPr>
          <w:ilvl w:val="0"/>
          <w:numId w:val="1"/>
        </w:numPr>
        <w:ind w:hanging="0" w:start="0" w:end="0"/>
        <w:jc w:val="both"/>
        <w:rPr/>
      </w:pPr>
      <w:r>
        <w:rPr>
          <w:rtl w:val="true"/>
        </w:rPr>
        <w:t>לפנינו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בירושלים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</w:t>
      </w:r>
      <w:hyperlink r:id="rId8">
        <w:r>
          <w:rPr>
            <w:rStyle w:val="Hyperlink"/>
            <w:rtl w:val="true"/>
          </w:rPr>
          <w:t>ת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</w:rPr>
          <w:t>50188-03-11</w:t>
        </w:r>
      </w:hyperlink>
      <w:r>
        <w:rPr>
          <w:rtl w:val="true"/>
        </w:rPr>
        <w:t xml:space="preserve"> (</w:t>
      </w:r>
      <w:r>
        <w:rPr>
          <w:rtl w:val="true"/>
        </w:rPr>
        <w:t>כבוד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כרמל</w:t>
      </w:r>
      <w:r>
        <w:rPr>
          <w:rtl w:val="true"/>
        </w:rPr>
        <w:t xml:space="preserve">) </w:t>
      </w:r>
      <w:r>
        <w:rPr>
          <w:rtl w:val="true"/>
        </w:rPr>
        <w:t>מיום</w:t>
      </w:r>
      <w:r>
        <w:rPr>
          <w:rFonts w:eastAsia="Arial TUR;Arial" w:cs="Arial TUR;Arial"/>
          <w:rtl w:val="true"/>
        </w:rPr>
        <w:t xml:space="preserve"> </w:t>
      </w:r>
      <w:r>
        <w:rPr/>
        <w:t>27.10.2011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</w:rPr>
      </w:pPr>
      <w:r>
        <w:rPr>
          <w:rtl w:val="true"/>
        </w:rPr>
        <w:t>נגד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הוגש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מתוקן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כתב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האישום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 xml:space="preserve">המייחס לו עבירות של גניבה בידי עובד ציבור לפי </w:t>
      </w:r>
      <w:hyperlink r:id="rId9">
        <w:r>
          <w:rPr>
            <w:rStyle w:val="Hyperlink"/>
            <w:rFonts w:ascii="Times New Roman" w:hAnsi="Times New Roman" w:cs="Times New Roman"/>
            <w:rtl w:val="true"/>
          </w:rPr>
          <w:t>סעיף</w:t>
        </w:r>
        <w:r>
          <w:rPr>
            <w:rStyle w:val="Hyperlink"/>
            <w:rFonts w:ascii="Times New Roman" w:hAnsi="Times New Roman" w:cs="Times New Roman"/>
            <w:rtl w:val="true"/>
          </w:rPr>
          <w:t xml:space="preserve"> </w:t>
        </w:r>
        <w:r>
          <w:rPr>
            <w:rStyle w:val="Hyperlink"/>
            <w:rFonts w:cs="Times New Roman" w:ascii="Times New Roman" w:hAnsi="Times New Roman"/>
          </w:rPr>
          <w:t>390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</w:t>
      </w:r>
      <w:hyperlink r:id="rId10">
        <w:r>
          <w:rPr>
            <w:rStyle w:val="Hyperlink"/>
            <w:rFonts w:ascii="Times New Roman" w:hAnsi="Times New Roman" w:cs="Times New Roman"/>
            <w:rtl w:val="true"/>
          </w:rPr>
          <w:t>חוק העונשין</w:t>
        </w:r>
      </w:hyperlink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התשל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ז</w:t>
      </w:r>
      <w:r>
        <w:rPr>
          <w:rFonts w:cs="Times New Roman" w:ascii="Times New Roman" w:hAnsi="Times New Roman"/>
          <w:rtl w:val="true"/>
        </w:rPr>
        <w:t>-</w:t>
      </w:r>
      <w:r>
        <w:rPr>
          <w:rFonts w:cs="Times New Roman" w:ascii="Times New Roman" w:hAnsi="Times New Roman"/>
        </w:rPr>
        <w:t>1977</w:t>
      </w:r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ascii="Times New Roman" w:hAnsi="Times New Roman" w:cs="Times New Roman"/>
          <w:rtl w:val="true"/>
        </w:rPr>
        <w:t>להלן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החוק</w:t>
      </w:r>
      <w:r>
        <w:rPr>
          <w:rFonts w:cs="Times New Roman" w:ascii="Times New Roman" w:hAnsi="Times New Roman"/>
          <w:rtl w:val="true"/>
        </w:rPr>
        <w:t xml:space="preserve">); </w:t>
      </w:r>
      <w:r>
        <w:rPr>
          <w:rFonts w:ascii="Times New Roman" w:hAnsi="Times New Roman" w:cs="Times New Roman"/>
          <w:rtl w:val="true"/>
        </w:rPr>
        <w:t xml:space="preserve">נשיאת נשק שלא כדין לפי </w:t>
      </w:r>
      <w:hyperlink r:id="rId11">
        <w:r>
          <w:rPr>
            <w:rStyle w:val="Hyperlink"/>
            <w:rFonts w:ascii="Times New Roman" w:hAnsi="Times New Roman" w:cs="Times New Roman"/>
            <w:rtl w:val="true"/>
          </w:rPr>
          <w:t>סעיף</w:t>
        </w:r>
        <w:r>
          <w:rPr>
            <w:rStyle w:val="Hyperlink"/>
            <w:rFonts w:ascii="Times New Roman" w:hAnsi="Times New Roman" w:cs="Times New Roman"/>
            <w:rtl w:val="true"/>
          </w:rPr>
          <w:t xml:space="preserve"> </w:t>
        </w:r>
        <w:r>
          <w:rPr>
            <w:rStyle w:val="Hyperlink"/>
            <w:rFonts w:cs="Times New Roman" w:ascii="Times New Roman" w:hAnsi="Times New Roman"/>
          </w:rPr>
          <w:t>144</w:t>
        </w:r>
        <w:r>
          <w:rPr>
            <w:rStyle w:val="Hyperlink"/>
            <w:rFonts w:cs="Times New Roman" w:ascii="Times New Roman" w:hAnsi="Times New Roman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rtl w:val="true"/>
          </w:rPr>
          <w:t>ב</w:t>
        </w:r>
        <w:r>
          <w:rPr>
            <w:rStyle w:val="Hyperlink"/>
            <w:rFonts w:cs="Times New Roman" w:ascii="Times New Roman" w:hAnsi="Times New Roman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לחוק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ניסיון לבצע עסקה בנשק לפי </w:t>
      </w:r>
      <w:hyperlink r:id="rId12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144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ב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2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)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לחוק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והפרת אמונים לפי </w:t>
      </w:r>
      <w:hyperlink r:id="rId13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סעיף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284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לחוק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לפי כתב האישום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ששירת כשוטר במשמר הגבול במסגרת שירותו הסדיר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גנב את נשקו של חברו בזמן שהאחרון ישן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המערער יצא מבסיס יהודאי שבירושלים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וביחד עם חברו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להלן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הנאשם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 w:ascii="Times New Roman" w:hAnsi="Times New Roman"/>
          <w:spacing w:val="0"/>
          <w:sz w:val="28"/>
          <w:szCs w:val="24"/>
        </w:rPr>
        <w:t>2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החביא את הנשק בשטח פתוח עד אשר יעלה בידם להוציא את תוכניתם לפועל על ידי מכירתו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בהמשך כתב האישום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מתוארות ההתרחשויות שבמסגרתן ניסו המערער והנאשם </w:t>
      </w:r>
      <w:r>
        <w:rPr>
          <w:rFonts w:cs="Times New Roman" w:ascii="Times New Roman" w:hAnsi="Times New Roman"/>
        </w:rPr>
        <w:t>2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להביא למכירת הנשק לאדם שלישי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להלן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הנאשם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 w:ascii="Times New Roman" w:hAnsi="Times New Roman"/>
          <w:spacing w:val="0"/>
          <w:sz w:val="28"/>
          <w:szCs w:val="24"/>
        </w:rPr>
        <w:t>3</w:t>
      </w:r>
      <w:r>
        <w:rPr>
          <w:rFonts w:cs="Times New Roman" w:ascii="Times New Roman" w:hAnsi="Times New Roman"/>
          <w:rtl w:val="true"/>
        </w:rPr>
        <w:t>).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 xml:space="preserve">ביום </w:t>
      </w:r>
      <w:r>
        <w:rPr>
          <w:rFonts w:cs="Times New Roman" w:ascii="Times New Roman" w:hAnsi="Times New Roman"/>
        </w:rPr>
        <w:t>25.7.2011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הורשע המערער על יסוד הודאתו במסגרת הסדר טיעון בעבירות המיוחסות לו בכתב האישום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בגדרי הסדר הטיעון הוסכם בין הצדדים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בין היתר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שהמדינה תטען לעונש מאסר בפועל שלא יעלה על ארבע שנים וחצי בעוד שהמערער יהא זכאי לטעון באופן חופשי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ביום </w:t>
      </w:r>
      <w:r>
        <w:rPr>
          <w:rFonts w:cs="Times New Roman" w:ascii="Times New Roman" w:hAnsi="Times New Roman"/>
        </w:rPr>
        <w:t>27.10.2011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לאחר שנתקבל תסקיר שירות מבחן בעניינו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נגזר על המערער עונש מאסר בפועל לתקופה של ארבע שנים ומאסר על תנאי של עשרה חודשים לתקופה של </w:t>
      </w: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שנים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בית המשפט ציין את גילו הצעיר של המערער ואת עברו הנקי כשיקולים לקולה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מנגד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הדגיש בית המשפט את החומרה היתרה הנודעת לעבירות בנשק הנובעת הן מהאפשרות שלפיה חפים מפשע ייפגעו כתוצאה מהשימוש שניתן לעשות בו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הן מהשימוש לרעה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בין אם עברייני ובין אם ביטחוני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שייעשה בנשק כאמור על ידי מי שיקבל אותו לבסוף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נוסף לאלה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בית המשפט מייחס חומרה מיוחדת לעובדה שהמערער גנב את הנשק במהלך מילוי תפקידו כשוטר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לנוכח אלה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סבר בית המשפט שנדרשת במקרה דנן ענישה מרתיעה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וציין כי העונש שאותו מבקשת המשיבה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ארבע שנים וחצי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אינו עונש מחמיר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אך החליט להפחית שישה חודשים בשל השיקולים לקולה שנמנו לעיל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מכאן הערעור שלפנינו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 xml:space="preserve">המערער טוען כי ראוי היה כי נסיבות חייו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המורכבות</w:t>
      </w:r>
      <w:r>
        <w:rPr>
          <w:rFonts w:cs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cs="Times New Roman"/>
          <w:rtl w:val="true"/>
        </w:rPr>
        <w:t>תקבלנה משקל רב יותר מזה שניתנו להן בפועל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ולדידו היה מקום לשקול גם את היותו חייל בשירות צבאי סדיר כשיקול לקולא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בנוסף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הוא טוען כי את העבירות ביצע מתוך לחץ כלכלי ולחץ חברתי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ובהקשר זה טוען המערער שמדובר במעשה אימפולסיבי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וזאת לאחר שחברו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הציב בפניו דרישה למסור לידיו נשק בתוך פרק זמן קצוב בתמורה לסכום כסף שהמערער היה חייב</w:t>
      </w:r>
      <w:r>
        <w:rPr>
          <w:rFonts w:cs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cs="Times New Roman"/>
          <w:rtl w:val="true"/>
        </w:rPr>
        <w:t>לו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עוד טוען המערער כי מאסר של ארבע שנים מאחורי סורג ובריח יפגע בו ויש טעם בנסיבות המקרה דנן לתת משקל רב יותר לאינטרס השיקומי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המערער אף טען כי יש מקום להתחשב בגזירת עונשו גם בתנאי מעצרו הקשים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וזאת כתוצאה מהניסיון למנוע טענות בדבר משוא פנים בשל העובדה שאחיו משרת בתפקיד של לוחם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נחשון</w:t>
      </w:r>
      <w:r>
        <w:rPr>
          <w:rFonts w:cs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cs="Times New Roman"/>
          <w:rtl w:val="true"/>
        </w:rPr>
        <w:t>ומהגדרתו כטעון הגנה בשל היותו שוטר משמר הגבול והפללת חברו למעשה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לבסוף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מצביע המערער על מקרים שבהם הוטלו על נאשמים שהורשעו בעבירות בנשק עונשים פחות חמורים מהעונש שהוטל עליו במקרה זה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במעמד הדיון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הפנה המערער אל העונשים שהוטלו על הנאשם </w:t>
      </w:r>
      <w:r>
        <w:rPr>
          <w:rFonts w:cs="Times New Roman" w:ascii="Times New Roman" w:hAnsi="Times New Roman"/>
        </w:rPr>
        <w:t>2</w:t>
      </w:r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cs="Times New Roman" w:ascii="Times New Roman" w:hAnsi="Times New Roman"/>
        </w:rPr>
        <w:t>30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 בפועל ושמונה חודשי מאסר על תנאי לתקופה של שלוש שנים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 xml:space="preserve">והנאשם </w:t>
      </w: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ascii="Times New Roman" w:hAnsi="Times New Roman" w:cs="Times New Roman"/>
          <w:rtl w:val="true"/>
        </w:rPr>
        <w:t>שמונה חודשי מאסר בפועל ושישה חודשי מאסר על תנאי לתקופה של שלוש שנים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>וטען כי הפער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בייחוד בהשוואה לעונש שהושת על הנאשם </w:t>
      </w:r>
      <w:r>
        <w:rPr>
          <w:rFonts w:cs="Times New Roman" w:ascii="Times New Roman" w:hAnsi="Times New Roman"/>
        </w:rPr>
        <w:t>2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שלפי הטענה הוביל את המהלך והפעיל לחץ על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אינו מוצדק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numPr>
          <w:ilvl w:val="0"/>
          <w:numId w:val="1"/>
        </w:numPr>
        <w:ind w:hanging="0" w:start="0" w:end="0"/>
        <w:jc w:val="both"/>
        <w:rPr>
          <w:rFonts w:cs="David"/>
          <w:sz w:val="26"/>
          <w:szCs w:val="26"/>
        </w:rPr>
      </w:pPr>
      <w:r>
        <w:rPr>
          <w:rFonts w:ascii="Times New Roman" w:hAnsi="Times New Roman" w:cs="Times New Roman"/>
          <w:rtl w:val="true"/>
        </w:rPr>
        <w:t>מנגד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המשיבה טוענת כי אין מקום להתערב בעונש שנגזר על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וזאת משום שלגישתה העונש הולם את חומרת המעשים שבהם הוא הורשע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היא מדגישה שהסדר הטיעון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שלו הסכים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כלל טווח ענישה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בנוסף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מזכירה המשיבה את סוג הנשק שגנב המערער – רובה סער – שפוטנציאל הסכנה הנשקפת ממנו גדול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ind w:end="0"/>
        <w:jc w:val="both"/>
        <w:rPr>
          <w:rFonts w:cs="David"/>
          <w:sz w:val="26"/>
          <w:szCs w:val="26"/>
        </w:rPr>
      </w:pPr>
      <w:r>
        <w:rPr>
          <w:rFonts w:cs="David"/>
          <w:sz w:val="26"/>
          <w:szCs w:val="26"/>
          <w:rtl w:val="true"/>
        </w:rPr>
      </w:r>
    </w:p>
    <w:p>
      <w:pPr>
        <w:pStyle w:val="Ruller41"/>
        <w:numPr>
          <w:ilvl w:val="0"/>
          <w:numId w:val="1"/>
        </w:numPr>
        <w:ind w:hanging="0" w:start="0" w:end="0"/>
        <w:jc w:val="both"/>
        <w:rPr/>
      </w:pP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, </w:t>
      </w:r>
      <w:r>
        <w:rPr>
          <w:rtl w:val="true"/>
        </w:rPr>
        <w:t>בהודעת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ובנספחיה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ששמענו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טיעוני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, </w:t>
      </w:r>
      <w:r>
        <w:rPr>
          <w:rtl w:val="true"/>
        </w:rPr>
        <w:t>הגענו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למסקנה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להידחות</w:t>
      </w:r>
      <w:r>
        <w:rPr>
          <w:rtl w:val="true"/>
        </w:rPr>
        <w:t>.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</w:rPr>
      </w:pPr>
      <w:r>
        <w:rPr>
          <w:rtl w:val="true"/>
        </w:rPr>
        <w:t>הלכה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למעט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יוצאי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דופן</w:t>
      </w:r>
      <w:r>
        <w:rPr>
          <w:rtl w:val="true"/>
        </w:rPr>
        <w:t xml:space="preserve">, </w:t>
      </w:r>
      <w:r>
        <w:rPr>
          <w:rtl w:val="true"/>
        </w:rPr>
        <w:t>ערכאת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תימנע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מלהתערב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הדיונית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החורג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באופן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משמעותי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מהעונש</w:t>
      </w:r>
      <w:r>
        <w:rPr>
          <w:rtl w:val="true"/>
        </w:rPr>
        <w:t xml:space="preserve">, </w:t>
      </w:r>
      <w:r>
        <w:rPr>
          <w:rtl w:val="true"/>
        </w:rPr>
        <w:t>שראוי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להטיל</w:t>
      </w:r>
      <w:r>
        <w:rPr>
          <w:rtl w:val="true"/>
        </w:rPr>
        <w:t xml:space="preserve">... </w:t>
      </w:r>
      <w:r>
        <w:rPr>
          <w:rtl w:val="true"/>
        </w:rPr>
        <w:t>היינו</w:t>
      </w:r>
      <w:r>
        <w:rPr>
          <w:rtl w:val="true"/>
        </w:rPr>
        <w:t xml:space="preserve">, </w:t>
      </w:r>
      <w:r>
        <w:rPr>
          <w:rtl w:val="true"/>
        </w:rPr>
        <w:t>שיש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גרימת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ממש</w:t>
      </w:r>
      <w:r>
        <w:rPr>
          <w:rtl w:val="true"/>
        </w:rPr>
        <w:t>..." (</w:t>
      </w:r>
      <w:hyperlink r:id="rId1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419/81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פייביש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לח</w:t>
        </w:r>
      </w:hyperlink>
      <w:r>
        <w:rPr>
          <w:rtl w:val="true"/>
        </w:rPr>
        <w:t>(</w:t>
      </w:r>
      <w:r>
        <w:rPr/>
        <w:t>4</w:t>
      </w:r>
      <w:r>
        <w:rPr>
          <w:rtl w:val="true"/>
        </w:rPr>
        <w:t xml:space="preserve">) </w:t>
      </w:r>
      <w:r>
        <w:rPr/>
        <w:t>701</w:t>
      </w:r>
      <w:r>
        <w:rPr>
          <w:rtl w:val="true"/>
        </w:rPr>
        <w:t xml:space="preserve">, </w:t>
      </w:r>
      <w:r>
        <w:rPr/>
        <w:t>712</w:t>
      </w:r>
      <w:r>
        <w:rPr>
          <w:rtl w:val="true"/>
        </w:rPr>
        <w:t xml:space="preserve"> (</w:t>
      </w:r>
      <w:r>
        <w:rPr/>
        <w:t>1981</w:t>
      </w:r>
      <w:r>
        <w:rPr>
          <w:rtl w:val="true"/>
        </w:rPr>
        <w:t xml:space="preserve">); </w:t>
      </w:r>
      <w:r>
        <w:rPr>
          <w:rtl w:val="true"/>
        </w:rPr>
        <w:t>ראו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עוד</w:t>
      </w:r>
      <w:r>
        <w:rPr>
          <w:rtl w:val="true"/>
        </w:rPr>
        <w:t xml:space="preserve">: </w:t>
      </w:r>
      <w:hyperlink r:id="rId1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3091/08</w:t>
        </w:r>
      </w:hyperlink>
      <w:r>
        <w:rPr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טרייגר</w:t>
      </w:r>
      <w:r>
        <w:rPr>
          <w:rFonts w:eastAsia="Arial TUR;Arial" w:cs="Arial TUR;Arial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;Arial" w:cs="Arial TUR;Arial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29.1.2009</w:t>
      </w:r>
      <w:r>
        <w:rPr>
          <w:rFonts w:cs="FrankRuehl" w:ascii="FrankRuehl" w:hAnsi="FrankRuehl"/>
          <w:color w:val="000000"/>
          <w:sz w:val="28"/>
          <w:rtl w:val="true"/>
        </w:rPr>
        <w:t xml:space="preserve">); </w:t>
      </w:r>
      <w:r>
        <w:rPr>
          <w:rFonts w:ascii="FrankRuehl" w:hAnsi="FrankRuehl"/>
          <w:color w:val="000000"/>
          <w:sz w:val="28"/>
          <w:sz w:val="28"/>
          <w:rtl w:val="true"/>
        </w:rPr>
        <w:t>ע</w:t>
      </w:r>
      <w:r>
        <w:rPr>
          <w:rFonts w:cs="FrankRuehl" w:ascii="FrankRuehl" w:hAnsi="FrankRuehl"/>
          <w:color w:val="000000"/>
          <w:sz w:val="28"/>
          <w:rtl w:val="true"/>
        </w:rPr>
        <w:t>"</w:t>
      </w:r>
      <w:r>
        <w:rPr>
          <w:rFonts w:ascii="FrankRuehl" w:hAnsi="FrankRuehl"/>
          <w:color w:val="000000"/>
          <w:sz w:val="28"/>
          <w:sz w:val="28"/>
          <w:rtl w:val="true"/>
        </w:rPr>
        <w:t xml:space="preserve">פ </w:t>
      </w:r>
      <w:r>
        <w:rPr>
          <w:rFonts w:cs="FrankRuehl" w:ascii="FrankRuehl" w:hAnsi="FrankRuehl"/>
          <w:color w:val="000000"/>
          <w:sz w:val="28"/>
        </w:rPr>
        <w:t>9723/03</w:t>
      </w:r>
      <w:r>
        <w:rPr>
          <w:rFonts w:cs="FrankRuehl" w:ascii="FrankRuehl" w:hAnsi="FrankRuehl"/>
          <w:color w:val="000000"/>
          <w:sz w:val="28"/>
          <w:rtl w:val="true"/>
        </w:rPr>
        <w:t xml:space="preserve">‏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בלזר</w:t>
      </w:r>
      <w:r>
        <w:rPr>
          <w:rFonts w:cs="FrankRuehl" w:ascii="FrankRuehl" w:hAnsi="FrankRuehl"/>
          <w:color w:val="000000"/>
          <w:sz w:val="28"/>
          <w:rtl w:val="true"/>
        </w:rPr>
        <w:t xml:space="preserve">, </w:t>
      </w:r>
      <w:r>
        <w:rPr>
          <w:rFonts w:ascii="FrankRuehl" w:hAnsi="FrankRuehl"/>
          <w:color w:val="000000"/>
          <w:sz w:val="28"/>
          <w:sz w:val="28"/>
          <w:rtl w:val="true"/>
        </w:rPr>
        <w:t>פ</w:t>
      </w:r>
      <w:r>
        <w:rPr>
          <w:rFonts w:cs="FrankRuehl" w:ascii="FrankRuehl" w:hAnsi="FrankRuehl"/>
          <w:color w:val="000000"/>
          <w:sz w:val="28"/>
          <w:rtl w:val="true"/>
        </w:rPr>
        <w:t>''</w:t>
      </w:r>
      <w:r>
        <w:rPr>
          <w:rFonts w:ascii="FrankRuehl" w:hAnsi="FrankRuehl"/>
          <w:color w:val="000000"/>
          <w:sz w:val="28"/>
          <w:sz w:val="28"/>
          <w:rtl w:val="true"/>
        </w:rPr>
        <w:t>ד נט</w:t>
      </w:r>
      <w:r>
        <w:rPr>
          <w:rFonts w:cs="FrankRuehl" w:ascii="FrankRuehl" w:hAnsi="FrankRuehl"/>
          <w:color w:val="000000"/>
          <w:sz w:val="28"/>
          <w:rtl w:val="true"/>
        </w:rPr>
        <w:t>(</w:t>
      </w:r>
      <w:r>
        <w:rPr>
          <w:rFonts w:cs="FrankRuehl" w:ascii="FrankRuehl" w:hAnsi="FrankRuehl"/>
          <w:color w:val="000000"/>
          <w:sz w:val="28"/>
        </w:rPr>
        <w:t>2</w:t>
      </w:r>
      <w:r>
        <w:rPr>
          <w:rFonts w:cs="FrankRuehl" w:ascii="FrankRuehl" w:hAnsi="FrankRuehl"/>
          <w:color w:val="000000"/>
          <w:sz w:val="28"/>
          <w:rtl w:val="true"/>
        </w:rPr>
        <w:t xml:space="preserve">) </w:t>
      </w:r>
      <w:r>
        <w:rPr>
          <w:rFonts w:cs="FrankRuehl" w:ascii="FrankRuehl" w:hAnsi="FrankRuehl"/>
          <w:color w:val="000000"/>
          <w:sz w:val="28"/>
        </w:rPr>
        <w:t>408</w:t>
      </w:r>
      <w:r>
        <w:rPr>
          <w:rtl w:val="true"/>
        </w:rPr>
        <w:t xml:space="preserve"> (</w:t>
      </w:r>
      <w:r>
        <w:rPr/>
        <w:t>2004</w:t>
      </w:r>
      <w:r>
        <w:rPr>
          <w:rtl w:val="true"/>
        </w:rPr>
        <w:t xml:space="preserve">); </w:t>
      </w:r>
      <w:hyperlink r:id="rId1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1242/97</w:t>
        </w:r>
      </w:hyperlink>
      <w:r>
        <w:rPr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גרינברג</w:t>
      </w:r>
      <w:r>
        <w:rPr>
          <w:rFonts w:eastAsia="Arial TUR;Arial" w:cs="Arial TUR;Arial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;Arial" w:cs="Arial TUR;Arial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3.2.1998</w:t>
      </w:r>
      <w:r>
        <w:rPr>
          <w:rtl w:val="true"/>
        </w:rPr>
        <w:t xml:space="preserve">)). </w:t>
      </w:r>
      <w:r>
        <w:rPr>
          <w:rtl w:val="true"/>
        </w:rPr>
        <w:t>במקרה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שלפנינו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מצאנו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סטייה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קיצונית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ממדיניות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הראויה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סבורים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שהוטל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גורם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לעוול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ממש</w:t>
      </w:r>
      <w:r>
        <w:rPr>
          <w:rtl w:val="true"/>
        </w:rPr>
        <w:t>.</w:t>
      </w:r>
      <w:r>
        <w:rPr>
          <w:rFonts w:cs="Times New Roman" w:ascii="Times New Roman" w:hAnsi="Times New Roman"/>
          <w:rtl w:val="true"/>
        </w:rPr>
        <w:t xml:space="preserve">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נחזור ונדגיש בשנית כי בית משפט זה יתערב בעונש שמטילה הערכאה הדיוניות רק מקום שבו עולה כי העונש חורג ממתחם הענישה הראויה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הכיצד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אפוא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מבקש המערער לשכנענו כי עונש המאסר שהוטל עליו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שכאמור עומד על ארבע שנים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חורג ממתחם הענישה הראויה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ומשמעות הדבר היא שבענישה לא סבירה עסקינן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כאשר במעמד החתימה על הסדר הטיעון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המערער לא הביע התנגדות לסעיף שבו מצהירה המשיבה על כוונתה לטעון לעונש מאסר בפועל של ארבע שנים וחצי</w:t>
      </w:r>
      <w:r>
        <w:rPr>
          <w:rFonts w:cs="Times New Roman" w:ascii="Times New Roman" w:hAnsi="Times New Roman"/>
          <w:rtl w:val="true"/>
        </w:rPr>
        <w:t xml:space="preserve">? </w:t>
      </w:r>
      <w:r>
        <w:rPr>
          <w:rFonts w:ascii="Times New Roman" w:hAnsi="Times New Roman" w:cs="Times New Roman"/>
          <w:rtl w:val="true"/>
        </w:rPr>
        <w:t>ברי כי</w:t>
      </w:r>
      <w:r>
        <w:rPr>
          <w:rFonts w:cs="Times New Roman" w:ascii="Times New Roman" w:hAnsi="Times New Roman"/>
          <w:rtl w:val="true"/>
        </w:rPr>
        <w:t>, "</w:t>
      </w:r>
      <w:r>
        <w:rPr>
          <w:rtl w:val="true"/>
        </w:rPr>
        <w:t>חתימה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הסכם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כמוה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כהצהרה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ובאי</w:t>
      </w:r>
      <w:r>
        <w:rPr>
          <w:rtl w:val="true"/>
        </w:rPr>
        <w:t>-</w:t>
      </w:r>
      <w:r>
        <w:rPr>
          <w:rtl w:val="true"/>
        </w:rPr>
        <w:t>כוחם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עתרה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 xml:space="preserve">, </w:t>
      </w:r>
      <w:r>
        <w:rPr>
          <w:rtl w:val="true"/>
        </w:rPr>
        <w:t>מצוי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במתחם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הסבירות</w:t>
      </w:r>
      <w:r>
        <w:rPr>
          <w:rFonts w:cs="Times New Roman" w:ascii="Times New Roman" w:hAnsi="Times New Roman"/>
          <w:rtl w:val="true"/>
        </w:rPr>
        <w:t>" (</w:t>
      </w:r>
      <w:hyperlink r:id="rId17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109/10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עלי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27.6.2011</w:t>
      </w:r>
      <w:r>
        <w:rPr>
          <w:rFonts w:cs="Times New Roman" w:ascii="Times New Roman" w:hAnsi="Times New Roman"/>
          <w:rtl w:val="true"/>
        </w:rPr>
        <w:t xml:space="preserve">); </w:t>
      </w:r>
      <w:r>
        <w:rPr>
          <w:rFonts w:ascii="Times New Roman" w:hAnsi="Times New Roman" w:cs="Times New Roman"/>
          <w:rtl w:val="true"/>
        </w:rPr>
        <w:t>עוד ראו</w:t>
      </w:r>
      <w:r>
        <w:rPr>
          <w:rFonts w:cs="Times New Roman" w:ascii="Times New Roman" w:hAnsi="Times New Roman"/>
          <w:rtl w:val="true"/>
        </w:rPr>
        <w:t xml:space="preserve">: </w:t>
      </w:r>
      <w:hyperlink r:id="rId18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4700/12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חננוב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פסקה </w:t>
      </w:r>
      <w:r>
        <w:rPr>
          <w:rFonts w:cs="Times New Roman" w:ascii="Times New Roman" w:hAnsi="Times New Roman"/>
        </w:rPr>
        <w:t>11</w:t>
      </w:r>
      <w:r>
        <w:rPr>
          <w:rFonts w:cs="Times New Roman" w:ascii="Times New Roman" w:hAnsi="Times New Roman"/>
          <w:rtl w:val="true"/>
        </w:rPr>
        <w:t xml:space="preserve"> 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19.9.2012</w:t>
      </w:r>
      <w:r>
        <w:rPr>
          <w:rFonts w:cs="Times New Roman" w:ascii="Times New Roman" w:hAnsi="Times New Roman"/>
          <w:rtl w:val="true"/>
        </w:rPr>
        <w:t xml:space="preserve">)). </w:t>
      </w:r>
      <w:r>
        <w:rPr>
          <w:rFonts w:ascii="Times New Roman" w:hAnsi="Times New Roman" w:cs="Times New Roman"/>
          <w:rtl w:val="true"/>
        </w:rPr>
        <w:t>אין ספק שבמסגרת הטיעונים לעונש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ישאף הנאשם לכך שיוטל עליו עונש קל ככל האפשר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יתכנו גם מקרים שבהם שופטי ערכאת הערעור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אילו היו בנעלי שופטי הערכאה הדיונית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היו גוזרים עונש שונה מזה שנגזר בפועל מתוך מתחם העונשים האפשריים בנסיבות העניין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ואולם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השאלה הניצבת בפני השופטים היושבים בערעור אינה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מהו העונש שהיינו אנו גוזרים</w:t>
      </w:r>
      <w:r>
        <w:rPr>
          <w:rFonts w:cs="Times New Roman" w:ascii="Times New Roman" w:hAnsi="Times New Roman"/>
          <w:rtl w:val="true"/>
        </w:rPr>
        <w:t xml:space="preserve">?", </w:t>
      </w:r>
      <w:r>
        <w:rPr>
          <w:rFonts w:ascii="Times New Roman" w:hAnsi="Times New Roman" w:cs="Times New Roman"/>
          <w:rtl w:val="true"/>
        </w:rPr>
        <w:t xml:space="preserve">אלא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האם העונש שנגזר בערכאה הדיונית חורג ממתחם הענישה הראויה</w:t>
      </w:r>
      <w:r>
        <w:rPr>
          <w:rFonts w:cs="Times New Roman" w:ascii="Times New Roman" w:hAnsi="Times New Roman"/>
          <w:rtl w:val="true"/>
        </w:rPr>
        <w:t xml:space="preserve">?". </w:t>
      </w:r>
      <w:r>
        <w:rPr>
          <w:rFonts w:ascii="Times New Roman" w:hAnsi="Times New Roman" w:cs="Times New Roman"/>
          <w:rtl w:val="true"/>
        </w:rPr>
        <w:t>אילו סברו המערער ובא כוחו שהעונש שלו עתרה המשיבה היה עונש בלתי סביר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הרי שחזקה עליהם כי לא היו מסכימים לו כפי שעשו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יש בהסכמה הזו משום הבעת עמדה מצד המערער כי העונש המצוי ברף העליון של טווח העונשים שלגביו הסכים הוא עונש סביר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וזאת למעט מקרים חריגים שבהם הסטייה ממתחם הענישה הראויה היא כה ברורה עד כי ניתן לומר לגביה שהיא משוועת להתערבות ערכאת הערעור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אלו יהיו המקרים שבהם טווח ההסכמה לא יהיה חופף למתחם הענישה הראויה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וזה אינו המקרה שלפנינו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</w:rPr>
      </w:pP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מלין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בעניינו</w:t>
      </w:r>
      <w:r>
        <w:rPr>
          <w:rtl w:val="true"/>
        </w:rPr>
        <w:t xml:space="preserve">, </w:t>
      </w:r>
      <w:r>
        <w:rPr>
          <w:rtl w:val="true"/>
        </w:rPr>
        <w:t>ואכן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להבין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להראות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סביר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שחורג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ממתחם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הראויה</w:t>
      </w:r>
      <w:r>
        <w:rPr>
          <w:rtl w:val="true"/>
        </w:rPr>
        <w:t xml:space="preserve">. </w:t>
      </w:r>
      <w:r>
        <w:rPr>
          <w:rtl w:val="true"/>
        </w:rPr>
        <w:t>בהקשר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לציין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מצאנו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בשיקולים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ששקל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ובאיזונים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שעשה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וזאת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לזכור</w:t>
      </w:r>
      <w:r>
        <w:rPr>
          <w:rtl w:val="true"/>
        </w:rPr>
        <w:t xml:space="preserve">: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חמורות</w:t>
      </w:r>
      <w:r>
        <w:rPr>
          <w:rtl w:val="true"/>
        </w:rPr>
        <w:t xml:space="preserve">. </w:t>
      </w:r>
      <w:r>
        <w:rPr>
          <w:rtl w:val="true"/>
        </w:rPr>
        <w:t>באשר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ציבור</w:t>
      </w:r>
      <w:r>
        <w:rPr>
          <w:rtl w:val="true"/>
        </w:rPr>
        <w:t xml:space="preserve">, </w:t>
      </w:r>
      <w:r>
        <w:rPr>
          <w:rtl w:val="true"/>
        </w:rPr>
        <w:t>חומרתה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נובעת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מעצם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הנוגע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להגנה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הרכוש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מעצם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הנוגע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להגנה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יחסי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האמון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: </w:t>
      </w:r>
      <w:hyperlink r:id="rId1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10996/03</w:t>
        </w:r>
      </w:hyperlink>
      <w:r>
        <w:rPr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נרקיס</w:t>
      </w:r>
      <w:r>
        <w:rPr>
          <w:rFonts w:eastAsia="Arial TUR;Arial" w:cs="Arial TUR;Arial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/>
          <w:spacing w:val="0"/>
          <w:sz w:val="28"/>
          <w:szCs w:val="24"/>
          <w:rtl w:val="true"/>
        </w:rPr>
        <w:t xml:space="preserve">' </w:t>
      </w:r>
      <w:r>
        <w:rPr>
          <w:rFonts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eastAsia="Arial TUR;Arial" w:cs="Arial TUR;Arial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eastAsia="Arial TUR;Arial" w:cs="Arial TUR;Arial"/>
          <w:rtl w:val="true"/>
        </w:rPr>
        <w:t xml:space="preserve"> </w:t>
      </w:r>
      <w:r>
        <w:rPr/>
        <w:t>8</w:t>
      </w:r>
      <w:r>
        <w:rPr>
          <w:rtl w:val="true"/>
        </w:rPr>
        <w:t xml:space="preserve"> 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27.11.2006</w:t>
      </w:r>
      <w:r>
        <w:rPr>
          <w:rtl w:val="true"/>
        </w:rPr>
        <w:t xml:space="preserve">)). </w:t>
      </w:r>
      <w:r>
        <w:rPr>
          <w:rtl w:val="true"/>
        </w:rPr>
        <w:t>מאותה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פריזמה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להשקיף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אמונים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שהערך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העומד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בבסיסה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מחייב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הטלת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מרתיעים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טוהר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המידות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הציבורי</w:t>
      </w:r>
      <w:r>
        <w:rPr>
          <w:rtl w:val="true"/>
        </w:rPr>
        <w:t xml:space="preserve">, </w:t>
      </w:r>
      <w:r>
        <w:rPr>
          <w:rtl w:val="true"/>
        </w:rPr>
        <w:t>החל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מבעלי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תפקידים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זוטרים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וכלה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בבכירים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העובדים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ומשרתים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. </w:t>
      </w:r>
      <w:r>
        <w:rPr>
          <w:rtl w:val="true"/>
        </w:rPr>
        <w:t>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מצטרפות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נשיאת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וניסיון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לבצע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עסקה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בנשק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בהקשר אחר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אך רלבנטי לענייננו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הבעתי את העמדה שלפיה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 xml:space="preserve">מכירת כלי נשק </w:t>
      </w:r>
      <w:r>
        <w:rPr>
          <w:rFonts w:cs="Times New Roman" w:ascii="Times New Roman" w:hAnsi="Times New Roman"/>
          <w:rtl w:val="true"/>
        </w:rPr>
        <w:t xml:space="preserve">[...] </w:t>
      </w:r>
      <w:r>
        <w:rPr>
          <w:rFonts w:ascii="Times New Roman" w:hAnsi="Times New Roman" w:cs="Times New Roman"/>
          <w:rtl w:val="true"/>
        </w:rPr>
        <w:t>מסכנת יותר את הציבור מאשר קנייתם</w:t>
      </w:r>
      <w:r>
        <w:rPr>
          <w:rFonts w:cs="Times New Roman" w:ascii="Times New Roman" w:hAnsi="Times New Roman"/>
          <w:rtl w:val="true"/>
        </w:rPr>
        <w:t>" (</w:t>
      </w:r>
      <w:hyperlink r:id="rId20">
        <w:r>
          <w:rPr>
            <w:rStyle w:val="Hyperlink"/>
            <w:rFonts w:ascii="Times New Roman" w:hAnsi="Times New Roman" w:cs="Times New Roman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</w:rPr>
          <w:t>1121/11</w:t>
        </w:r>
      </w:hyperlink>
      <w:r>
        <w:rPr>
          <w:rFonts w:cs="Times New Roman" w:ascii="Times New Roman" w:hAnsi="Times New Roman"/>
          <w:rtl w:val="true"/>
        </w:rPr>
        <w:t>   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אזולאי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23.11.2011</w:t>
      </w:r>
      <w:r>
        <w:rPr>
          <w:rFonts w:cs="Times New Roman" w:ascii="Times New Roman" w:hAnsi="Times New Roman"/>
          <w:rtl w:val="true"/>
        </w:rPr>
        <w:t xml:space="preserve">)), </w:t>
      </w:r>
      <w:r>
        <w:rPr>
          <w:rFonts w:ascii="Times New Roman" w:hAnsi="Times New Roman" w:cs="Times New Roman"/>
          <w:rtl w:val="true"/>
        </w:rPr>
        <w:t>ואין ספק כי פוטנציאל הנזק שיש המלווה את הסיכון האמור צריך לקבל ביטוי בעונש הנגזר על החוטא בביצוע העבירות האמורות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לא למותר להביא גם את דברי השופט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לוי</w:t>
      </w:r>
      <w:r>
        <w:rPr>
          <w:rFonts w:ascii="Times New Roman" w:hAnsi="Times New Roman" w:cs="Times New Roman"/>
          <w:rtl w:val="true"/>
        </w:rPr>
        <w:t xml:space="preserve"> המסבירים הסבר היטב את התכלית העומדת בבסיס מדיניות הענישה בעבירה של סחר בנשק</w:t>
      </w:r>
      <w:r>
        <w:rPr>
          <w:rFonts w:cs="Times New Roman" w:ascii="Times New Roman" w:hAnsi="Times New Roman"/>
          <w:rtl w:val="true"/>
        </w:rPr>
        <w:t>:</w:t>
      </w:r>
      <w:r>
        <w:rPr>
          <w:rFonts w:cs="Times New Roman" w:ascii="Times New Roman" w:hAnsi="Times New Roman"/>
          <w:rtl w:val="true"/>
        </w:rPr>
        <w:t xml:space="preserve"> </w:t>
      </w:r>
    </w:p>
    <w:p>
      <w:pPr>
        <w:pStyle w:val="Ruller51"/>
        <w:ind w:end="1282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51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סחר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תופעה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מסוכנת</w:t>
      </w:r>
      <w:r>
        <w:rPr>
          <w:rtl w:val="true"/>
        </w:rPr>
        <w:t xml:space="preserve">, </w:t>
      </w:r>
      <w:r>
        <w:rPr>
          <w:rtl w:val="true"/>
        </w:rPr>
        <w:t>במיוחד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בימינו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. </w:t>
      </w:r>
      <w:r>
        <w:rPr>
          <w:rtl w:val="true"/>
        </w:rPr>
        <w:t>הניסיון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מלמד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מפוקפק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יוצא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המחזיק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מוצא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דרכו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לידיים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עברייניות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למפגעים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למיניהם</w:t>
      </w:r>
      <w:r>
        <w:rPr>
          <w:rtl w:val="true"/>
        </w:rPr>
        <w:t xml:space="preserve">, </w:t>
      </w:r>
      <w:r>
        <w:rPr>
          <w:rtl w:val="true"/>
        </w:rPr>
        <w:t>והרי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הוכיחו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מהססים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להשתמש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במקומות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סואנים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עלולים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להיפגע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מהירי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אנשים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תמימים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שנקלעו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לזירה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בדרך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מקרה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התרענו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ונחזור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ונתריע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הפעם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החוטא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להידרש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יקר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באובדן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חירותו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ממושכת</w:t>
      </w:r>
      <w:r>
        <w:rPr>
          <w:rtl w:val="true"/>
        </w:rPr>
        <w:t>" (</w:t>
      </w:r>
      <w:hyperlink r:id="rId2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5833/07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'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ורי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18.11.2007</w:t>
      </w:r>
      <w:r>
        <w:rPr>
          <w:rtl w:val="true"/>
        </w:rPr>
        <w:t>)).</w:t>
      </w:r>
    </w:p>
    <w:p>
      <w:pPr>
        <w:pStyle w:val="Ruller41"/>
        <w:spacing w:lineRule="auto" w:line="480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 xml:space="preserve">באשר לטענתו של המערער המתייחסת לפער בין העונש שהושת עליו לבין העונשים שהושתו על הנאשם </w:t>
      </w:r>
      <w:r>
        <w:rPr>
          <w:rFonts w:cs="Times New Roman" w:ascii="Times New Roman" w:hAnsi="Times New Roman"/>
        </w:rPr>
        <w:t>2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והנאשם </w:t>
      </w: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נציין כי אין בה כדי לשנות בנסיבות העניין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הנאשם </w:t>
      </w:r>
      <w:r>
        <w:rPr>
          <w:rFonts w:cs="Times New Roman" w:ascii="Times New Roman" w:hAnsi="Times New Roman"/>
        </w:rPr>
        <w:t>2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הורשע על יסוד הודאתו בעבירות של נשיאת נשק שלא כדין ובניסיון לבצע עסקה בנשק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הנאשם </w:t>
      </w: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הורשע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אף הוא על יסוד הודאתו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בעבירה של סיוע לניסיון לרכוש נשק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ההשוואה הרלבנטית לדידנו היא בין המערער לנאשם </w:t>
      </w:r>
      <w:r>
        <w:rPr>
          <w:rFonts w:cs="Times New Roman" w:ascii="Times New Roman" w:hAnsi="Times New Roman"/>
        </w:rPr>
        <w:t>2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בשל הדמיון הרב הן בנסיבותיהם האישיות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הן בתרומתם לביצוע העבירות בנשק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ההבדל המשמעותי המתקיים ביניהם נוגע להרשעת המערער בשתי עבירות נוספות של </w:t>
      </w:r>
      <w:r>
        <w:rPr>
          <w:rtl w:val="true"/>
        </w:rPr>
        <w:t>גניבה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ציבור</w:t>
      </w:r>
      <w:r>
        <w:rPr>
          <w:rFonts w:ascii="Times New Roman" w:hAnsi="Times New Roman" w:cs="Times New Roman"/>
          <w:rtl w:val="true"/>
        </w:rPr>
        <w:t xml:space="preserve"> והפרת אמונים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שעל החומרה המצטברת שלהן הצבענו לעיל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על רקע השוני הרלבנטי המתקיים בעניין דנן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אין בפער של </w:t>
      </w:r>
      <w:r>
        <w:rPr>
          <w:rFonts w:cs="Times New Roman" w:ascii="Times New Roman" w:hAnsi="Times New Roman"/>
        </w:rPr>
        <w:t>18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החודשים בין עונשו של הנאשם </w:t>
      </w:r>
      <w:r>
        <w:rPr>
          <w:rFonts w:cs="Times New Roman" w:ascii="Times New Roman" w:hAnsi="Times New Roman"/>
        </w:rPr>
        <w:t>2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לעונשו של המערער כדי להצדיק הפחתה בעונשו של האחרון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ואין בכך משום פגיעה בעיקרון השוויון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numPr>
          <w:ilvl w:val="0"/>
          <w:numId w:val="1"/>
        </w:numPr>
        <w:ind w:hanging="0" w:start="0" w:end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לנוכח האמור לעיל נראה כי חומרת העבירות שבהן הורשע המערער מצדיקה עונש עם אפקט מרתיע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כפי זה שנגזר במקרה שלפנינו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spacing w:lineRule="auto" w:line="480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אשר על כן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דין הערעור להידחות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בכסלו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/>
        <w:t>13.12.2012</w:t>
      </w:r>
      <w:r>
        <w:rPr>
          <w:rtl w:val="true"/>
        </w:rPr>
        <w:t xml:space="preserve">).  </w:t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ס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>ג</w:t>
      </w:r>
      <w:r>
        <w:rPr>
          <w:rFonts w:cs="David" w:ascii="David" w:hAnsi="David"/>
          <w:color w:val="000000"/>
          <w:szCs w:val="22"/>
          <w:rtl w:val="true"/>
        </w:rPr>
        <w:t>'</w:t>
      </w:r>
      <w:r>
        <w:rPr>
          <w:rFonts w:ascii="David" w:hAnsi="David" w:cs="David"/>
          <w:color w:val="000000"/>
          <w:szCs w:val="22"/>
          <w:rtl w:val="true"/>
        </w:rPr>
        <w:t xml:space="preserve">ובראן </w:t>
      </w:r>
      <w:r>
        <w:rPr>
          <w:rFonts w:cs="David" w:ascii="David" w:hAnsi="David"/>
          <w:color w:val="000000"/>
          <w:szCs w:val="22"/>
        </w:rPr>
        <w:t>54678313-9112/11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9"/>
        <w:gridCol w:w="2841"/>
        <w:gridCol w:w="2842"/>
      </w:tblGrid>
      <w:tr>
        <w:trPr/>
        <w:tc>
          <w:tcPr>
            <w:tcW w:w="2839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       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                 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>  </w:t>
      </w:r>
      <w:bookmarkStart w:id="18" w:name="FileName"/>
      <w:r>
        <w:rPr>
          <w:sz w:val="16"/>
        </w:rPr>
        <w:t>11091120</w:t>
      </w:r>
      <w:r>
        <w:rPr>
          <w:sz w:val="16"/>
          <w:rtl w:val="true"/>
        </w:rPr>
        <w:t>_</w:t>
      </w:r>
      <w:r>
        <w:rPr>
          <w:sz w:val="16"/>
        </w:rPr>
        <w:t>H03.doc</w:t>
      </w:r>
      <w:r>
        <w:rPr>
          <w:sz w:val="16"/>
          <w:rtl w:val="true"/>
        </w:rPr>
        <w:t xml:space="preserve">   </w:t>
      </w:r>
      <w:bookmarkEnd w:id="18"/>
      <w:r>
        <w:rPr>
          <w:sz w:val="16"/>
          <w:sz w:val="16"/>
          <w:rtl w:val="true"/>
        </w:rPr>
        <w:t>שצ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 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  </w:t>
      </w:r>
      <w:hyperlink r:id="rId22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23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p>
      <w:pPr>
        <w:pStyle w:val="BODYVERDICT"/>
        <w:ind w:end="0"/>
        <w:jc w:val="start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24"/>
      <w:footerReference w:type="default" r:id="rId25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8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9112/11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פלוני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851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Ruller4">
    <w:name w:val="Ruller4 תו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Ruller5">
    <w:name w:val="Ruller5 תו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1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;Times New Roman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4610957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144.b" TargetMode="External"/><Relationship Id="rId5" Type="http://schemas.openxmlformats.org/officeDocument/2006/relationships/hyperlink" Target="http://www.nevo.co.il/law/70301/144.b2" TargetMode="External"/><Relationship Id="rId6" Type="http://schemas.openxmlformats.org/officeDocument/2006/relationships/hyperlink" Target="http://www.nevo.co.il/law/70301/284" TargetMode="External"/><Relationship Id="rId7" Type="http://schemas.openxmlformats.org/officeDocument/2006/relationships/hyperlink" Target="http://www.nevo.co.il/law/70301/390" TargetMode="External"/><Relationship Id="rId8" Type="http://schemas.openxmlformats.org/officeDocument/2006/relationships/hyperlink" Target="http://www.nevo.co.il/case/4610957" TargetMode="External"/><Relationship Id="rId9" Type="http://schemas.openxmlformats.org/officeDocument/2006/relationships/hyperlink" Target="http://www.nevo.co.il/law/70301/390" TargetMode="External"/><Relationship Id="rId10" Type="http://schemas.openxmlformats.org/officeDocument/2006/relationships/hyperlink" Target="http://www.nevo.co.il/law/70301" TargetMode="External"/><Relationship Id="rId11" Type="http://schemas.openxmlformats.org/officeDocument/2006/relationships/hyperlink" Target="http://www.nevo.co.il/law/70301/144.b" TargetMode="External"/><Relationship Id="rId12" Type="http://schemas.openxmlformats.org/officeDocument/2006/relationships/hyperlink" Target="http://www.nevo.co.il/law/70301/144.b2" TargetMode="External"/><Relationship Id="rId13" Type="http://schemas.openxmlformats.org/officeDocument/2006/relationships/hyperlink" Target="http://www.nevo.co.il/law/70301/284" TargetMode="External"/><Relationship Id="rId14" Type="http://schemas.openxmlformats.org/officeDocument/2006/relationships/hyperlink" Target="http://www.nevo.co.il/case/17943127" TargetMode="External"/><Relationship Id="rId15" Type="http://schemas.openxmlformats.org/officeDocument/2006/relationships/hyperlink" Target="http://www.nevo.co.il/links/psika/?link=&#1506;&#1508;%203091/08" TargetMode="External"/><Relationship Id="rId16" Type="http://schemas.openxmlformats.org/officeDocument/2006/relationships/hyperlink" Target="http://www.nevo.co.il/case/5755866" TargetMode="External"/><Relationship Id="rId17" Type="http://schemas.openxmlformats.org/officeDocument/2006/relationships/hyperlink" Target="http://www.nevo.co.il/case/5678169" TargetMode="External"/><Relationship Id="rId18" Type="http://schemas.openxmlformats.org/officeDocument/2006/relationships/hyperlink" Target="http://www.nevo.co.il/case/5587863" TargetMode="External"/><Relationship Id="rId19" Type="http://schemas.openxmlformats.org/officeDocument/2006/relationships/hyperlink" Target="http://www.nevo.co.il/case/6177230" TargetMode="External"/><Relationship Id="rId20" Type="http://schemas.openxmlformats.org/officeDocument/2006/relationships/hyperlink" Target="http://www.nevo.co.il/case/5748124" TargetMode="External"/><Relationship Id="rId21" Type="http://schemas.openxmlformats.org/officeDocument/2006/relationships/hyperlink" Target="http://www.nevo.co.il/case/6034921" TargetMode="External"/><Relationship Id="rId22" Type="http://schemas.openxmlformats.org/officeDocument/2006/relationships/hyperlink" Target="http://www.court.gov.il/" TargetMode="External"/><Relationship Id="rId23" Type="http://schemas.openxmlformats.org/officeDocument/2006/relationships/hyperlink" Target="http://www.nevo.co.il/advertisements/nevo-100.doc" TargetMode="Externa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11091120.H03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2014-12-30T16:16:00Z</dcterms:created>
  <dc:creator> </dc:creator>
  <dc:description/>
  <cp:keywords/>
  <dc:language>en-IL</dc:language>
  <cp:lastModifiedBy>yafit</cp:lastModifiedBy>
  <cp:lastPrinted>2012-12-13T10:11:00Z</cp:lastPrinted>
  <dcterms:modified xsi:type="dcterms:W3CDTF">2014-12-30T16:16:00Z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פלוני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ProcID=133&amp;PartA=3091&amp;PartC=08</vt:lpwstr>
  </property>
  <property fmtid="{D5CDD505-2E9C-101B-9397-08002B2CF9AE}" pid="9" name="CASESLISTTMP1">
    <vt:lpwstr>4610957:2;17943127;5755866;5678169;5587863;6177230;5748124;6034921</vt:lpwstr>
  </property>
  <property fmtid="{D5CDD505-2E9C-101B-9397-08002B2CF9AE}" pid="10" name="CITY">
    <vt:lpwstr/>
  </property>
  <property fmtid="{D5CDD505-2E9C-101B-9397-08002B2CF9AE}" pid="11" name="DATE">
    <vt:lpwstr>20121213</vt:lpwstr>
  </property>
  <property fmtid="{D5CDD505-2E9C-101B-9397-08002B2CF9AE}" pid="12" name="DELEMATA">
    <vt:lpwstr/>
  </property>
  <property fmtid="{D5CDD505-2E9C-101B-9397-08002B2CF9AE}" pid="13" name="ISABSTRACT">
    <vt:lpwstr>Y</vt:lpwstr>
  </property>
  <property fmtid="{D5CDD505-2E9C-101B-9397-08002B2CF9AE}" pid="14" name="JUDGE">
    <vt:lpwstr>ס' ג'ובראן;ע' פוגלמן;צ' זילברטל</vt:lpwstr>
  </property>
  <property fmtid="{D5CDD505-2E9C-101B-9397-08002B2CF9AE}" pid="15" name="LAWLISTTMP1">
    <vt:lpwstr>70301/390;144.b;144.b2;284</vt:lpwstr>
  </property>
  <property fmtid="{D5CDD505-2E9C-101B-9397-08002B2CF9AE}" pid="16" name="LAWYER">
    <vt:lpwstr>עידית פרג'ון;מיכאל עירוני</vt:lpwstr>
  </property>
  <property fmtid="{D5CDD505-2E9C-101B-9397-08002B2CF9AE}" pid="17" name="LINKK1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METAKZER">
    <vt:lpwstr>נעה</vt:lpwstr>
  </property>
  <property fmtid="{D5CDD505-2E9C-101B-9397-08002B2CF9AE}" pid="23" name="NEWPARTA">
    <vt:lpwstr/>
  </property>
  <property fmtid="{D5CDD505-2E9C-101B-9397-08002B2CF9AE}" pid="24" name="NEWPARTB">
    <vt:lpwstr/>
  </property>
  <property fmtid="{D5CDD505-2E9C-101B-9397-08002B2CF9AE}" pid="25" name="NEWPARTC">
    <vt:lpwstr/>
  </property>
  <property fmtid="{D5CDD505-2E9C-101B-9397-08002B2CF9AE}" pid="26" name="NEWPROC">
    <vt:lpwstr/>
  </property>
  <property fmtid="{D5CDD505-2E9C-101B-9397-08002B2CF9AE}" pid="27" name="NOSE11">
    <vt:lpwstr>עונשין</vt:lpwstr>
  </property>
  <property fmtid="{D5CDD505-2E9C-101B-9397-08002B2CF9AE}" pid="28" name="NOSE110">
    <vt:lpwstr/>
  </property>
  <property fmtid="{D5CDD505-2E9C-101B-9397-08002B2CF9AE}" pid="29" name="NOSE12">
    <vt:lpwstr>עונשין</vt:lpwstr>
  </property>
  <property fmtid="{D5CDD505-2E9C-101B-9397-08002B2CF9AE}" pid="30" name="NOSE13">
    <vt:lpwstr>עונשין</vt:lpwstr>
  </property>
  <property fmtid="{D5CDD505-2E9C-101B-9397-08002B2CF9AE}" pid="31" name="NOSE14">
    <vt:lpwstr>עונשין</vt:lpwstr>
  </property>
  <property fmtid="{D5CDD505-2E9C-101B-9397-08002B2CF9AE}" pid="32" name="NOSE15">
    <vt:lpwstr>עונשין</vt:lpwstr>
  </property>
  <property fmtid="{D5CDD505-2E9C-101B-9397-08002B2CF9AE}" pid="33" name="NOSE16">
    <vt:lpwstr/>
  </property>
  <property fmtid="{D5CDD505-2E9C-101B-9397-08002B2CF9AE}" pid="34" name="NOSE17">
    <vt:lpwstr/>
  </property>
  <property fmtid="{D5CDD505-2E9C-101B-9397-08002B2CF9AE}" pid="35" name="NOSE18">
    <vt:lpwstr/>
  </property>
  <property fmtid="{D5CDD505-2E9C-101B-9397-08002B2CF9AE}" pid="36" name="NOSE19">
    <vt:lpwstr/>
  </property>
  <property fmtid="{D5CDD505-2E9C-101B-9397-08002B2CF9AE}" pid="37" name="NOSE1ID">
    <vt:lpwstr>77;77;77;77;77</vt:lpwstr>
  </property>
  <property fmtid="{D5CDD505-2E9C-101B-9397-08002B2CF9AE}" pid="38" name="NOSE21">
    <vt:lpwstr>ענישה</vt:lpwstr>
  </property>
  <property fmtid="{D5CDD505-2E9C-101B-9397-08002B2CF9AE}" pid="39" name="NOSE210">
    <vt:lpwstr/>
  </property>
  <property fmtid="{D5CDD505-2E9C-101B-9397-08002B2CF9AE}" pid="40" name="NOSE22">
    <vt:lpwstr>עבירות</vt:lpwstr>
  </property>
  <property fmtid="{D5CDD505-2E9C-101B-9397-08002B2CF9AE}" pid="41" name="NOSE23">
    <vt:lpwstr>עבירות</vt:lpwstr>
  </property>
  <property fmtid="{D5CDD505-2E9C-101B-9397-08002B2CF9AE}" pid="42" name="NOSE24">
    <vt:lpwstr>עבירות</vt:lpwstr>
  </property>
  <property fmtid="{D5CDD505-2E9C-101B-9397-08002B2CF9AE}" pid="43" name="NOSE25">
    <vt:lpwstr>ענישה</vt:lpwstr>
  </property>
  <property fmtid="{D5CDD505-2E9C-101B-9397-08002B2CF9AE}" pid="44" name="NOSE26">
    <vt:lpwstr/>
  </property>
  <property fmtid="{D5CDD505-2E9C-101B-9397-08002B2CF9AE}" pid="45" name="NOSE27">
    <vt:lpwstr/>
  </property>
  <property fmtid="{D5CDD505-2E9C-101B-9397-08002B2CF9AE}" pid="46" name="NOSE28">
    <vt:lpwstr/>
  </property>
  <property fmtid="{D5CDD505-2E9C-101B-9397-08002B2CF9AE}" pid="47" name="NOSE29">
    <vt:lpwstr/>
  </property>
  <property fmtid="{D5CDD505-2E9C-101B-9397-08002B2CF9AE}" pid="48" name="NOSE2ID">
    <vt:lpwstr>1446;1443;1443;1443;1446</vt:lpwstr>
  </property>
  <property fmtid="{D5CDD505-2E9C-101B-9397-08002B2CF9AE}" pid="49" name="NOSE31">
    <vt:lpwstr>מדיניות ענישה: שיקולים לחומרה</vt:lpwstr>
  </property>
  <property fmtid="{D5CDD505-2E9C-101B-9397-08002B2CF9AE}" pid="50" name="NOSE310">
    <vt:lpwstr/>
  </property>
  <property fmtid="{D5CDD505-2E9C-101B-9397-08002B2CF9AE}" pid="51" name="NOSE32">
    <vt:lpwstr>גניבה בידי עובד ציבור</vt:lpwstr>
  </property>
  <property fmtid="{D5CDD505-2E9C-101B-9397-08002B2CF9AE}" pid="52" name="NOSE33">
    <vt:lpwstr>נשיאת נשק שלא כדין</vt:lpwstr>
  </property>
  <property fmtid="{D5CDD505-2E9C-101B-9397-08002B2CF9AE}" pid="53" name="NOSE34">
    <vt:lpwstr>סחר בנשק</vt:lpwstr>
  </property>
  <property fmtid="{D5CDD505-2E9C-101B-9397-08002B2CF9AE}" pid="54" name="NOSE35">
    <vt:lpwstr>מדיניות ענישה: עבירות נשק</vt:lpwstr>
  </property>
  <property fmtid="{D5CDD505-2E9C-101B-9397-08002B2CF9AE}" pid="55" name="NOSE36">
    <vt:lpwstr/>
  </property>
  <property fmtid="{D5CDD505-2E9C-101B-9397-08002B2CF9AE}" pid="56" name="NOSE37">
    <vt:lpwstr/>
  </property>
  <property fmtid="{D5CDD505-2E9C-101B-9397-08002B2CF9AE}" pid="57" name="NOSE38">
    <vt:lpwstr/>
  </property>
  <property fmtid="{D5CDD505-2E9C-101B-9397-08002B2CF9AE}" pid="58" name="NOSE39">
    <vt:lpwstr/>
  </property>
  <property fmtid="{D5CDD505-2E9C-101B-9397-08002B2CF9AE}" pid="59" name="NOSE3ID">
    <vt:lpwstr>8995;8776;12837;13898;13800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9112</vt:lpwstr>
  </property>
  <property fmtid="{D5CDD505-2E9C-101B-9397-08002B2CF9AE}" pid="65" name="PROCYEAR">
    <vt:lpwstr>11</vt:lpwstr>
  </property>
  <property fmtid="{D5CDD505-2E9C-101B-9397-08002B2CF9AE}" pid="66" name="PSAKDIN">
    <vt:lpwstr>פסק-דין</vt:lpwstr>
  </property>
  <property fmtid="{D5CDD505-2E9C-101B-9397-08002B2CF9AE}" pid="67" name="PadiDate">
    <vt:lpwstr>20121216</vt:lpwstr>
  </property>
  <property fmtid="{D5CDD505-2E9C-101B-9397-08002B2CF9AE}" pid="68" name="TYPE">
    <vt:lpwstr>1</vt:lpwstr>
  </property>
  <property fmtid="{D5CDD505-2E9C-101B-9397-08002B2CF9AE}" pid="69" name="TYPE_ABS_DATE">
    <vt:lpwstr>410120121213</vt:lpwstr>
  </property>
  <property fmtid="{D5CDD505-2E9C-101B-9397-08002B2CF9AE}" pid="70" name="TYPE_N_DATE">
    <vt:lpwstr>41020121213</vt:lpwstr>
  </property>
  <property fmtid="{D5CDD505-2E9C-101B-9397-08002B2CF9AE}" pid="71" name="VOLUME">
    <vt:lpwstr/>
  </property>
  <property fmtid="{D5CDD505-2E9C-101B-9397-08002B2CF9AE}" pid="72" name="WORDNUMPAGES">
    <vt:lpwstr>7</vt:lpwstr>
  </property>
</Properties>
</file>