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80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80"/>
        <w:gridCol w:w="1751"/>
        <w:gridCol w:w="239"/>
        <w:gridCol w:w="854"/>
        <w:gridCol w:w="2995"/>
        <w:gridCol w:w="83"/>
      </w:tblGrid>
      <w:tr>
        <w:trPr>
          <w:trHeight w:val="719" w:hRule="exact"/>
        </w:trPr>
        <w:tc>
          <w:tcPr>
            <w:tcW w:w="5724" w:type="dxa"/>
            <w:gridSpan w:val="4"/>
            <w:tcBorders/>
          </w:tcPr>
          <w:p>
            <w:pPr>
              <w:pStyle w:val="Header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  <w:bookmarkStart w:id="0" w:name="LastJudge"/>
            <w:bookmarkStart w:id="1" w:name="LastJudge"/>
            <w:bookmarkEnd w:id="1"/>
          </w:p>
          <w:p>
            <w:pPr>
              <w:pStyle w:val="Header"/>
              <w:tabs>
                <w:tab w:val="clear" w:pos="720"/>
              </w:tabs>
              <w:ind w:end="0"/>
              <w:jc w:val="center"/>
              <w:rPr>
                <w:rFonts w:ascii="Tahoma" w:hAnsi="Tahoma" w:cs="Tahoma"/>
                <w:b/>
                <w:bCs/>
                <w:color w:val="000080"/>
                <w:sz w:val="20"/>
                <w:szCs w:val="20"/>
              </w:rPr>
            </w:pPr>
            <w:r>
              <w:rPr>
                <w:rFonts w:ascii="Tahoma" w:hAnsi="Tahoma" w:cs="Tahoma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>בית משפט השלום בעכו</w:t>
            </w:r>
          </w:p>
        </w:tc>
        <w:tc>
          <w:tcPr>
            <w:tcW w:w="3078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Tahoma" w:hAnsi="Tahoma" w:cs="Tahoma"/>
                <w:b/>
                <w:bCs/>
                <w:color w:val="000080"/>
                <w:sz w:val="20"/>
                <w:szCs w:val="20"/>
              </w:rPr>
            </w:pPr>
            <w:r>
              <w:rPr>
                <w:rFonts w:cs="Tahoma" w:ascii="Tahoma" w:hAnsi="Tahoma"/>
                <w:b/>
                <w:bCs/>
                <w:color w:val="000080"/>
                <w:sz w:val="20"/>
                <w:szCs w:val="20"/>
                <w:rtl w:val="true"/>
              </w:rPr>
            </w:r>
          </w:p>
        </w:tc>
      </w:tr>
      <w:tr>
        <w:trPr>
          <w:trHeight w:val="337" w:hRule="atLeast"/>
        </w:trPr>
        <w:tc>
          <w:tcPr>
            <w:tcW w:w="4631" w:type="dxa"/>
            <w:gridSpan w:val="2"/>
            <w:tcBorders/>
          </w:tcPr>
          <w:p>
            <w:pPr>
              <w:pStyle w:val="Normal"/>
              <w:ind w:end="0"/>
              <w:jc w:val="start"/>
              <w:rPr/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ת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פ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10690-02-10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מדינת ישראל נ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אסדי</w:t>
            </w:r>
            <w:r>
              <w:rPr>
                <w:b/>
                <w:bCs/>
                <w:sz w:val="26"/>
                <w:szCs w:val="26"/>
                <w:rtl w:val="true"/>
              </w:rPr>
              <w:t>(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עציר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)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ואח</w:t>
            </w:r>
            <w:r>
              <w:rPr>
                <w:b/>
                <w:bCs/>
                <w:sz w:val="26"/>
                <w:szCs w:val="26"/>
                <w:rtl w:val="true"/>
              </w:rPr>
              <w:t>'</w:t>
            </w:r>
          </w:p>
        </w:tc>
        <w:tc>
          <w:tcPr>
            <w:tcW w:w="239" w:type="dxa"/>
            <w:tcBorders/>
          </w:tcPr>
          <w:p>
            <w:pPr>
              <w:pStyle w:val="Header"/>
              <w:snapToGrid w:val="false"/>
              <w:ind w:end="0"/>
              <w:jc w:val="end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  <w:tc>
          <w:tcPr>
            <w:tcW w:w="854" w:type="dxa"/>
            <w:tcBorders/>
          </w:tcPr>
          <w:p>
            <w:pPr>
              <w:pStyle w:val="Header"/>
              <w:tabs>
                <w:tab w:val="clear" w:pos="720"/>
              </w:tabs>
              <w:ind w:end="0"/>
              <w:jc w:val="end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14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דצמבר </w:t>
            </w:r>
            <w:r>
              <w:rPr>
                <w:b/>
                <w:bCs/>
                <w:sz w:val="26"/>
                <w:szCs w:val="26"/>
              </w:rPr>
              <w:t>2010</w:t>
            </w:r>
          </w:p>
        </w:tc>
        <w:tc>
          <w:tcPr>
            <w:tcW w:w="3078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</w:tr>
      <w:tr>
        <w:trPr/>
        <w:tc>
          <w:tcPr>
            <w:tcW w:w="8719" w:type="dxa"/>
            <w:gridSpan w:val="5"/>
            <w:tcBorders/>
          </w:tcPr>
          <w:p>
            <w:pPr>
              <w:pStyle w:val="Normal"/>
              <w:snapToGrid w:val="false"/>
              <w:spacing w:lineRule="auto" w:line="360"/>
              <w:ind w:end="0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  <w:p>
            <w:pPr>
              <w:pStyle w:val="Normal"/>
              <w:spacing w:lineRule="auto" w:line="360"/>
              <w:ind w:end="0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  <w:p>
            <w:pPr>
              <w:pStyle w:val="Normal"/>
              <w:spacing w:lineRule="auto" w:line="360"/>
              <w:ind w:end="0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בפני כב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שופט זיאד סלאח</w:t>
            </w:r>
            <w:r>
              <w:rPr>
                <w:rStyle w:val="TimesNewRomanTimesNewRoman"/>
                <w:rtl w:val="true"/>
              </w:rPr>
              <w:t xml:space="preserve"> </w:t>
            </w:r>
          </w:p>
        </w:tc>
        <w:tc>
          <w:tcPr>
            <w:tcW w:w="8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ind w:start="26" w:end="0"/>
              <w:jc w:val="start"/>
              <w:rPr>
                <w:b/>
                <w:bCs/>
                <w:sz w:val="26"/>
                <w:szCs w:val="26"/>
              </w:rPr>
            </w:pPr>
            <w:bookmarkStart w:id="2" w:name="FirstAppellant"/>
            <w:bookmarkEnd w:id="2"/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מאשימה</w:t>
            </w:r>
            <w:r>
              <w:rPr>
                <w:b/>
                <w:bCs/>
                <w:sz w:val="26"/>
                <w:szCs w:val="26"/>
                <w:rtl w:val="true"/>
              </w:rPr>
              <w:t>:</w:t>
            </w:r>
          </w:p>
        </w:tc>
        <w:tc>
          <w:tcPr>
            <w:tcW w:w="5922" w:type="dxa"/>
            <w:gridSpan w:val="5"/>
            <w:tcBorders/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מדינת ישראל</w:t>
            </w:r>
          </w:p>
        </w:tc>
      </w:tr>
      <w:tr>
        <w:trPr/>
        <w:tc>
          <w:tcPr>
            <w:tcW w:w="8802" w:type="dxa"/>
            <w:gridSpan w:val="6"/>
            <w:tcBorders/>
          </w:tcPr>
          <w:p>
            <w:pPr>
              <w:pStyle w:val="Normal"/>
              <w:snapToGrid w:val="false"/>
              <w:ind w:end="0"/>
              <w:jc w:val="both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</w:rPr>
            </w:r>
          </w:p>
          <w:p>
            <w:pPr>
              <w:pStyle w:val="Normal"/>
              <w:ind w:end="0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</w:rPr>
              <w:t>נגד</w:t>
            </w:r>
          </w:p>
          <w:p>
            <w:pPr>
              <w:pStyle w:val="Normal"/>
              <w:ind w:end="0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</w:rPr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ind w:start="26"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נאשמים</w:t>
            </w:r>
            <w:r>
              <w:rPr>
                <w:b/>
                <w:bCs/>
                <w:sz w:val="26"/>
                <w:szCs w:val="26"/>
                <w:rtl w:val="true"/>
              </w:rPr>
              <w:t>:</w:t>
            </w:r>
          </w:p>
        </w:tc>
        <w:tc>
          <w:tcPr>
            <w:tcW w:w="5922" w:type="dxa"/>
            <w:gridSpan w:val="5"/>
            <w:tcBorders/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1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. 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ארקאן אסדי 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2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. 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קאסם אסדי </w:t>
            </w:r>
          </w:p>
        </w:tc>
      </w:tr>
    </w:tbl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>
          <w:sz w:val="6"/>
          <w:szCs w:val="6"/>
        </w:rPr>
      </w:pPr>
      <w:r>
        <w:rPr>
          <w:sz w:val="6"/>
          <w:szCs w:val="6"/>
          <w:rtl w:val="true"/>
        </w:rPr>
        <w:t>&lt;</w:t>
      </w:r>
      <w:r>
        <w:rPr>
          <w:sz w:val="6"/>
          <w:szCs w:val="6"/>
        </w:rPr>
        <w:t>#2#</w:t>
      </w:r>
      <w:r>
        <w:rPr>
          <w:sz w:val="6"/>
          <w:szCs w:val="6"/>
          <w:rtl w:val="true"/>
        </w:rPr>
        <w:t>&gt;</w:t>
      </w:r>
    </w:p>
    <w:p>
      <w:pPr>
        <w:pStyle w:val="12"/>
        <w:ind w:end="0"/>
        <w:jc w:val="start"/>
        <w:rPr>
          <w:u w:val="none"/>
        </w:rPr>
      </w:pPr>
      <w:r>
        <w:rPr>
          <w:u w:val="none"/>
          <w:rtl w:val="true"/>
        </w:rPr>
        <w:t>נוכחים</w:t>
      </w:r>
      <w:r>
        <w:rPr>
          <w:u w:val="none"/>
          <w:rtl w:val="true"/>
        </w:rPr>
        <w:t>:</w:t>
      </w:r>
    </w:p>
    <w:p>
      <w:pPr>
        <w:pStyle w:val="12"/>
        <w:ind w:end="0"/>
        <w:jc w:val="start"/>
        <w:rPr>
          <w:b w:val="false"/>
          <w:bCs w:val="false"/>
          <w:u w:val="none"/>
        </w:rPr>
      </w:pPr>
      <w:bookmarkStart w:id="3" w:name="FirstLawyer"/>
      <w:r>
        <w:rPr>
          <w:b w:val="false"/>
          <w:b w:val="false"/>
          <w:bCs w:val="false"/>
          <w:u w:val="none"/>
          <w:rtl w:val="true"/>
        </w:rPr>
        <w:t>ב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כ</w:t>
      </w:r>
      <w:bookmarkEnd w:id="3"/>
      <w:r>
        <w:rPr>
          <w:b w:val="false"/>
          <w:b w:val="false"/>
          <w:bCs w:val="false"/>
          <w:u w:val="none"/>
          <w:rtl w:val="true"/>
        </w:rPr>
        <w:t xml:space="preserve"> המאשימה</w:t>
      </w:r>
      <w:r>
        <w:rPr>
          <w:b w:val="false"/>
          <w:bCs w:val="false"/>
          <w:u w:val="none"/>
          <w:rtl w:val="true"/>
        </w:rPr>
        <w:t xml:space="preserve">: </w:t>
      </w:r>
      <w:r>
        <w:rPr>
          <w:b w:val="false"/>
          <w:b w:val="false"/>
          <w:bCs w:val="false"/>
          <w:u w:val="none"/>
          <w:rtl w:val="true"/>
        </w:rPr>
        <w:t>עו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ד סולומון</w:t>
      </w:r>
    </w:p>
    <w:p>
      <w:pPr>
        <w:pStyle w:val="12"/>
        <w:ind w:end="0"/>
        <w:jc w:val="start"/>
        <w:rPr>
          <w:b w:val="false"/>
          <w:bCs w:val="false"/>
          <w:u w:val="none"/>
        </w:rPr>
      </w:pPr>
      <w:r>
        <w:rPr>
          <w:b w:val="false"/>
          <w:b w:val="false"/>
          <w:bCs w:val="false"/>
          <w:u w:val="none"/>
          <w:rtl w:val="true"/>
        </w:rPr>
        <w:t>הנאשמים</w:t>
      </w:r>
      <w:r>
        <w:rPr>
          <w:b w:val="false"/>
          <w:bCs w:val="false"/>
          <w:u w:val="none"/>
          <w:rtl w:val="true"/>
        </w:rPr>
        <w:t xml:space="preserve">: </w:t>
      </w:r>
      <w:r>
        <w:rPr>
          <w:b w:val="false"/>
          <w:b w:val="false"/>
          <w:bCs w:val="false"/>
          <w:u w:val="none"/>
          <w:rtl w:val="true"/>
        </w:rPr>
        <w:t>נוכחים</w:t>
      </w:r>
    </w:p>
    <w:p>
      <w:pPr>
        <w:pStyle w:val="12"/>
        <w:ind w:end="0"/>
        <w:jc w:val="start"/>
        <w:rPr>
          <w:b w:val="false"/>
          <w:bCs w:val="false"/>
          <w:u w:val="none"/>
        </w:rPr>
      </w:pPr>
      <w:r>
        <w:rPr>
          <w:b w:val="false"/>
          <w:b w:val="false"/>
          <w:bCs w:val="false"/>
          <w:u w:val="none"/>
          <w:rtl w:val="true"/>
        </w:rPr>
        <w:t>הסניגור</w:t>
      </w:r>
      <w:r>
        <w:rPr>
          <w:b w:val="false"/>
          <w:bCs w:val="false"/>
          <w:u w:val="none"/>
          <w:rtl w:val="true"/>
        </w:rPr>
        <w:t xml:space="preserve">: </w:t>
      </w:r>
      <w:r>
        <w:rPr>
          <w:b w:val="false"/>
          <w:b w:val="false"/>
          <w:bCs w:val="false"/>
          <w:u w:val="none"/>
          <w:rtl w:val="true"/>
        </w:rPr>
        <w:t>עו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ד אסדי</w:t>
      </w:r>
    </w:p>
    <w:p>
      <w:pPr>
        <w:pStyle w:val="12"/>
        <w:ind w:end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  <w:rtl w:val="true"/>
        </w:rPr>
      </w:r>
      <w:bookmarkStart w:id="4" w:name="LawTable"/>
      <w:bookmarkStart w:id="5" w:name="LawTable"/>
      <w:bookmarkEnd w:id="5"/>
    </w:p>
    <w:p>
      <w:pPr>
        <w:pStyle w:val="12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b w:val="false"/>
          <w:bCs w:val="false"/>
          <w:u w:val="none"/>
        </w:rPr>
      </w:pPr>
      <w:r>
        <w:rPr>
          <w:rFonts w:cs="FrankRuehl" w:ascii="FrankRuehl" w:hAnsi="FrankRuehl"/>
          <w:b w:val="false"/>
          <w:bCs w:val="false"/>
          <w:u w:val="none"/>
          <w:rtl w:val="true"/>
        </w:rPr>
      </w:r>
    </w:p>
    <w:p>
      <w:pPr>
        <w:pStyle w:val="12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b w:val="false"/>
          <w:bCs w:val="false"/>
          <w:u w:val="none"/>
        </w:rPr>
      </w:pPr>
      <w:r>
        <w:rPr>
          <w:rFonts w:ascii="FrankRuehl" w:hAnsi="FrankRuehl" w:cs="FrankRuehl"/>
          <w:b w:val="false"/>
          <w:b w:val="false"/>
          <w:bCs w:val="false"/>
          <w:u w:val="none"/>
          <w:rtl w:val="true"/>
        </w:rPr>
        <w:t>חקיקה שאוזכרה</w:t>
      </w:r>
      <w:r>
        <w:rPr>
          <w:rFonts w:cs="FrankRuehl" w:ascii="FrankRuehl" w:hAnsi="FrankRuehl"/>
          <w:b w:val="false"/>
          <w:bCs w:val="false"/>
          <w:u w:val="none"/>
          <w:rtl w:val="true"/>
        </w:rPr>
        <w:t xml:space="preserve">: </w:t>
      </w:r>
    </w:p>
    <w:p>
      <w:pPr>
        <w:pStyle w:val="12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b w:val="false"/>
          <w:bCs w:val="false"/>
          <w:u w:val="none"/>
        </w:rPr>
      </w:pPr>
      <w:hyperlink r:id="rId2">
        <w:r>
          <w:rPr>
            <w:rStyle w:val="Hyperlink"/>
            <w:rFonts w:ascii="FrankRuehl" w:hAnsi="FrankRuehl" w:cs="FrankRuehl"/>
            <w:b w:val="false"/>
            <w:b w:val="false"/>
            <w:bCs w:val="false"/>
            <w:color w:val="0000FF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b w:val="false"/>
            <w:bCs w:val="false"/>
            <w:color w:val="0000FF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b w:val="false"/>
            <w:b w:val="false"/>
            <w:bCs w:val="false"/>
            <w:color w:val="0000FF"/>
            <w:rtl w:val="true"/>
          </w:rPr>
          <w:t>תשל</w:t>
        </w:r>
        <w:r>
          <w:rPr>
            <w:rStyle w:val="Hyperlink"/>
            <w:rFonts w:cs="FrankRuehl" w:ascii="FrankRuehl" w:hAnsi="FrankRuehl"/>
            <w:b w:val="false"/>
            <w:bCs w:val="false"/>
            <w:color w:val="0000FF"/>
            <w:rtl w:val="true"/>
          </w:rPr>
          <w:t>"</w:t>
        </w:r>
        <w:r>
          <w:rPr>
            <w:rStyle w:val="Hyperlink"/>
            <w:rFonts w:ascii="FrankRuehl" w:hAnsi="FrankRuehl" w:cs="FrankRuehl"/>
            <w:b w:val="false"/>
            <w:b w:val="false"/>
            <w:bCs w:val="false"/>
            <w:color w:val="0000FF"/>
            <w:rtl w:val="true"/>
          </w:rPr>
          <w:t>ז</w:t>
        </w:r>
        <w:r>
          <w:rPr>
            <w:rStyle w:val="Hyperlink"/>
            <w:rFonts w:cs="FrankRuehl" w:ascii="FrankRuehl" w:hAnsi="FrankRuehl"/>
            <w:b w:val="false"/>
            <w:bCs w:val="false"/>
            <w:color w:val="0000FF"/>
            <w:rtl w:val="true"/>
          </w:rPr>
          <w:t>-</w:t>
        </w:r>
        <w:r>
          <w:rPr>
            <w:rStyle w:val="Hyperlink"/>
            <w:rFonts w:cs="FrankRuehl" w:ascii="FrankRuehl" w:hAnsi="FrankRuehl"/>
            <w:b w:val="false"/>
            <w:bCs w:val="false"/>
            <w:color w:val="0000FF"/>
          </w:rPr>
          <w:t>1977</w:t>
        </w:r>
      </w:hyperlink>
      <w:r>
        <w:rPr>
          <w:rFonts w:cs="FrankRuehl" w:ascii="FrankRuehl" w:hAnsi="FrankRuehl"/>
          <w:b w:val="false"/>
          <w:bCs w:val="false"/>
          <w:u w:val="none"/>
          <w:rtl w:val="true"/>
        </w:rPr>
        <w:t xml:space="preserve">: </w:t>
      </w:r>
      <w:r>
        <w:rPr>
          <w:rFonts w:ascii="FrankRuehl" w:hAnsi="FrankRuehl" w:cs="FrankRuehl"/>
          <w:b w:val="false"/>
          <w:b w:val="false"/>
          <w:bCs w:val="false"/>
          <w:u w:val="none"/>
          <w:rtl w:val="true"/>
        </w:rPr>
        <w:t>סע</w:t>
      </w:r>
      <w:r>
        <w:rPr>
          <w:rFonts w:cs="FrankRuehl" w:ascii="FrankRuehl" w:hAnsi="FrankRuehl"/>
          <w:b w:val="false"/>
          <w:bCs w:val="false"/>
          <w:u w:val="none"/>
          <w:rtl w:val="true"/>
        </w:rPr>
        <w:t xml:space="preserve">'  </w:t>
      </w:r>
      <w:hyperlink r:id="rId3">
        <w:r>
          <w:rPr>
            <w:rStyle w:val="Hyperlink"/>
            <w:rFonts w:cs="FrankRuehl" w:ascii="FrankRuehl" w:hAnsi="FrankRuehl"/>
            <w:b w:val="false"/>
            <w:bCs w:val="false"/>
            <w:color w:val="0000FF"/>
          </w:rPr>
          <w:t>144</w:t>
        </w:r>
        <w:r>
          <w:rPr>
            <w:rStyle w:val="Hyperlink"/>
            <w:rFonts w:cs="FrankRuehl" w:ascii="FrankRuehl" w:hAnsi="FrankRuehl"/>
            <w:b w:val="false"/>
            <w:bCs w:val="false"/>
            <w:color w:val="0000FF"/>
            <w:rtl w:val="true"/>
          </w:rPr>
          <w:t>(</w:t>
        </w:r>
        <w:r>
          <w:rPr>
            <w:rStyle w:val="Hyperlink"/>
            <w:rFonts w:ascii="FrankRuehl" w:hAnsi="FrankRuehl" w:cs="FrankRuehl"/>
            <w:b w:val="false"/>
            <w:b w:val="false"/>
            <w:bCs w:val="false"/>
            <w:color w:val="0000FF"/>
            <w:rtl w:val="true"/>
          </w:rPr>
          <w:t>א</w:t>
        </w:r>
        <w:r>
          <w:rPr>
            <w:rStyle w:val="Hyperlink"/>
            <w:rFonts w:cs="FrankRuehl" w:ascii="FrankRuehl" w:hAnsi="FrankRuehl"/>
            <w:b w:val="false"/>
            <w:bCs w:val="false"/>
            <w:color w:val="0000FF"/>
            <w:rtl w:val="true"/>
          </w:rPr>
          <w:t>)</w:t>
        </w:r>
      </w:hyperlink>
    </w:p>
    <w:p>
      <w:pPr>
        <w:pStyle w:val="12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b w:val="false"/>
          <w:bCs w:val="false"/>
          <w:u w:val="none"/>
        </w:rPr>
      </w:pPr>
      <w:r>
        <w:rPr>
          <w:rFonts w:cs="FrankRuehl" w:ascii="FrankRuehl" w:hAnsi="FrankRuehl"/>
          <w:b w:val="false"/>
          <w:bCs w:val="false"/>
          <w:u w:val="none"/>
          <w:rtl w:val="true"/>
        </w:rPr>
      </w:r>
    </w:p>
    <w:p>
      <w:pPr>
        <w:pStyle w:val="12"/>
        <w:ind w:end="0"/>
        <w:jc w:val="start"/>
        <w:rPr>
          <w:rFonts w:ascii="FrankRuehl" w:hAnsi="FrankRuehl" w:cs="FrankRuehl"/>
          <w:b w:val="false"/>
          <w:bCs w:val="false"/>
          <w:u w:val="none"/>
        </w:rPr>
      </w:pPr>
      <w:r>
        <w:rPr>
          <w:rFonts w:cs="FrankRuehl" w:ascii="FrankRuehl" w:hAnsi="FrankRuehl"/>
          <w:b w:val="false"/>
          <w:bCs w:val="false"/>
          <w:u w:val="none"/>
          <w:rtl w:val="true"/>
        </w:rPr>
      </w:r>
      <w:bookmarkStart w:id="6" w:name="LawTable_End"/>
      <w:bookmarkStart w:id="7" w:name="LawTable_End"/>
      <w:bookmarkEnd w:id="7"/>
    </w:p>
    <w:p>
      <w:pPr>
        <w:pStyle w:val="12"/>
        <w:ind w:end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  <w:rtl w:val="true"/>
        </w:rPr>
      </w:r>
    </w:p>
    <w:p>
      <w:pPr>
        <w:pStyle w:val="12"/>
        <w:ind w:end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  <w:rtl w:val="true"/>
        </w:rPr>
      </w:r>
    </w:p>
    <w:p>
      <w:pPr>
        <w:pStyle w:val="Normal"/>
        <w:overflowPunct w:val="false"/>
        <w:autoSpaceDE w:val="false"/>
        <w:spacing w:lineRule="auto" w:line="360"/>
        <w:ind w:end="0"/>
        <w:jc w:val="center"/>
        <w:rPr>
          <w:rFonts w:ascii="Arial" w:hAnsi="Arial" w:cs="Arial"/>
          <w:b/>
          <w:bCs/>
          <w:sz w:val="28"/>
          <w:szCs w:val="28"/>
          <w:u w:val="none"/>
        </w:rPr>
      </w:pPr>
      <w:r>
        <w:rPr>
          <w:rFonts w:cs="Arial" w:ascii="Arial" w:hAnsi="Arial"/>
          <w:b/>
          <w:bCs/>
          <w:sz w:val="28"/>
          <w:szCs w:val="28"/>
          <w:u w:val="none"/>
          <w:rtl w:val="true"/>
        </w:rPr>
      </w:r>
    </w:p>
    <w:p>
      <w:pPr>
        <w:pStyle w:val="Normal"/>
        <w:overflowPunct w:val="false"/>
        <w:autoSpaceDE w:val="false"/>
        <w:spacing w:lineRule="auto" w:line="360"/>
        <w:ind w:end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  <w:rtl w:val="true"/>
        </w:rPr>
      </w:r>
    </w:p>
    <w:p>
      <w:pPr>
        <w:pStyle w:val="Normal"/>
        <w:overflowPunct w:val="false"/>
        <w:autoSpaceDE w:val="false"/>
        <w:spacing w:lineRule="auto" w:line="360"/>
        <w:ind w:end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  <w:rtl w:val="true"/>
        </w:rPr>
      </w:r>
    </w:p>
    <w:p>
      <w:pPr>
        <w:pStyle w:val="Normal"/>
        <w:overflowPunct w:val="false"/>
        <w:autoSpaceDE w:val="false"/>
        <w:spacing w:lineRule="auto" w:line="360"/>
        <w:ind w:end="0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bookmarkStart w:id="8" w:name="PsakDin"/>
      <w:bookmarkEnd w:id="8"/>
      <w:r>
        <w:rPr>
          <w:rFonts w:ascii="Arial" w:hAnsi="Arial" w:cs="Arial"/>
          <w:b/>
          <w:b/>
          <w:bCs/>
          <w:sz w:val="28"/>
          <w:sz w:val="28"/>
          <w:szCs w:val="28"/>
          <w:u w:val="single"/>
          <w:rtl w:val="true"/>
        </w:rPr>
        <w:t>גזר דין</w:t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cs="Arial" w:ascii="Arial" w:hAnsi="Arial"/>
          <w:b/>
          <w:bCs/>
          <w:sz w:val="28"/>
          <w:szCs w:val="28"/>
          <w:u w:val="single"/>
          <w:rtl w:val="true"/>
        </w:rPr>
      </w:r>
      <w:bookmarkStart w:id="9" w:name="PsakDin"/>
      <w:bookmarkStart w:id="10" w:name="PsakDin"/>
      <w:bookmarkEnd w:id="10"/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bookmarkStart w:id="11" w:name="ABSTRACT_START"/>
      <w:bookmarkEnd w:id="11"/>
      <w:r>
        <w:rPr>
          <w:rtl w:val="true"/>
        </w:rPr>
        <w:t>הנאשמים</w:t>
      </w:r>
      <w:r>
        <w:rPr>
          <w:rtl w:val="true"/>
        </w:rPr>
        <w:t xml:space="preserve">, </w:t>
      </w:r>
      <w:r>
        <w:rPr>
          <w:rtl w:val="true"/>
        </w:rPr>
        <w:t>שני אחים למשפחת אסדי</w:t>
      </w:r>
      <w:r>
        <w:rPr>
          <w:rtl w:val="true"/>
        </w:rPr>
        <w:t xml:space="preserve">, </w:t>
      </w:r>
      <w:r>
        <w:rPr>
          <w:rtl w:val="true"/>
        </w:rPr>
        <w:t>הורשעו עפ</w:t>
      </w:r>
      <w:r>
        <w:rPr>
          <w:rtl w:val="true"/>
        </w:rPr>
        <w:t>"</w:t>
      </w:r>
      <w:r>
        <w:rPr>
          <w:rtl w:val="true"/>
        </w:rPr>
        <w:t>י הודאתם בעבירות כדלקמן</w:t>
      </w:r>
      <w:r>
        <w:rPr>
          <w:rtl w:val="true"/>
        </w:rPr>
        <w:t xml:space="preserve">: </w:t>
      </w:r>
      <w:r>
        <w:rPr>
          <w:rtl w:val="true"/>
        </w:rPr>
        <w:t>החזקת חלק או אבזר או תחמושת של נשק</w:t>
      </w:r>
      <w:r>
        <w:rPr>
          <w:rtl w:val="true"/>
        </w:rPr>
        <w:t xml:space="preserve">, </w:t>
      </w:r>
      <w:r>
        <w:rPr>
          <w:rtl w:val="true"/>
        </w:rPr>
        <w:t>גניבה והחזקת נכס החשוד כגנוב</w:t>
      </w:r>
      <w:r>
        <w:rPr>
          <w:rtl w:val="true"/>
        </w:rPr>
        <w:t xml:space="preserve">. </w:t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</w:r>
      <w:bookmarkStart w:id="12" w:name="ABSTRACT_END"/>
      <w:bookmarkStart w:id="13" w:name="ABSTRACT_END"/>
      <w:bookmarkEnd w:id="13"/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  <w:t>בנוסף הנאשם מס</w:t>
      </w:r>
      <w:r>
        <w:rPr>
          <w:rtl w:val="true"/>
        </w:rPr>
        <w:t xml:space="preserve">'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הורשע בעבירה של החזקת נשק שלא כדין</w:t>
      </w:r>
      <w:r>
        <w:rPr>
          <w:rtl w:val="true"/>
        </w:rPr>
        <w:t xml:space="preserve">, </w:t>
      </w:r>
      <w:r>
        <w:rPr>
          <w:rtl w:val="true"/>
        </w:rPr>
        <w:t xml:space="preserve">בניגוד לסעיף </w:t>
      </w:r>
      <w:hyperlink r:id="rId4">
        <w:r>
          <w:rPr>
            <w:rStyle w:val="Hyperlink"/>
            <w:color w:val="0000FF"/>
            <w:u w:val="single"/>
          </w:rPr>
          <w:t>144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א</w:t>
        </w:r>
        <w:r>
          <w:rPr>
            <w:rStyle w:val="Hyperlink"/>
            <w:color w:val="0000FF"/>
            <w:u w:val="single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ריישא ל</w:t>
      </w:r>
      <w:hyperlink r:id="rId5">
        <w:r>
          <w:rPr>
            <w:rStyle w:val="Hyperlink"/>
            <w:rtl w:val="true"/>
          </w:rPr>
          <w:t>חוק העונשין</w:t>
        </w:r>
      </w:hyperlink>
      <w:r>
        <w:rPr>
          <w:rtl w:val="true"/>
        </w:rPr>
        <w:t xml:space="preserve">. </w:t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  <w:t>תמצית העובדות אשר בכתב האישום</w:t>
      </w:r>
      <w:r>
        <w:rPr>
          <w:rtl w:val="true"/>
        </w:rPr>
        <w:t xml:space="preserve">, </w:t>
      </w:r>
      <w:r>
        <w:rPr>
          <w:rtl w:val="true"/>
        </w:rPr>
        <w:t xml:space="preserve">בעניין החזקת נשק או אבזר של נשק או תחמושת היא כי ביום </w:t>
      </w:r>
      <w:r>
        <w:rPr/>
        <w:t>24/1/10</w:t>
      </w:r>
      <w:r>
        <w:rPr>
          <w:rtl w:val="true"/>
        </w:rPr>
        <w:t xml:space="preserve">, </w:t>
      </w:r>
      <w:r>
        <w:rPr>
          <w:rtl w:val="true"/>
        </w:rPr>
        <w:t>עת ערכה משטרת ישראל חיפוש בביתם של הנאשמים בכפר דיר אל אסד</w:t>
      </w:r>
      <w:r>
        <w:rPr>
          <w:rtl w:val="true"/>
        </w:rPr>
        <w:t xml:space="preserve">, </w:t>
      </w:r>
      <w:r>
        <w:rPr>
          <w:rtl w:val="true"/>
        </w:rPr>
        <w:t>היא מצאה כמויות של קליעים</w:t>
      </w:r>
      <w:r>
        <w:rPr>
          <w:rtl w:val="true"/>
        </w:rPr>
        <w:t xml:space="preserve">, </w:t>
      </w:r>
      <w:r>
        <w:rPr>
          <w:rtl w:val="true"/>
        </w:rPr>
        <w:t>מאות במספר</w:t>
      </w:r>
      <w:r>
        <w:rPr>
          <w:rtl w:val="true"/>
        </w:rPr>
        <w:t xml:space="preserve">, </w:t>
      </w:r>
      <w:r>
        <w:rPr>
          <w:rtl w:val="true"/>
        </w:rPr>
        <w:t>בנוסף נמצא כי הנאשם מס</w:t>
      </w:r>
      <w:r>
        <w:rPr>
          <w:rtl w:val="true"/>
        </w:rPr>
        <w:t xml:space="preserve">'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החזיק רימון עשן צהלי מעוקב וכן בנוסף החזיק ארגז מתכת צהלי ושחפ</w:t>
      </w:r>
      <w:r>
        <w:rPr>
          <w:rtl w:val="true"/>
        </w:rPr>
        <w:t>"</w:t>
      </w:r>
      <w:r>
        <w:rPr>
          <w:rtl w:val="true"/>
        </w:rPr>
        <w:t>צ צהלי</w:t>
      </w:r>
      <w:r>
        <w:rPr>
          <w:rtl w:val="true"/>
        </w:rPr>
        <w:t xml:space="preserve">, </w:t>
      </w:r>
      <w:r>
        <w:rPr>
          <w:rtl w:val="true"/>
        </w:rPr>
        <w:t>אותם גנב לפני כן מרשויות הצבא</w:t>
      </w:r>
      <w:r>
        <w:rPr>
          <w:rtl w:val="true"/>
        </w:rPr>
        <w:t xml:space="preserve">. </w:t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  <w:t>בנוסף הנאשם מס</w:t>
      </w:r>
      <w:r>
        <w:rPr>
          <w:rtl w:val="true"/>
        </w:rPr>
        <w:t xml:space="preserve">'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נמצא מחזיק בחדרו גם מספר לא קטן של כדורים וקליעים וכן שתי פצצות תאורה ידניות וכן גם חצי לבנת חבלה וכן גם סוללה עטופה באיזולירבנד וחוטי ברזל היוצאים ממנה</w:t>
      </w:r>
      <w:r>
        <w:rPr>
          <w:rtl w:val="true"/>
        </w:rPr>
        <w:t xml:space="preserve">. </w:t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  <w:t>כן על גג ביתו של הנאשם מס</w:t>
      </w:r>
      <w:r>
        <w:rPr>
          <w:rtl w:val="true"/>
        </w:rPr>
        <w:t xml:space="preserve">'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נמצאו שני פנסים צהליים</w:t>
      </w:r>
      <w:r>
        <w:rPr>
          <w:rtl w:val="true"/>
        </w:rPr>
        <w:t xml:space="preserve">, </w:t>
      </w:r>
      <w:r>
        <w:rPr>
          <w:rtl w:val="true"/>
        </w:rPr>
        <w:t>כאשר כל הרכוש הצבאי 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לרבות התחמושת</w:t>
      </w:r>
      <w:r>
        <w:rPr>
          <w:rtl w:val="true"/>
        </w:rPr>
        <w:t xml:space="preserve">,  </w:t>
      </w:r>
      <w:r>
        <w:rPr>
          <w:rtl w:val="true"/>
        </w:rPr>
        <w:t>נגנבו על ידי הנאשם מס</w:t>
      </w:r>
      <w:r>
        <w:rPr>
          <w:rtl w:val="true"/>
        </w:rPr>
        <w:t xml:space="preserve">'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מרשויות הצבא במועד קודם</w:t>
      </w:r>
      <w:r>
        <w:rPr>
          <w:rtl w:val="true"/>
        </w:rPr>
        <w:t xml:space="preserve">. </w:t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  <w:t>כן בנוסף הנאשם מס</w:t>
      </w:r>
      <w:r>
        <w:rPr>
          <w:rtl w:val="true"/>
        </w:rPr>
        <w:t xml:space="preserve">'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הורשע בעבירה נוספת של איום</w:t>
      </w:r>
      <w:r>
        <w:rPr>
          <w:rtl w:val="true"/>
        </w:rPr>
        <w:t xml:space="preserve">, </w:t>
      </w:r>
      <w:r>
        <w:rPr>
          <w:rtl w:val="true"/>
        </w:rPr>
        <w:t xml:space="preserve">בכך שביום </w:t>
      </w:r>
      <w:r>
        <w:rPr/>
        <w:t>25/1/10</w:t>
      </w:r>
      <w:r>
        <w:rPr>
          <w:rtl w:val="true"/>
        </w:rPr>
        <w:t xml:space="preserve">, </w:t>
      </w:r>
      <w:r>
        <w:rPr>
          <w:rtl w:val="true"/>
        </w:rPr>
        <w:t>בעת דיון בביהמ</w:t>
      </w:r>
      <w:r>
        <w:rPr>
          <w:rtl w:val="true"/>
        </w:rPr>
        <w:t>"</w:t>
      </w:r>
      <w:r>
        <w:rPr>
          <w:rtl w:val="true"/>
        </w:rPr>
        <w:t>ש השלום בעכו</w:t>
      </w:r>
      <w:r>
        <w:rPr>
          <w:rtl w:val="true"/>
        </w:rPr>
        <w:t xml:space="preserve">, </w:t>
      </w:r>
      <w:r>
        <w:rPr>
          <w:rtl w:val="true"/>
        </w:rPr>
        <w:t>איים על השוטר אמיר אלזירט</w:t>
      </w:r>
      <w:r>
        <w:rPr>
          <w:rtl w:val="true"/>
        </w:rPr>
        <w:t xml:space="preserve">, </w:t>
      </w:r>
      <w:r>
        <w:rPr>
          <w:rtl w:val="true"/>
        </w:rPr>
        <w:t xml:space="preserve">בכך שאמר לו </w:t>
      </w:r>
      <w:r>
        <w:rPr>
          <w:rtl w:val="true"/>
        </w:rPr>
        <w:t>: "</w:t>
      </w:r>
      <w:r>
        <w:rPr>
          <w:rtl w:val="true"/>
        </w:rPr>
        <w:t>תירגע תירגע</w:t>
      </w:r>
      <w:r>
        <w:rPr>
          <w:rtl w:val="true"/>
        </w:rPr>
        <w:t xml:space="preserve">" </w:t>
      </w:r>
      <w:r>
        <w:rPr>
          <w:rtl w:val="true"/>
        </w:rPr>
        <w:t>ובהמשך עשה כלפיו תנועות מאיימות</w:t>
      </w:r>
      <w:r>
        <w:rPr>
          <w:rtl w:val="true"/>
        </w:rPr>
        <w:t xml:space="preserve">. </w:t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  <w:t>הינה כי כן</w:t>
      </w:r>
      <w:r>
        <w:rPr>
          <w:rtl w:val="true"/>
        </w:rPr>
        <w:t xml:space="preserve">, </w:t>
      </w:r>
      <w:r>
        <w:rPr>
          <w:rtl w:val="true"/>
        </w:rPr>
        <w:t>למקרא כתב האישום</w:t>
      </w:r>
      <w:r>
        <w:rPr>
          <w:rtl w:val="true"/>
        </w:rPr>
        <w:t xml:space="preserve">, </w:t>
      </w:r>
      <w:r>
        <w:rPr>
          <w:rtl w:val="true"/>
        </w:rPr>
        <w:t>ניתן לקבל רושם ראשוני כי הנאשמים עברו עבירות חמורות של החזקת נשק ו</w:t>
      </w:r>
      <w:r>
        <w:rPr>
          <w:rtl w:val="true"/>
        </w:rPr>
        <w:t>/</w:t>
      </w:r>
      <w:r>
        <w:rPr>
          <w:rtl w:val="true"/>
        </w:rPr>
        <w:t>או אבזר של נשק ו</w:t>
      </w:r>
      <w:r>
        <w:rPr>
          <w:rtl w:val="true"/>
        </w:rPr>
        <w:t>/</w:t>
      </w:r>
      <w:r>
        <w:rPr>
          <w:rtl w:val="true"/>
        </w:rPr>
        <w:t>או תחמושת שלא כדין</w:t>
      </w:r>
      <w:r>
        <w:rPr>
          <w:rtl w:val="true"/>
        </w:rPr>
        <w:t xml:space="preserve">. </w:t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  <w:t>יחד עם זאת</w:t>
      </w:r>
      <w:r>
        <w:rPr>
          <w:rtl w:val="true"/>
        </w:rPr>
        <w:t xml:space="preserve">, </w:t>
      </w:r>
      <w:r>
        <w:rPr>
          <w:rtl w:val="true"/>
        </w:rPr>
        <w:t>פריטת העובדות לפרטיהן יש בה כדי להראות כי עיקר הנשק שהוחזק שלא כדין הינם כדורים</w:t>
      </w:r>
      <w:r>
        <w:rPr>
          <w:rtl w:val="true"/>
        </w:rPr>
        <w:t xml:space="preserve">, </w:t>
      </w:r>
      <w:r>
        <w:rPr>
          <w:rtl w:val="true"/>
        </w:rPr>
        <w:t>אשר היו פזורים בבית הנאשמים</w:t>
      </w:r>
      <w:r>
        <w:rPr>
          <w:rtl w:val="true"/>
        </w:rPr>
        <w:t xml:space="preserve">, </w:t>
      </w:r>
      <w:r>
        <w:rPr>
          <w:rtl w:val="true"/>
        </w:rPr>
        <w:t>כמעט בכל פינה</w:t>
      </w:r>
      <w:r>
        <w:rPr>
          <w:rtl w:val="true"/>
        </w:rPr>
        <w:t xml:space="preserve">. </w:t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  <w:t>הינני מציין עובדה זו</w:t>
      </w:r>
      <w:r>
        <w:rPr>
          <w:rtl w:val="true"/>
        </w:rPr>
        <w:t xml:space="preserve">, </w:t>
      </w:r>
      <w:r>
        <w:rPr>
          <w:rtl w:val="true"/>
        </w:rPr>
        <w:t>היינו כי עיקר החזקת אביזרי הנשק הינם כדורים</w:t>
      </w:r>
      <w:r>
        <w:rPr>
          <w:rtl w:val="true"/>
        </w:rPr>
        <w:t xml:space="preserve">, </w:t>
      </w:r>
      <w:r>
        <w:rPr>
          <w:rtl w:val="true"/>
        </w:rPr>
        <w:t>לאור העובדה כי הנאשם מס</w:t>
      </w:r>
      <w:r>
        <w:rPr>
          <w:rtl w:val="true"/>
        </w:rPr>
        <w:t xml:space="preserve">' </w:t>
      </w:r>
      <w:r>
        <w:rPr/>
        <w:t>1</w:t>
      </w:r>
      <w:r>
        <w:rPr>
          <w:rtl w:val="true"/>
        </w:rPr>
        <w:t xml:space="preserve">, </w:t>
      </w:r>
      <w:r>
        <w:rPr>
          <w:rtl w:val="true"/>
        </w:rPr>
        <w:t>בעת האירוע נשוא כתב האישום</w:t>
      </w:r>
      <w:r>
        <w:rPr>
          <w:rtl w:val="true"/>
        </w:rPr>
        <w:t xml:space="preserve">, </w:t>
      </w:r>
      <w:r>
        <w:rPr>
          <w:rtl w:val="true"/>
        </w:rPr>
        <w:t>היה חייל בשירות סדיר בצה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כאשר גם הנאשם מס</w:t>
      </w:r>
      <w:r>
        <w:rPr>
          <w:rtl w:val="true"/>
        </w:rPr>
        <w:t xml:space="preserve">'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שירת שירות סדיר בצה</w:t>
      </w:r>
      <w:r>
        <w:rPr>
          <w:rtl w:val="true"/>
        </w:rPr>
        <w:t>"</w:t>
      </w:r>
      <w:r>
        <w:rPr>
          <w:rtl w:val="true"/>
        </w:rPr>
        <w:t>ל ואף משרת במסגרת מערך המילואים בצה</w:t>
      </w:r>
      <w:r>
        <w:rPr>
          <w:rtl w:val="true"/>
        </w:rPr>
        <w:t>"</w:t>
      </w:r>
      <w:r>
        <w:rPr>
          <w:rtl w:val="true"/>
        </w:rPr>
        <w:t>ל כיום</w:t>
      </w:r>
      <w:r>
        <w:rPr>
          <w:rtl w:val="true"/>
        </w:rPr>
        <w:t xml:space="preserve">. </w:t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  <w:t>בטרם טיעונים לעונש הוריתי על קבלת תסקיר שירות מבחן בעניינם של שני הנאשמים ואכן שירות המבחן הגיש תסקיר לגבי שני הנאשמים</w:t>
      </w:r>
      <w:r>
        <w:rPr>
          <w:rtl w:val="true"/>
        </w:rPr>
        <w:t xml:space="preserve">. </w:t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  <w:t>הינני יושב על כס המשפט תקופה לא קצרה ולעיתים רחוקות הינני קורא תסקירי מבחן חיוביים</w:t>
      </w:r>
      <w:r>
        <w:rPr>
          <w:rtl w:val="true"/>
        </w:rPr>
        <w:t xml:space="preserve">, </w:t>
      </w:r>
      <w:r>
        <w:rPr>
          <w:rtl w:val="true"/>
        </w:rPr>
        <w:t>כפי שהוגשו בענייניהם של הנאשמים</w:t>
      </w:r>
      <w:r>
        <w:rPr>
          <w:rtl w:val="true"/>
        </w:rPr>
        <w:t xml:space="preserve">. </w:t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  <w:t>עולה כי לשני הנאשמים אין כל עבר פלילי</w:t>
      </w:r>
      <w:r>
        <w:rPr>
          <w:rtl w:val="true"/>
        </w:rPr>
        <w:t xml:space="preserve">. </w:t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  <w:t>הנאשם מס</w:t>
      </w:r>
      <w:r>
        <w:rPr>
          <w:rtl w:val="true"/>
        </w:rPr>
        <w:t xml:space="preserve">'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הינו בן כ</w:t>
      </w:r>
      <w:r>
        <w:rPr>
          <w:rtl w:val="true"/>
        </w:rPr>
        <w:t xml:space="preserve">- </w:t>
      </w:r>
      <w:r>
        <w:rPr/>
        <w:t>20</w:t>
      </w:r>
      <w:r>
        <w:rPr>
          <w:rtl w:val="true"/>
        </w:rPr>
        <w:t xml:space="preserve"> </w:t>
      </w:r>
      <w:r>
        <w:rPr>
          <w:rtl w:val="true"/>
        </w:rPr>
        <w:t>שנה</w:t>
      </w:r>
      <w:r>
        <w:rPr>
          <w:rtl w:val="true"/>
        </w:rPr>
        <w:t xml:space="preserve">, </w:t>
      </w:r>
      <w:r>
        <w:rPr>
          <w:rtl w:val="true"/>
        </w:rPr>
        <w:t>אשר מצא לנכון להתנדב לשירות סדיר בצה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אף שהינו פטור על רקע היותו בן העדה המוסלמית והוא ביצע את תפקידו במסגרת הצבא כדבעי והעבירות בוצעו על ידו עת היה בשירות סדיר בצה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. </w:t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  <w:t>גם הנאשם מס</w:t>
      </w:r>
      <w:r>
        <w:rPr>
          <w:rtl w:val="true"/>
        </w:rPr>
        <w:t xml:space="preserve">' </w:t>
      </w:r>
      <w:r>
        <w:rPr/>
        <w:t>2</w:t>
      </w:r>
      <w:r>
        <w:rPr>
          <w:rtl w:val="true"/>
        </w:rPr>
        <w:t xml:space="preserve">  </w:t>
      </w:r>
      <w:r>
        <w:rPr>
          <w:rtl w:val="true"/>
        </w:rPr>
        <w:t>שירת שירות קרבי בצה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בחטיבת גבעתי</w:t>
      </w:r>
      <w:r>
        <w:rPr>
          <w:rtl w:val="true"/>
        </w:rPr>
        <w:t xml:space="preserve">, </w:t>
      </w:r>
      <w:r>
        <w:rPr>
          <w:rtl w:val="true"/>
        </w:rPr>
        <w:t>שוחרר וכיום נמצא במערך המילואים של צה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. </w:t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  <w:t>שירות המבחן ציין כי התנדבותם של שני הנאשמים לשירות בצה</w:t>
      </w:r>
      <w:r>
        <w:rPr>
          <w:rtl w:val="true"/>
        </w:rPr>
        <w:t>"</w:t>
      </w:r>
      <w:r>
        <w:rPr>
          <w:rtl w:val="true"/>
        </w:rPr>
        <w:t>ל היתה לצנינים בעיני חלק לא מבוטל מבני כפרם</w:t>
      </w:r>
      <w:r>
        <w:rPr>
          <w:rtl w:val="true"/>
        </w:rPr>
        <w:t xml:space="preserve">, </w:t>
      </w:r>
      <w:r>
        <w:rPr>
          <w:rtl w:val="true"/>
        </w:rPr>
        <w:t>אשר שירותם בצה</w:t>
      </w:r>
      <w:r>
        <w:rPr>
          <w:rtl w:val="true"/>
        </w:rPr>
        <w:t>"</w:t>
      </w:r>
      <w:r>
        <w:rPr>
          <w:rtl w:val="true"/>
        </w:rPr>
        <w:t>ל לא מצא חן בעיניהם</w:t>
      </w:r>
      <w:r>
        <w:rPr>
          <w:rtl w:val="true"/>
        </w:rPr>
        <w:t xml:space="preserve">. </w:t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  <w:t>שירות המבחן ציין כי שני הנאשמים מקבלים אחריות מלאה על מעשיהם</w:t>
      </w:r>
      <w:r>
        <w:rPr>
          <w:rtl w:val="true"/>
        </w:rPr>
        <w:t xml:space="preserve">, </w:t>
      </w:r>
      <w:r>
        <w:rPr>
          <w:rtl w:val="true"/>
        </w:rPr>
        <w:t>מכירים בעובדה שעשו טעות ועליהם לשלם את הדין בגין כך וכי כעת כל רצונם להילחם על שמם הטוב ועל המשך דרכם הנורמטיבית</w:t>
      </w:r>
      <w:r>
        <w:rPr>
          <w:rtl w:val="true"/>
        </w:rPr>
        <w:t xml:space="preserve">. </w:t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  <w:t>שירות המבחן ציין לגבי שני הנאשמים שאין להם כל דפוסים עבריניים וכי רצונם להמשיך בחיים נורמטיביים</w:t>
      </w:r>
      <w:r>
        <w:rPr>
          <w:rtl w:val="true"/>
        </w:rPr>
        <w:t xml:space="preserve">. </w:t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  <w:t>שירות המבחן</w:t>
      </w:r>
      <w:r>
        <w:rPr>
          <w:rtl w:val="true"/>
        </w:rPr>
        <w:t xml:space="preserve">, </w:t>
      </w:r>
      <w:r>
        <w:rPr>
          <w:rtl w:val="true"/>
        </w:rPr>
        <w:t>לאור האמור בתסקירו</w:t>
      </w:r>
      <w:r>
        <w:rPr>
          <w:rtl w:val="true"/>
        </w:rPr>
        <w:t xml:space="preserve">, </w:t>
      </w:r>
      <w:r>
        <w:rPr>
          <w:rtl w:val="true"/>
        </w:rPr>
        <w:t>מצא לנכון להמליץ לא למצות את הדין עם הנאשמים</w:t>
      </w:r>
      <w:r>
        <w:rPr>
          <w:rtl w:val="true"/>
        </w:rPr>
        <w:t xml:space="preserve">, </w:t>
      </w:r>
      <w:r>
        <w:rPr>
          <w:rtl w:val="true"/>
        </w:rPr>
        <w:t>ולהטיל עליהם עבודות של</w:t>
      </w:r>
      <w:r>
        <w:rPr>
          <w:rtl w:val="true"/>
        </w:rPr>
        <w:t>"</w:t>
      </w:r>
      <w:r>
        <w:rPr>
          <w:rtl w:val="true"/>
        </w:rPr>
        <w:t>צ</w:t>
      </w:r>
      <w:r>
        <w:rPr>
          <w:rtl w:val="true"/>
        </w:rPr>
        <w:t xml:space="preserve">, </w:t>
      </w:r>
      <w:r>
        <w:rPr>
          <w:rtl w:val="true"/>
        </w:rPr>
        <w:t>מאסר על תנאי וכן קנס וכן קבע כי משלוחם לריצוי מאסר בפועל יש בו כדי לפגוע בהם ללא תקנה</w:t>
      </w:r>
      <w:r>
        <w:rPr>
          <w:rtl w:val="true"/>
        </w:rPr>
        <w:t xml:space="preserve">. </w:t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 המדינה ציינה את חומרת העבירות בהן הורשעו הנאשמים</w:t>
      </w:r>
      <w:r>
        <w:rPr>
          <w:rtl w:val="true"/>
        </w:rPr>
        <w:t xml:space="preserve">, </w:t>
      </w:r>
      <w:r>
        <w:rPr>
          <w:rtl w:val="true"/>
        </w:rPr>
        <w:t>הגישה אסופת פסיקה עפי</w:t>
      </w:r>
      <w:r>
        <w:rPr>
          <w:rtl w:val="true"/>
        </w:rPr>
        <w:t>"</w:t>
      </w:r>
      <w:r>
        <w:rPr>
          <w:rtl w:val="true"/>
        </w:rPr>
        <w:t>ה עבריינים שחטאו בעבירות נשק נשלחו לריצוי מאסר בפועל מאחורי סורג ובריח וביקשה להטיל על הנאשמים עונש מאסר בפועל ממושך</w:t>
      </w:r>
      <w:r>
        <w:rPr>
          <w:rtl w:val="true"/>
        </w:rPr>
        <w:t xml:space="preserve">, </w:t>
      </w:r>
      <w:r>
        <w:rPr>
          <w:rtl w:val="true"/>
        </w:rPr>
        <w:t>מאסר על תנאי וקנס</w:t>
      </w:r>
      <w:r>
        <w:rPr>
          <w:rtl w:val="true"/>
        </w:rPr>
        <w:t xml:space="preserve">, </w:t>
      </w:r>
      <w:r>
        <w:rPr>
          <w:rtl w:val="true"/>
        </w:rPr>
        <w:t>וזאת על מנת להרתיע אחרים מלבצע עבירות בהן הורשעו הנאשמים</w:t>
      </w:r>
      <w:r>
        <w:rPr>
          <w:rtl w:val="true"/>
        </w:rPr>
        <w:t xml:space="preserve">. </w:t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  <w:t>הסניגור מנגד ציין את עברם הנקי של הנאשמים</w:t>
      </w:r>
      <w:r>
        <w:rPr>
          <w:rtl w:val="true"/>
        </w:rPr>
        <w:t xml:space="preserve">, </w:t>
      </w:r>
      <w:r>
        <w:rPr>
          <w:rtl w:val="true"/>
        </w:rPr>
        <w:t>את התנדבותם לשירות בצה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אף כי היו פטורים מכך</w:t>
      </w:r>
      <w:r>
        <w:rPr>
          <w:rtl w:val="true"/>
        </w:rPr>
        <w:t xml:space="preserve">, </w:t>
      </w:r>
      <w:r>
        <w:rPr>
          <w:rtl w:val="true"/>
        </w:rPr>
        <w:t>את העובדה שהשירות בצבא הביא לשנאה מחלק מבני כפרם וכי ביצוע העבירות על ידם מקורו בעצם שירותם בצה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כאשר הם לא הפנימו כי עליהם להבדיל בין נשק שניתן להחזיקו כדין לבין תחמושת על רקע שירותם בצה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לבין נשק שאסור להם ליטול מצה</w:t>
      </w:r>
      <w:r>
        <w:rPr>
          <w:rtl w:val="true"/>
        </w:rPr>
        <w:t>"</w:t>
      </w:r>
      <w:r>
        <w:rPr>
          <w:rtl w:val="true"/>
        </w:rPr>
        <w:t>ל וכמובן אסור להם להחזיקו בביתם</w:t>
      </w:r>
      <w:r>
        <w:rPr>
          <w:rtl w:val="true"/>
        </w:rPr>
        <w:t xml:space="preserve">. </w:t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  <w:t>גם הסניגור מנגד הגיש אסופת פסיקה</w:t>
      </w:r>
      <w:r>
        <w:rPr>
          <w:rtl w:val="true"/>
        </w:rPr>
        <w:t xml:space="preserve">, </w:t>
      </w:r>
      <w:r>
        <w:rPr>
          <w:rtl w:val="true"/>
        </w:rPr>
        <w:t>על פיה בתי משפט במקרים דומים לא מיצו את הדין עם נאשמים שחטאו בעבירות נשק</w:t>
      </w:r>
      <w:r>
        <w:rPr>
          <w:rtl w:val="true"/>
        </w:rPr>
        <w:t>.</w:t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  <w:t>אכן עבירות של החזקת נשק שלא כדין הינן עבירות חמורות</w:t>
      </w:r>
      <w:r>
        <w:rPr>
          <w:rtl w:val="true"/>
        </w:rPr>
        <w:t xml:space="preserve">, </w:t>
      </w:r>
      <w:r>
        <w:rPr>
          <w:rtl w:val="true"/>
        </w:rPr>
        <w:t>שככלל מחייבות ענישה מרתיעה הכוללת בחובה גם אלמנט של עונש מאסר בפועל מאחורי סורג ובריח</w:t>
      </w:r>
      <w:r>
        <w:rPr>
          <w:rtl w:val="true"/>
        </w:rPr>
        <w:t xml:space="preserve">. </w:t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  <w:t>יחד עם זאת הענישה במדינתנו הינה ענישה אינדיבידואלית ובכל מקרה על ביהמ</w:t>
      </w:r>
      <w:r>
        <w:rPr>
          <w:rtl w:val="true"/>
        </w:rPr>
        <w:t>"</w:t>
      </w:r>
      <w:r>
        <w:rPr>
          <w:rtl w:val="true"/>
        </w:rPr>
        <w:t>ש לשים לנגד עיניו את כל תכליות הענישה</w:t>
      </w:r>
      <w:r>
        <w:rPr>
          <w:rtl w:val="true"/>
        </w:rPr>
        <w:t xml:space="preserve">, </w:t>
      </w:r>
      <w:r>
        <w:rPr>
          <w:rtl w:val="true"/>
        </w:rPr>
        <w:t>לרבות התכלית ההרתעתית כמו גם השיקומית והתגמולים</w:t>
      </w:r>
      <w:r>
        <w:rPr>
          <w:rtl w:val="true"/>
        </w:rPr>
        <w:t xml:space="preserve">. </w:t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  <w:t>אינני יכול להתעלם מכך כי אכן שני הנאשמים שירתו בצה</w:t>
      </w:r>
      <w:r>
        <w:rPr>
          <w:rtl w:val="true"/>
        </w:rPr>
        <w:t>"</w:t>
      </w:r>
      <w:r>
        <w:rPr>
          <w:rtl w:val="true"/>
        </w:rPr>
        <w:t>ל שירות סדיר וכי אין להם כל עבירות קודמות וכן כי עיקר אביזרי הנשק או התחמושת הינם כדורים או פצצות תאורה או רימן עשן מעוקב</w:t>
      </w:r>
      <w:r>
        <w:rPr>
          <w:rtl w:val="true"/>
        </w:rPr>
        <w:t xml:space="preserve">. </w:t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  <w:t>יש להבדיל בין מקרים של החזקת נשק ממש</w:t>
      </w:r>
      <w:r>
        <w:rPr>
          <w:rtl w:val="true"/>
        </w:rPr>
        <w:t xml:space="preserve">, </w:t>
      </w:r>
      <w:r>
        <w:rPr>
          <w:rtl w:val="true"/>
        </w:rPr>
        <w:t>כגון</w:t>
      </w:r>
      <w:r>
        <w:rPr>
          <w:rtl w:val="true"/>
        </w:rPr>
        <w:t xml:space="preserve">: </w:t>
      </w:r>
      <w:r>
        <w:rPr>
          <w:rtl w:val="true"/>
        </w:rPr>
        <w:t>אקדחים או נשק אוטומטי</w:t>
      </w:r>
      <w:r>
        <w:rPr>
          <w:rtl w:val="true"/>
        </w:rPr>
        <w:t xml:space="preserve">, </w:t>
      </w:r>
      <w:r>
        <w:rPr>
          <w:rtl w:val="true"/>
        </w:rPr>
        <w:t>שיש בהם כדי לגרום לענישה מרתיעה לבין החזקת אביזרי נשק או תחמושת</w:t>
      </w:r>
      <w:r>
        <w:rPr>
          <w:rtl w:val="true"/>
        </w:rPr>
        <w:t xml:space="preserve">, </w:t>
      </w:r>
      <w:r>
        <w:rPr>
          <w:rtl w:val="true"/>
        </w:rPr>
        <w:t>שאין בהם סכנה מיידית</w:t>
      </w:r>
      <w:r>
        <w:rPr>
          <w:rtl w:val="true"/>
        </w:rPr>
        <w:t xml:space="preserve">. </w:t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  <w:t>עברתי על אסופת הפסיקה שהוגשה על ידי ב</w:t>
      </w:r>
      <w:r>
        <w:rPr>
          <w:rtl w:val="true"/>
        </w:rPr>
        <w:t>"</w:t>
      </w:r>
      <w:r>
        <w:rPr>
          <w:rtl w:val="true"/>
        </w:rPr>
        <w:t>כ המאשימה ורובה ככולה מתייחסת לענישה בגין החזקת נשק של ממש וגם סחר בנשק</w:t>
      </w:r>
      <w:r>
        <w:rPr>
          <w:rtl w:val="true"/>
        </w:rPr>
        <w:t xml:space="preserve">. </w:t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  <w:t>הפסיקה שהוגשה על ידי הסניגור דיברה על הטלת עונשים שרוצו בעבודות שירות וגם שם הענישה התייחסה להחזקת נשק של ממש</w:t>
      </w:r>
      <w:r>
        <w:rPr>
          <w:rtl w:val="true"/>
        </w:rPr>
        <w:t xml:space="preserve">, </w:t>
      </w:r>
      <w:r>
        <w:rPr>
          <w:rtl w:val="true"/>
        </w:rPr>
        <w:t>כגון אקדחים או נשקים אוטומטיים אחרים</w:t>
      </w:r>
      <w:r>
        <w:rPr>
          <w:rtl w:val="true"/>
        </w:rPr>
        <w:t xml:space="preserve">. </w:t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  <w:t>הינני סבור כי בעניינם של הנאשמים יש לתת משקל לא מבוטל לאלמנט השיקומי ולבחרו על האלמנט ההרתעתי</w:t>
      </w:r>
      <w:r>
        <w:rPr>
          <w:rtl w:val="true"/>
        </w:rPr>
        <w:t xml:space="preserve">, </w:t>
      </w:r>
      <w:r>
        <w:rPr>
          <w:rtl w:val="true"/>
        </w:rPr>
        <w:t>זאת מבלי לפגוע בתכלית ההרתעתית שבדיני העונשין</w:t>
      </w:r>
      <w:r>
        <w:rPr>
          <w:rtl w:val="true"/>
        </w:rPr>
        <w:t>.</w:t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  <w:t>כן אקח בחשבון את העובדה כי הנאשמים ריצו תקופת מעצר לא מבוטלת וכי בהמשך היו במעצר בית לתקופה לא קצרה</w:t>
      </w:r>
      <w:r>
        <w:rPr>
          <w:rtl w:val="true"/>
        </w:rPr>
        <w:t xml:space="preserve">, </w:t>
      </w:r>
      <w:r>
        <w:rPr>
          <w:rtl w:val="true"/>
        </w:rPr>
        <w:t>אשר הקשתה גם עליהם וגם על בני משפחתם וגרמה לפגיעה לא מבוטלת בתעסוקתם ובאפשרויות הפרנסה על ידם</w:t>
      </w:r>
      <w:r>
        <w:rPr>
          <w:rtl w:val="true"/>
        </w:rPr>
        <w:t xml:space="preserve">. </w:t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  <w:t>בשכלול כל הנתונים</w:t>
      </w:r>
      <w:r>
        <w:rPr>
          <w:rtl w:val="true"/>
        </w:rPr>
        <w:t xml:space="preserve">, </w:t>
      </w:r>
      <w:r>
        <w:rPr>
          <w:rtl w:val="true"/>
        </w:rPr>
        <w:t>אני משית על הנאשמים את העונשים כדלקמן</w:t>
      </w:r>
      <w:r>
        <w:rPr>
          <w:rtl w:val="true"/>
        </w:rPr>
        <w:t>:</w:t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overflowPunct w:val="false"/>
        <w:autoSpaceDE w:val="false"/>
        <w:spacing w:lineRule="auto" w:line="360"/>
        <w:ind w:hanging="720" w:start="720" w:end="0"/>
        <w:jc w:val="both"/>
        <w:rPr/>
      </w:pPr>
      <w:r>
        <w:rPr>
          <w:rtl w:val="true"/>
        </w:rPr>
        <w:t>-</w:t>
        <w:tab/>
      </w:r>
      <w:r>
        <w:rPr>
          <w:rtl w:val="true"/>
        </w:rPr>
        <w:t>מאסר בפועל לתקופה של  חודש וחצי</w:t>
      </w:r>
      <w:r>
        <w:rPr>
          <w:rtl w:val="true"/>
        </w:rPr>
        <w:t xml:space="preserve">,  </w:t>
      </w:r>
      <w:r>
        <w:rPr>
          <w:rtl w:val="true"/>
        </w:rPr>
        <w:t xml:space="preserve">היא תקופת המעצר אותה ריצו הנאשמים בתקופה שמיום </w:t>
      </w:r>
      <w:r>
        <w:rPr/>
        <w:t>24/1/10</w:t>
      </w:r>
      <w:r>
        <w:rPr>
          <w:rtl w:val="true"/>
        </w:rPr>
        <w:t xml:space="preserve"> </w:t>
      </w:r>
      <w:r>
        <w:rPr>
          <w:rtl w:val="true"/>
        </w:rPr>
        <w:t xml:space="preserve">עד ליום </w:t>
      </w:r>
      <w:r>
        <w:rPr/>
        <w:t>9/3/10</w:t>
      </w:r>
      <w:r>
        <w:rPr>
          <w:rtl w:val="true"/>
        </w:rPr>
        <w:t xml:space="preserve">.  </w:t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  <w:t xml:space="preserve"> </w:t>
      </w:r>
    </w:p>
    <w:p>
      <w:pPr>
        <w:pStyle w:val="Normal"/>
        <w:overflowPunct w:val="false"/>
        <w:autoSpaceDE w:val="false"/>
        <w:spacing w:lineRule="auto" w:line="360"/>
        <w:ind w:hanging="720" w:start="720" w:end="0"/>
        <w:jc w:val="both"/>
        <w:rPr/>
      </w:pPr>
      <w:r>
        <w:rPr>
          <w:rtl w:val="true"/>
        </w:rPr>
        <w:t>-</w:t>
        <w:tab/>
      </w:r>
      <w:r>
        <w:rPr>
          <w:rtl w:val="true"/>
        </w:rPr>
        <w:t>מאסר</w:t>
      </w:r>
      <w:r>
        <w:rPr>
          <w:rtl w:val="true"/>
        </w:rPr>
        <w:t xml:space="preserve"> </w:t>
      </w:r>
      <w:r>
        <w:rPr>
          <w:rtl w:val="true"/>
        </w:rPr>
        <w:t>על</w:t>
      </w:r>
      <w:r>
        <w:rPr>
          <w:rtl w:val="true"/>
        </w:rPr>
        <w:t xml:space="preserve"> תנאי לתקופה של</w:t>
      </w:r>
      <w:r>
        <w:rPr>
          <w:rtl w:val="true"/>
        </w:rPr>
        <w:t xml:space="preserve"> </w:t>
      </w:r>
      <w:r>
        <w:rPr/>
        <w:t>8</w:t>
      </w:r>
      <w:r>
        <w:rPr>
          <w:rtl w:val="true"/>
        </w:rPr>
        <w:t xml:space="preserve"> </w:t>
      </w:r>
      <w:r>
        <w:rPr>
          <w:rtl w:val="true"/>
        </w:rPr>
        <w:t>חודשים</w:t>
      </w:r>
      <w:r>
        <w:rPr>
          <w:rtl w:val="true"/>
        </w:rPr>
        <w:t xml:space="preserve"> למשך</w:t>
      </w:r>
      <w:r>
        <w:rPr>
          <w:rtl w:val="true"/>
        </w:rPr>
        <w:t xml:space="preserve">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שנים</w:t>
      </w:r>
      <w:r>
        <w:rPr>
          <w:rtl w:val="true"/>
        </w:rPr>
        <w:t xml:space="preserve"> מהיום</w:t>
      </w:r>
      <w:r>
        <w:rPr>
          <w:rtl w:val="true"/>
        </w:rPr>
        <w:t xml:space="preserve">, </w:t>
      </w:r>
      <w:r>
        <w:rPr>
          <w:rtl w:val="true"/>
        </w:rPr>
        <w:t xml:space="preserve">והתנאי הוא כי הנאשמים לא </w:t>
      </w:r>
      <w:r>
        <w:rPr>
          <w:rtl w:val="true"/>
        </w:rPr>
        <w:t>יעברו</w:t>
      </w:r>
      <w:r>
        <w:rPr>
          <w:rtl w:val="true"/>
        </w:rPr>
        <w:t xml:space="preserve"> בתקופה זאת </w:t>
      </w:r>
      <w:r>
        <w:rPr>
          <w:rtl w:val="true"/>
        </w:rPr>
        <w:t xml:space="preserve">באחת מהעבירות בהן הורשעו </w:t>
      </w:r>
      <w:r>
        <w:rPr>
          <w:rtl w:val="true"/>
        </w:rPr>
        <w:t xml:space="preserve"> בתיק זה</w:t>
      </w:r>
      <w:r>
        <w:rPr>
          <w:rtl w:val="true"/>
        </w:rPr>
        <w:t xml:space="preserve">, </w:t>
      </w:r>
      <w:r>
        <w:rPr>
          <w:rtl w:val="true"/>
        </w:rPr>
        <w:t>ויורשעו עליה בדין</w:t>
      </w:r>
      <w:r>
        <w:rPr>
          <w:rtl w:val="true"/>
        </w:rPr>
        <w:t xml:space="preserve">. </w:t>
      </w:r>
    </w:p>
    <w:p>
      <w:pPr>
        <w:pStyle w:val="Normal"/>
        <w:overflowPunct w:val="false"/>
        <w:autoSpaceDE w:val="false"/>
        <w:spacing w:lineRule="auto" w:line="360"/>
        <w:ind w:hanging="720" w:start="720" w:end="0"/>
        <w:jc w:val="both"/>
        <w:rPr/>
      </w:pPr>
      <w:r>
        <w:rPr>
          <w:rtl w:val="true"/>
        </w:rPr>
      </w:r>
    </w:p>
    <w:p>
      <w:pPr>
        <w:pStyle w:val="Normal"/>
        <w:overflowPunct w:val="false"/>
        <w:autoSpaceDE w:val="false"/>
        <w:spacing w:lineRule="auto" w:line="360"/>
        <w:ind w:hanging="720" w:start="720" w:end="0"/>
        <w:jc w:val="both"/>
        <w:rPr/>
      </w:pPr>
      <w:r>
        <w:rPr>
          <w:rtl w:val="true"/>
        </w:rPr>
        <w:t>-</w:t>
        <w:tab/>
      </w:r>
      <w:r>
        <w:rPr>
          <w:rtl w:val="true"/>
        </w:rPr>
        <w:t xml:space="preserve">אני מחייב כל אחד מהנאשמים לבצע </w:t>
      </w:r>
      <w:r>
        <w:rPr/>
        <w:t>200</w:t>
      </w:r>
      <w:r>
        <w:rPr>
          <w:rtl w:val="true"/>
        </w:rPr>
        <w:t xml:space="preserve"> </w:t>
      </w:r>
      <w:r>
        <w:rPr>
          <w:rtl w:val="true"/>
        </w:rPr>
        <w:t>שעות של</w:t>
      </w:r>
      <w:r>
        <w:rPr>
          <w:rtl w:val="true"/>
        </w:rPr>
        <w:t>"</w:t>
      </w:r>
      <w:r>
        <w:rPr>
          <w:rtl w:val="true"/>
        </w:rPr>
        <w:t>צ</w:t>
      </w:r>
      <w:r>
        <w:rPr>
          <w:rtl w:val="true"/>
        </w:rPr>
        <w:t xml:space="preserve">, </w:t>
      </w:r>
      <w:r>
        <w:rPr>
          <w:rtl w:val="true"/>
        </w:rPr>
        <w:t>עפ</w:t>
      </w:r>
      <w:r>
        <w:rPr>
          <w:rtl w:val="true"/>
        </w:rPr>
        <w:t>"</w:t>
      </w:r>
      <w:r>
        <w:rPr>
          <w:rtl w:val="true"/>
        </w:rPr>
        <w:t>י תוכנית שתוכן על ידי שירות המבחן</w:t>
      </w:r>
      <w:r>
        <w:rPr>
          <w:rtl w:val="true"/>
        </w:rPr>
        <w:t xml:space="preserve">, </w:t>
      </w:r>
      <w:r>
        <w:rPr>
          <w:rtl w:val="true"/>
        </w:rPr>
        <w:t>כאשר שירות המבחן יפקח ויוודא את ביצוע עבודות השל</w:t>
      </w:r>
      <w:r>
        <w:rPr>
          <w:rtl w:val="true"/>
        </w:rPr>
        <w:t>"</w:t>
      </w:r>
      <w:r>
        <w:rPr>
          <w:rtl w:val="true"/>
        </w:rPr>
        <w:t>צ על ידי הנאשמים ויגיש דו</w:t>
      </w:r>
      <w:r>
        <w:rPr>
          <w:rtl w:val="true"/>
        </w:rPr>
        <w:t>"</w:t>
      </w:r>
      <w:r>
        <w:rPr>
          <w:rtl w:val="true"/>
        </w:rPr>
        <w:t>ח מסכם עם תום ריצוי עבודות השל</w:t>
      </w:r>
      <w:r>
        <w:rPr>
          <w:rtl w:val="true"/>
        </w:rPr>
        <w:t>"</w:t>
      </w:r>
      <w:r>
        <w:rPr>
          <w:rtl w:val="true"/>
        </w:rPr>
        <w:t>צ על ידם</w:t>
      </w:r>
      <w:r>
        <w:rPr>
          <w:rtl w:val="true"/>
        </w:rPr>
        <w:t xml:space="preserve">. </w:t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  <w:t xml:space="preserve"> </w:t>
      </w:r>
    </w:p>
    <w:p>
      <w:pPr>
        <w:pStyle w:val="Normal"/>
        <w:overflowPunct w:val="false"/>
        <w:autoSpaceDE w:val="false"/>
        <w:spacing w:lineRule="auto" w:line="360"/>
        <w:ind w:hanging="720" w:start="720" w:end="0"/>
        <w:jc w:val="both"/>
        <w:rPr/>
      </w:pPr>
      <w:r>
        <w:rPr>
          <w:rtl w:val="true"/>
        </w:rPr>
        <w:t>-</w:t>
        <w:tab/>
      </w:r>
      <w:r>
        <w:rPr>
          <w:rtl w:val="true"/>
        </w:rPr>
        <w:t>כן מטיל על הנאשם מס</w:t>
      </w:r>
      <w:r>
        <w:rPr>
          <w:rtl w:val="true"/>
        </w:rPr>
        <w:t xml:space="preserve">'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 xml:space="preserve">קנס בסך של </w:t>
      </w:r>
      <w:r>
        <w:rPr/>
        <w:t>2,500</w:t>
      </w:r>
      <w:r>
        <w:rPr>
          <w:rtl w:val="true"/>
        </w:rPr>
        <w:t xml:space="preserve"> 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 xml:space="preserve">ח או </w:t>
      </w:r>
      <w:r>
        <w:rPr/>
        <w:t>25</w:t>
      </w:r>
      <w:r>
        <w:rPr>
          <w:rtl w:val="true"/>
        </w:rPr>
        <w:t xml:space="preserve"> </w:t>
      </w:r>
      <w:r>
        <w:rPr>
          <w:rtl w:val="true"/>
        </w:rPr>
        <w:t>ימי מאסר תחתיו</w:t>
      </w:r>
      <w:r>
        <w:rPr>
          <w:rtl w:val="true"/>
        </w:rPr>
        <w:t xml:space="preserve">. </w:t>
      </w:r>
      <w:r>
        <w:rPr>
          <w:rtl w:val="true"/>
        </w:rPr>
        <w:t>הקנס ישולם על ידי הנאשם ב</w:t>
      </w:r>
      <w:r>
        <w:rPr>
          <w:rtl w:val="true"/>
        </w:rPr>
        <w:t xml:space="preserve">- 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 xml:space="preserve">תשלומים חודשיים שווים ורצופים החל מיום </w:t>
      </w:r>
      <w:r>
        <w:rPr/>
        <w:t>10/1/11</w:t>
      </w:r>
      <w:r>
        <w:rPr>
          <w:rtl w:val="true"/>
        </w:rPr>
        <w:t xml:space="preserve"> </w:t>
      </w:r>
      <w:r>
        <w:rPr>
          <w:rtl w:val="true"/>
        </w:rPr>
        <w:t xml:space="preserve">ובכל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לחודש שלאחריו</w:t>
      </w:r>
      <w:r>
        <w:rPr>
          <w:rtl w:val="true"/>
        </w:rPr>
        <w:t xml:space="preserve">. </w:t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  <w:t>בשולי גזר הדין לא אוכל שלא להתייחס לעניין המשך שירותו הצבאי של הנאשם מס</w:t>
      </w:r>
      <w:r>
        <w:rPr>
          <w:rtl w:val="true"/>
        </w:rPr>
        <w:t xml:space="preserve">'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בשירות סדיר בצה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. </w:t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  <w:t>הבנתי כי שירותו הסדיר של הנאשם מס</w:t>
      </w:r>
      <w:r>
        <w:rPr>
          <w:rtl w:val="true"/>
        </w:rPr>
        <w:t xml:space="preserve">'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הופסק ונדחה על ידי רשויות הצבא</w:t>
      </w:r>
      <w:r>
        <w:rPr>
          <w:rtl w:val="true"/>
        </w:rPr>
        <w:t xml:space="preserve">, </w:t>
      </w:r>
      <w:r>
        <w:rPr>
          <w:rtl w:val="true"/>
        </w:rPr>
        <w:t>זאת על מנת לראות את תוצאות ההליך הפלילי שננקט נגדו במסגרת תיק זה</w:t>
      </w:r>
      <w:r>
        <w:rPr>
          <w:rtl w:val="true"/>
        </w:rPr>
        <w:t xml:space="preserve">. </w:t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  <w:t>לאור התרשמותי מהנאשם מס</w:t>
      </w:r>
      <w:r>
        <w:rPr>
          <w:rtl w:val="true"/>
        </w:rPr>
        <w:t xml:space="preserve">' </w:t>
      </w:r>
      <w:r>
        <w:rPr/>
        <w:t>1</w:t>
      </w:r>
      <w:r>
        <w:rPr>
          <w:rtl w:val="true"/>
        </w:rPr>
        <w:t xml:space="preserve">, </w:t>
      </w:r>
      <w:r>
        <w:rPr>
          <w:rtl w:val="true"/>
        </w:rPr>
        <w:t>כמו גם ממשפחתו</w:t>
      </w:r>
      <w:r>
        <w:rPr>
          <w:rtl w:val="true"/>
        </w:rPr>
        <w:t xml:space="preserve">, </w:t>
      </w:r>
      <w:r>
        <w:rPr>
          <w:rtl w:val="true"/>
        </w:rPr>
        <w:t>אשר ליוותה אותו לאורך כל הדיונים</w:t>
      </w:r>
      <w:r>
        <w:rPr>
          <w:rtl w:val="true"/>
        </w:rPr>
        <w:t xml:space="preserve">, </w:t>
      </w:r>
      <w:r>
        <w:rPr>
          <w:rtl w:val="true"/>
        </w:rPr>
        <w:t>כמו גם האמור בתסקיר שירות המבחן לגביו</w:t>
      </w:r>
      <w:r>
        <w:rPr>
          <w:rtl w:val="true"/>
        </w:rPr>
        <w:t xml:space="preserve">, </w:t>
      </w:r>
      <w:r>
        <w:rPr>
          <w:rtl w:val="true"/>
        </w:rPr>
        <w:t>כמו גם הכרתי לאוכלוסיה ולמגזר אשר עליו נמנה הנאשם מס</w:t>
      </w:r>
      <w:r>
        <w:rPr>
          <w:rtl w:val="true"/>
        </w:rPr>
        <w:t xml:space="preserve">' </w:t>
      </w:r>
      <w:r>
        <w:rPr/>
        <w:t>1</w:t>
      </w:r>
      <w:r>
        <w:rPr>
          <w:rtl w:val="true"/>
        </w:rPr>
        <w:t xml:space="preserve">, </w:t>
      </w:r>
      <w:r>
        <w:rPr>
          <w:rtl w:val="true"/>
        </w:rPr>
        <w:t>אין לי אלא להמליץ בפני רשויות הצבא לאפשר המשך שירותו של הנאשם מס</w:t>
      </w:r>
      <w:r>
        <w:rPr>
          <w:rtl w:val="true"/>
        </w:rPr>
        <w:t xml:space="preserve">'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בצה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תוך תקווה כי אכן ימלא שארית שירותו הסדיר נאמנה וללא כל תקלות</w:t>
      </w:r>
      <w:r>
        <w:rPr>
          <w:rtl w:val="true"/>
        </w:rPr>
        <w:t xml:space="preserve">, </w:t>
      </w:r>
      <w:r>
        <w:rPr>
          <w:rtl w:val="true"/>
        </w:rPr>
        <w:t>כאשר חרטתו כפי שהובעה בפניי הינה חרטה אמיתית ויש מקום לקבלה</w:t>
      </w:r>
      <w:r>
        <w:rPr>
          <w:rtl w:val="true"/>
        </w:rPr>
        <w:t xml:space="preserve">. </w:t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  <w:t>בהחלט ניתן לראות במעידתו במסגרת תיק זה כמעידה חד פעמית</w:t>
      </w:r>
      <w:r>
        <w:rPr>
          <w:rtl w:val="true"/>
        </w:rPr>
        <w:t xml:space="preserve">, </w:t>
      </w:r>
      <w:r>
        <w:rPr>
          <w:rtl w:val="true"/>
        </w:rPr>
        <w:t>שלא תחזור על עצמה</w:t>
      </w:r>
      <w:r>
        <w:rPr>
          <w:rtl w:val="true"/>
        </w:rPr>
        <w:t xml:space="preserve">. </w:t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  <w:t>מורה על השמדת  המוצגים</w:t>
      </w:r>
      <w:r>
        <w:rPr>
          <w:rtl w:val="true"/>
        </w:rPr>
        <w:t xml:space="preserve">, </w:t>
      </w:r>
      <w:r>
        <w:rPr>
          <w:rtl w:val="true"/>
        </w:rPr>
        <w:t>שעניינם נשקים או תחמושת או אביזרי נשק ו</w:t>
      </w:r>
      <w:r>
        <w:rPr>
          <w:rtl w:val="true"/>
        </w:rPr>
        <w:t>/</w:t>
      </w:r>
      <w:r>
        <w:rPr>
          <w:rtl w:val="true"/>
        </w:rPr>
        <w:t>או על החזרתם לרשויות הצבא</w:t>
      </w:r>
      <w:r>
        <w:rPr>
          <w:rtl w:val="true"/>
        </w:rPr>
        <w:t xml:space="preserve">, </w:t>
      </w:r>
      <w:r>
        <w:rPr>
          <w:rtl w:val="true"/>
        </w:rPr>
        <w:t>הכול לפי שיקול דעת ב</w:t>
      </w:r>
      <w:r>
        <w:rPr>
          <w:rtl w:val="true"/>
        </w:rPr>
        <w:t>"</w:t>
      </w:r>
      <w:r>
        <w:rPr>
          <w:rtl w:val="true"/>
        </w:rPr>
        <w:t>כ המאשימה</w:t>
      </w:r>
      <w:r>
        <w:rPr>
          <w:rtl w:val="true"/>
        </w:rPr>
        <w:t xml:space="preserve">. </w:t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  <w:t xml:space="preserve"> </w:t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/>
      </w:pPr>
      <w:r>
        <w:rPr>
          <w:rtl w:val="true"/>
        </w:rPr>
        <w:t>זכות</w:t>
      </w:r>
      <w:r>
        <w:rPr>
          <w:rtl w:val="true"/>
        </w:rPr>
        <w:t xml:space="preserve"> </w:t>
      </w:r>
      <w:r>
        <w:rPr>
          <w:rtl w:val="true"/>
        </w:rPr>
        <w:t>ערעור</w:t>
      </w:r>
      <w:r>
        <w:rPr>
          <w:rtl w:val="true"/>
        </w:rPr>
        <w:t xml:space="preserve"> תוך </w:t>
      </w:r>
      <w:r>
        <w:rPr/>
        <w:t>45</w:t>
      </w:r>
      <w:r>
        <w:rPr>
          <w:rtl w:val="true"/>
        </w:rPr>
        <w:t xml:space="preserve"> </w:t>
      </w:r>
      <w:r>
        <w:rPr>
          <w:rtl w:val="true"/>
        </w:rPr>
        <w:t>יום מהיום</w:t>
      </w:r>
      <w:r>
        <w:rPr>
          <w:rtl w:val="true"/>
        </w:rPr>
        <w:t xml:space="preserve">. </w:t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>
          <w:sz w:val="6"/>
          <w:szCs w:val="6"/>
        </w:rPr>
      </w:pPr>
      <w:r>
        <w:rPr>
          <w:sz w:val="6"/>
          <w:szCs w:val="6"/>
          <w:rtl w:val="true"/>
        </w:rPr>
        <w:t>&lt;</w:t>
      </w:r>
      <w:r>
        <w:rPr>
          <w:sz w:val="6"/>
          <w:szCs w:val="6"/>
        </w:rPr>
        <w:t>#4#</w:t>
      </w:r>
      <w:r>
        <w:rPr>
          <w:sz w:val="6"/>
          <w:szCs w:val="6"/>
          <w:rtl w:val="true"/>
        </w:rPr>
        <w:t>&gt;</w:t>
      </w:r>
    </w:p>
    <w:p>
      <w:pPr>
        <w:pStyle w:val="Normal"/>
        <w:ind w:end="0"/>
        <w:jc w:val="end"/>
        <w:rPr>
          <w:color w:val="FFFFFF"/>
          <w:sz w:val="2"/>
          <w:szCs w:val="2"/>
        </w:rPr>
      </w:pPr>
      <w:r>
        <w:rPr>
          <w:color w:val="FFFFFF"/>
          <w:sz w:val="2"/>
          <w:szCs w:val="2"/>
          <w:rtl w:val="true"/>
        </w:rPr>
      </w:r>
    </w:p>
    <w:p>
      <w:pPr>
        <w:pStyle w:val="Normal"/>
        <w:ind w:end="0"/>
        <w:jc w:val="end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p>
      <w:pPr>
        <w:pStyle w:val="Normal"/>
        <w:keepNext w:val="true"/>
        <w:ind w:end="0"/>
        <w:jc w:val="star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rtl w:val="true"/>
        </w:rPr>
      </w:r>
    </w:p>
    <w:p>
      <w:pPr>
        <w:pStyle w:val="Normal"/>
        <w:keepNext w:val="true"/>
        <w:ind w:end="0"/>
        <w:jc w:val="star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rtl w:val="true"/>
        </w:rPr>
      </w:r>
    </w:p>
    <w:p>
      <w:pPr>
        <w:pStyle w:val="Normal"/>
        <w:keepNext w:val="true"/>
        <w:ind w:end="0"/>
        <w:jc w:val="start"/>
        <w:rPr>
          <w:color w:val="000000"/>
          <w:sz w:val="22"/>
          <w:szCs w:val="22"/>
        </w:rPr>
      </w:pPr>
      <w:r>
        <w:rPr>
          <w:color w:val="000000"/>
          <w:sz w:val="22"/>
          <w:sz w:val="22"/>
          <w:szCs w:val="22"/>
          <w:rtl w:val="true"/>
        </w:rPr>
        <w:t xml:space="preserve">זיאד סלאח </w:t>
      </w:r>
      <w:r>
        <w:rPr>
          <w:color w:val="000000"/>
          <w:sz w:val="22"/>
          <w:szCs w:val="22"/>
        </w:rPr>
        <w:t>54678313</w:t>
      </w:r>
      <w:r>
        <w:rPr>
          <w:color w:val="000000"/>
          <w:sz w:val="22"/>
          <w:szCs w:val="22"/>
          <w:rtl w:val="true"/>
        </w:rPr>
        <w:t>-/</w:t>
      </w:r>
    </w:p>
    <w:p>
      <w:pPr>
        <w:pStyle w:val="Normal"/>
        <w:ind w:end="0"/>
        <w:jc w:val="end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54678313</w:t>
      </w:r>
    </w:p>
    <w:tbl>
      <w:tblPr>
        <w:bidiVisual w:val="true"/>
        <w:tblW w:w="370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08"/>
      </w:tblGrid>
      <w:tr>
        <w:trPr>
          <w:trHeight w:val="364" w:hRule="atLeast"/>
        </w:trPr>
        <w:tc>
          <w:tcPr>
            <w:tcW w:w="3708" w:type="dxa"/>
            <w:tcBorders>
              <w:bottom w:val="single" w:sz="4" w:space="0" w:color="000000"/>
            </w:tcBorders>
          </w:tcPr>
          <w:p>
            <w:pPr>
              <w:pStyle w:val="Normal"/>
              <w:ind w:end="0"/>
              <w:jc w:val="center"/>
              <w:rPr/>
            </w:pPr>
            <w:r>
              <w:rPr>
                <w:b/>
                <w:b/>
                <w:bCs/>
                <w:rtl w:val="true"/>
              </w:rPr>
              <w:t>ניתנה והודעה היום ז</w:t>
            </w:r>
            <w:r>
              <w:rPr>
                <w:b/>
                <w:bCs/>
                <w:rtl w:val="true"/>
              </w:rPr>
              <w:t xml:space="preserve">' </w:t>
            </w:r>
            <w:r>
              <w:rPr>
                <w:b/>
                <w:b/>
                <w:bCs/>
                <w:rtl w:val="true"/>
              </w:rPr>
              <w:t>טבת תשע</w:t>
            </w:r>
            <w:r>
              <w:rPr>
                <w:b/>
                <w:bCs/>
                <w:rtl w:val="true"/>
              </w:rPr>
              <w:t>"</w:t>
            </w:r>
            <w:r>
              <w:rPr>
                <w:b/>
                <w:b/>
                <w:bCs/>
                <w:rtl w:val="true"/>
              </w:rPr>
              <w:t>א</w:t>
            </w:r>
            <w:r>
              <w:rPr>
                <w:b/>
                <w:bCs/>
                <w:rtl w:val="true"/>
              </w:rPr>
              <w:t xml:space="preserve">, </w:t>
            </w:r>
            <w:r>
              <w:rPr>
                <w:b/>
                <w:bCs/>
              </w:rPr>
              <w:t>14/12/2010</w:t>
            </w:r>
            <w:r>
              <w:rPr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במעמד הנוכחים</w:t>
            </w:r>
            <w:r>
              <w:rPr>
                <w:b/>
                <w:bCs/>
                <w:rtl w:val="true"/>
              </w:rPr>
              <w:t xml:space="preserve">.  </w:t>
            </w:r>
          </w:p>
        </w:tc>
      </w:tr>
      <w:tr>
        <w:trPr>
          <w:trHeight w:val="415" w:hRule="atLeast"/>
        </w:trPr>
        <w:tc>
          <w:tcPr>
            <w:tcW w:w="3708" w:type="dxa"/>
            <w:tcBorders>
              <w:top w:val="single" w:sz="4" w:space="0" w:color="000000"/>
            </w:tcBorders>
          </w:tcPr>
          <w:p>
            <w:pPr>
              <w:pStyle w:val="Normal"/>
              <w:ind w:end="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זיאד</w:t>
            </w:r>
            <w:r>
              <w:rPr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סלאח</w:t>
            </w:r>
            <w:r>
              <w:rPr>
                <w:b/>
                <w:bCs/>
                <w:rtl w:val="true"/>
              </w:rPr>
              <w:t xml:space="preserve">, </w:t>
            </w:r>
            <w:r>
              <w:rPr>
                <w:b/>
                <w:b/>
                <w:bCs/>
                <w:rtl w:val="true"/>
              </w:rPr>
              <w:t>שופט</w:t>
            </w:r>
          </w:p>
        </w:tc>
      </w:tr>
    </w:tbl>
    <w:p>
      <w:pPr>
        <w:pStyle w:val="Normal"/>
        <w:ind w:end="0"/>
        <w:jc w:val="end"/>
        <w:rPr/>
      </w:pPr>
      <w:r>
        <w:rPr>
          <w:rtl w:val="true"/>
        </w:rPr>
      </w:r>
    </w:p>
    <w:p>
      <w:pPr>
        <w:pStyle w:val="Normal"/>
        <w:overflowPunct w:val="false"/>
        <w:autoSpaceDE w:val="false"/>
        <w:spacing w:lineRule="auto" w:line="360"/>
        <w:ind w:end="0"/>
        <w:jc w:val="both"/>
        <w:rPr>
          <w:b/>
          <w:bCs/>
        </w:rPr>
      </w:pPr>
      <w:r>
        <w:rPr>
          <w:b/>
          <w:b/>
          <w:bCs/>
          <w:rtl w:val="true"/>
        </w:rPr>
        <w:t>למזכירות</w:t>
      </w:r>
      <w:r>
        <w:rPr>
          <w:b/>
          <w:bCs/>
          <w:rtl w:val="true"/>
        </w:rPr>
        <w:t>:</w:t>
      </w:r>
    </w:p>
    <w:p>
      <w:pPr>
        <w:pStyle w:val="Normal"/>
        <w:spacing w:lineRule="auto" w:line="360"/>
        <w:ind w:end="0"/>
        <w:jc w:val="both"/>
        <w:rPr>
          <w:b/>
          <w:bCs/>
          <w:color w:val="FFFFFF"/>
          <w:sz w:val="2"/>
          <w:szCs w:val="2"/>
        </w:rPr>
      </w:pPr>
      <w:r>
        <w:rPr>
          <w:b/>
          <w:bCs/>
          <w:color w:val="FFFFFF"/>
          <w:sz w:val="2"/>
          <w:szCs w:val="2"/>
          <w:rtl w:val="true"/>
        </w:rPr>
      </w:r>
    </w:p>
    <w:p>
      <w:pPr>
        <w:pStyle w:val="Normal"/>
        <w:spacing w:lineRule="auto" w:line="360"/>
        <w:ind w:end="0"/>
        <w:jc w:val="both"/>
        <w:rPr>
          <w:b/>
          <w:bCs/>
          <w:color w:val="FFFFFF"/>
          <w:sz w:val="2"/>
          <w:szCs w:val="2"/>
        </w:rPr>
      </w:pPr>
      <w:r>
        <w:rPr>
          <w:b/>
          <w:bCs/>
          <w:color w:val="FFFFFF"/>
          <w:sz w:val="2"/>
          <w:szCs w:val="2"/>
        </w:rPr>
        <w:t>5129371</w:t>
      </w:r>
    </w:p>
    <w:p>
      <w:pPr>
        <w:pStyle w:val="Normal"/>
        <w:spacing w:lineRule="auto" w:line="360"/>
        <w:ind w:end="0"/>
        <w:jc w:val="both"/>
        <w:rPr/>
      </w:pPr>
      <w:r>
        <w:rPr>
          <w:b/>
          <w:bCs/>
          <w:color w:val="FFFFFF"/>
          <w:sz w:val="2"/>
          <w:szCs w:val="2"/>
        </w:rPr>
        <w:t>54678313</w:t>
      </w:r>
      <w:r>
        <w:rPr>
          <w:b/>
          <w:b/>
          <w:bCs/>
          <w:rtl w:val="true"/>
        </w:rPr>
        <w:t>יש לסרוק מוצגים שהוגשו במסגרת ישיבת היום</w:t>
      </w:r>
      <w:r>
        <w:rPr>
          <w:b/>
          <w:bCs/>
          <w:rtl w:val="true"/>
        </w:rPr>
        <w:t xml:space="preserve">.  </w:t>
      </w:r>
    </w:p>
    <w:p>
      <w:pPr>
        <w:pStyle w:val="Normal"/>
        <w:spacing w:lineRule="auto" w:line="360"/>
        <w:ind w:end="0"/>
        <w:jc w:val="both"/>
        <w:rPr>
          <w:b/>
          <w:bCs/>
        </w:rPr>
      </w:pPr>
      <w:r>
        <w:rPr>
          <w:b/>
          <w:b/>
          <w:bCs/>
          <w:rtl w:val="true"/>
        </w:rPr>
        <w:t>כן המזכירות תמציא העתק הפרוטוקול לשירות המבחן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אשר יכין תוכנית של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צ לגבי הנאשמים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יגישנה לביהמ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ש וכן יפקח ויוודא ביצועה על ידי שני הנאשמים</w:t>
      </w:r>
      <w:r>
        <w:rPr>
          <w:b/>
          <w:bCs/>
          <w:rtl w:val="true"/>
        </w:rPr>
        <w:t xml:space="preserve">. </w:t>
      </w:r>
    </w:p>
    <w:p>
      <w:pPr>
        <w:pStyle w:val="Normal"/>
        <w:ind w:end="0"/>
        <w:jc w:val="start"/>
        <w:rPr>
          <w:rFonts w:cs="FrankRuehl"/>
          <w:sz w:val="28"/>
          <w:szCs w:val="28"/>
        </w:rPr>
      </w:pPr>
      <w:r>
        <w:rPr>
          <w:rFonts w:ascii="Arial" w:hAnsi="Arial" w:cs="FrankRuehl"/>
          <w:sz w:val="28"/>
          <w:sz w:val="28"/>
          <w:szCs w:val="28"/>
          <w:rtl w:val="true"/>
        </w:rPr>
        <w:t>הוקלד</w:t>
      </w:r>
      <w:r>
        <w:rPr>
          <w:rFonts w:ascii="Arial" w:hAnsi="Arial" w:eastAsia="Arial" w:cs="Arial"/>
          <w:sz w:val="28"/>
          <w:sz w:val="28"/>
          <w:szCs w:val="28"/>
          <w:rtl w:val="true"/>
        </w:rPr>
        <w:t xml:space="preserve"> </w:t>
      </w:r>
      <w:r>
        <w:rPr>
          <w:rFonts w:ascii="Arial" w:hAnsi="Arial" w:cs="FrankRuehl"/>
          <w:sz w:val="28"/>
          <w:sz w:val="28"/>
          <w:szCs w:val="28"/>
          <w:rtl w:val="true"/>
        </w:rPr>
        <w:t>על</w:t>
      </w:r>
      <w:r>
        <w:rPr>
          <w:rFonts w:ascii="Arial" w:hAnsi="Arial" w:eastAsia="Arial" w:cs="Arial"/>
          <w:sz w:val="28"/>
          <w:sz w:val="28"/>
          <w:szCs w:val="28"/>
          <w:rtl w:val="true"/>
        </w:rPr>
        <w:t xml:space="preserve"> </w:t>
      </w:r>
      <w:r>
        <w:rPr>
          <w:rFonts w:ascii="Arial" w:hAnsi="Arial" w:cs="FrankRuehl"/>
          <w:sz w:val="28"/>
          <w:sz w:val="28"/>
          <w:szCs w:val="28"/>
          <w:rtl w:val="true"/>
        </w:rPr>
        <w:t>ידי</w:t>
      </w:r>
      <w:r>
        <w:rPr>
          <w:rFonts w:cs="FrankRuehl" w:ascii="Arial" w:hAnsi="Arial"/>
          <w:sz w:val="28"/>
          <w:szCs w:val="28"/>
          <w:rtl w:val="true"/>
        </w:rPr>
        <w:t xml:space="preserve">: </w:t>
      </w:r>
      <w:r>
        <w:rPr>
          <w:rFonts w:ascii="Arial" w:hAnsi="Arial" w:cs="FrankRuehl"/>
          <w:sz w:val="28"/>
          <w:sz w:val="28"/>
          <w:szCs w:val="28"/>
          <w:rtl w:val="true"/>
        </w:rPr>
        <w:t>ליזה</w:t>
      </w:r>
      <w:r>
        <w:rPr>
          <w:rFonts w:ascii="Arial" w:hAnsi="Arial" w:eastAsia="Arial" w:cs="Arial"/>
          <w:sz w:val="28"/>
          <w:sz w:val="28"/>
          <w:szCs w:val="28"/>
          <w:rtl w:val="true"/>
        </w:rPr>
        <w:t xml:space="preserve"> </w:t>
      </w:r>
      <w:r>
        <w:rPr>
          <w:rFonts w:ascii="Arial" w:hAnsi="Arial" w:cs="FrankRuehl"/>
          <w:sz w:val="28"/>
          <w:sz w:val="28"/>
          <w:szCs w:val="28"/>
          <w:rtl w:val="true"/>
        </w:rPr>
        <w:t>אהרוני</w:t>
      </w:r>
    </w:p>
    <w:p>
      <w:pPr>
        <w:pStyle w:val="Normal"/>
        <w:ind w:end="0"/>
        <w:jc w:val="start"/>
        <w:rPr>
          <w:color w:val="000000"/>
        </w:rPr>
      </w:pPr>
      <w:r>
        <w:rPr>
          <w:color w:val="000000"/>
          <w:rtl w:val="true"/>
        </w:rPr>
        <w:t>נוסח מסמך זה כפוף לשינויי ניסוח ועריכה</w:t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center"/>
        <w:rPr>
          <w:color w:val="0000FF"/>
          <w:u w:val="single"/>
        </w:rPr>
      </w:pPr>
      <w:r>
        <w:rPr>
          <w:color w:val="000000"/>
          <w:rtl w:val="true"/>
        </w:rPr>
        <w:t>בעניין עריכה ושינויים במסמכי פסיקה</w:t>
      </w:r>
      <w:r>
        <w:rPr>
          <w:color w:val="000000"/>
          <w:rtl w:val="true"/>
        </w:rPr>
        <w:t xml:space="preserve">, </w:t>
      </w:r>
      <w:r>
        <w:rPr>
          <w:color w:val="000000"/>
          <w:rtl w:val="true"/>
        </w:rPr>
        <w:t>חקיקה ועוד באתר נבו – הקש כאן</w:t>
      </w:r>
    </w:p>
    <w:p>
      <w:pPr>
        <w:pStyle w:val="Normal"/>
        <w:ind w:end="0"/>
        <w:jc w:val="start"/>
        <w:rPr>
          <w:color w:val="0000FF"/>
          <w:u w:val="single"/>
        </w:rPr>
      </w:pPr>
      <w:r>
        <w:rPr>
          <w:color w:val="0000FF"/>
          <w:u w:val="single"/>
          <w:rtl w:val="true"/>
        </w:rPr>
      </w:r>
    </w:p>
    <w:sectPr>
      <w:headerReference w:type="default" r:id="rId6"/>
      <w:footerReference w:type="default" r:id="rId7"/>
      <w:type w:val="nextPage"/>
      <w:pgSz w:w="11906" w:h="16838"/>
      <w:pgMar w:left="1701" w:right="1701" w:gutter="0" w:header="1077" w:top="1701" w:footer="1157" w:bottom="1440"/>
      <w:pgNumType w:start="1"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David">
    <w:charset w:val="b1" w:characterSet="windows-1255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FrankRuehl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</w:rPr>
    </w:pPr>
    <w:r>
      <w:rPr>
        <w:rFonts w:cs="FrankRuehl" w:ascii="FrankRuehl" w:hAnsi="FrankRuehl"/>
        <w:rtl w:val="true"/>
      </w:rPr>
      <w:fldChar w:fldCharType="begin"/>
    </w:r>
    <w:r>
      <w:rPr>
        <w:rtl w:val="true"/>
        <w:rFonts w:cs="FrankRuehl" w:ascii="FrankRuehl" w:hAnsi="FrankRuehl"/>
      </w:rPr>
      <w:instrText xml:space="preserve"> PAGE </w:instrText>
    </w:r>
    <w:r>
      <w:rPr>
        <w:rtl w:val="true"/>
        <w:rFonts w:cs="FrankRuehl" w:ascii="FrankRuehl" w:hAnsi="FrankRuehl"/>
      </w:rPr>
      <w:fldChar w:fldCharType="separate"/>
    </w:r>
    <w:r>
      <w:rPr>
        <w:rtl w:val="true"/>
        <w:rFonts w:cs="FrankRuehl" w:ascii="FrankRuehl" w:hAnsi="FrankRuehl"/>
      </w:rPr>
      <w:t>6</w:t>
    </w:r>
    <w:r>
      <w:rPr>
        <w:rtl w:val="true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Times New Roman" w:hAnsi="Times New Roman" w:cs="Times New Roman"/>
        <w:color w:val="000000"/>
        <w:sz w:val="28"/>
        <w:szCs w:val="22"/>
      </w:rPr>
    </w:pPr>
    <w:r>
      <w:rPr>
        <w:rFonts w:ascii="Times New Roman" w:hAnsi="Times New Roman" w:cs="Times New Roman"/>
        <w:color w:val="000000"/>
        <w:sz w:val="28"/>
        <w:sz w:val="28"/>
        <w:szCs w:val="22"/>
        <w:rtl w:val="true"/>
      </w:rPr>
      <w:t>נבו הוצאה לאור בע</w:t>
    </w:r>
    <w:r>
      <w:rPr>
        <w:rFonts w:cs="Times New Roman" w:ascii="Times New Roman" w:hAnsi="Times New Roman"/>
        <w:color w:val="000000"/>
        <w:sz w:val="28"/>
        <w:szCs w:val="22"/>
        <w:rtl w:val="true"/>
      </w:rPr>
      <w:t>"</w:t>
    </w:r>
    <w:r>
      <w:rPr>
        <w:rFonts w:ascii="Times New Roman" w:hAnsi="Times New Roman" w:cs="Times New Roman"/>
        <w:color w:val="000000"/>
        <w:sz w:val="28"/>
        <w:sz w:val="28"/>
        <w:szCs w:val="22"/>
        <w:rtl w:val="true"/>
      </w:rPr>
      <w:t xml:space="preserve">מ  </w:t>
    </w:r>
    <w:r>
      <w:rPr>
        <w:rFonts w:cs="Times New Roman" w:ascii="Times New Roman" w:hAnsi="Times New Roman"/>
        <w:color w:val="000000"/>
        <w:sz w:val="28"/>
        <w:szCs w:val="22"/>
      </w:rPr>
      <w:t>nevo.co.il</w:t>
    </w:r>
    <w:r>
      <w:rPr>
        <w:rFonts w:cs="Times New Roman" w:ascii="Times New Roman" w:hAnsi="Times New Roman"/>
        <w:color w:val="000000"/>
        <w:sz w:val="28"/>
        <w:szCs w:val="22"/>
        <w:rtl w:val="true"/>
      </w:rPr>
      <w:t xml:space="preserve">   </w:t>
    </w:r>
    <w:r>
      <w:rPr>
        <w:rFonts w:ascii="Times New Roman" w:hAnsi="Times New Roman" w:cs="Times New Roman"/>
        <w:color w:val="000000"/>
        <w:sz w:val="28"/>
        <w:sz w:val="28"/>
        <w:szCs w:val="22"/>
        <w:rtl w:val="true"/>
      </w:rPr>
      <w:t>המאגר המשפטי הישראלי</w:t>
    </w:r>
  </w:p>
  <w:p>
    <w:pPr>
      <w:pStyle w:val="Footer"/>
      <w:pBdr>
        <w:top w:val="single" w:sz="4" w:space="1" w:color="000000"/>
      </w:pBdr>
      <w:ind w:end="0"/>
      <w:jc w:val="start"/>
      <w:rPr>
        <w:rFonts w:ascii="Times New Roman" w:hAnsi="Times New Roman" w:cs="Times New Roman"/>
        <w:color w:val="000000"/>
        <w:sz w:val="14"/>
        <w:szCs w:val="14"/>
      </w:rPr>
    </w:pPr>
    <w:r>
      <w:rPr>
        <w:rFonts w:cs="Times New Roman" w:ascii="Times New Roman" w:hAnsi="Times New Roman"/>
        <w:color w:val="000000"/>
        <w:sz w:val="14"/>
        <w:szCs w:val="14"/>
        <w:rtl w:val="true"/>
      </w:rPr>
      <w:fldChar w:fldCharType="begin"/>
    </w:r>
    <w:r>
      <w:rPr>
        <w:rtl w:val="true"/>
        <w:sz w:val="14"/>
        <w:szCs w:val="14"/>
        <w:rFonts w:cs="Times New Roman" w:ascii="Times New Roman" w:hAnsi="Times New Roman"/>
        <w:color w:val="000000"/>
      </w:rPr>
      <w:instrText xml:space="preserve"> FILENAME \p </w:instrText>
    </w:r>
    <w:r>
      <w:rPr>
        <w:rtl w:val="true"/>
        <w:sz w:val="14"/>
        <w:szCs w:val="14"/>
        <w:rFonts w:cs="Times New Roman" w:ascii="Times New Roman" w:hAnsi="Times New Roman"/>
        <w:color w:val="000000"/>
      </w:rPr>
      <w:fldChar w:fldCharType="separate"/>
    </w:r>
    <w:r>
      <w:rPr>
        <w:rtl w:val="true"/>
        <w:sz w:val="14"/>
        <w:szCs w:val="14"/>
        <w:rFonts w:cs="Times New Roman" w:ascii="Times New Roman" w:hAnsi="Times New Roman"/>
        <w:color w:val="000000"/>
      </w:rPr>
      <w:t>/Users/liorb/Library/CloudStorage/OneDrive-post.bgu.ac.il/Thesis!!!/code/lcp/citations_2018/SH-10-02-10690-17 (5).doc</w:t>
    </w:r>
    <w:r>
      <w:rPr>
        <w:rtl w:val="true"/>
        <w:sz w:val="14"/>
        <w:szCs w:val="14"/>
        <w:rFonts w:cs="Times New Roman" w:ascii="Times New Roman" w:hAnsi="Times New Roman"/>
        <w:color w:val="000000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color w:val="000000"/>
        <w:sz w:val="22"/>
        <w:szCs w:val="22"/>
      </w:rPr>
    </w:pPr>
    <w:r>
      <w:rPr>
        <w:color w:val="000000"/>
        <w:sz w:val="22"/>
        <w:sz w:val="22"/>
        <w:szCs w:val="22"/>
        <w:rtl w:val="true"/>
      </w:rPr>
      <w:t xml:space="preserve">תפ </w:t>
    </w:r>
    <w:r>
      <w:rPr>
        <w:color w:val="000000"/>
        <w:sz w:val="22"/>
        <w:szCs w:val="22"/>
        <w:rtl w:val="true"/>
      </w:rPr>
      <w:t>(</w:t>
    </w:r>
    <w:r>
      <w:rPr>
        <w:color w:val="000000"/>
        <w:sz w:val="22"/>
        <w:sz w:val="22"/>
        <w:szCs w:val="22"/>
        <w:rtl w:val="true"/>
      </w:rPr>
      <w:t>עכו</w:t>
    </w:r>
    <w:r>
      <w:rPr>
        <w:color w:val="000000"/>
        <w:sz w:val="22"/>
        <w:szCs w:val="22"/>
        <w:rtl w:val="true"/>
      </w:rPr>
      <w:t xml:space="preserve">) </w:t>
    </w:r>
    <w:r>
      <w:rPr>
        <w:color w:val="000000"/>
        <w:sz w:val="22"/>
        <w:szCs w:val="22"/>
      </w:rPr>
      <w:t>10690-02-10</w:t>
    </w:r>
    <w:r>
      <w:rPr>
        <w:color w:val="000000"/>
        <w:sz w:val="22"/>
        <w:szCs w:val="22"/>
        <w:rtl w:val="true"/>
      </w:rPr>
      <w:tab/>
      <w:t xml:space="preserve"> </w:t>
    </w:r>
    <w:r>
      <w:rPr>
        <w:color w:val="000000"/>
        <w:sz w:val="22"/>
        <w:sz w:val="22"/>
        <w:szCs w:val="22"/>
        <w:rtl w:val="true"/>
      </w:rPr>
      <w:t>מדינת ישראל נ</w:t>
    </w:r>
    <w:r>
      <w:rPr>
        <w:color w:val="000000"/>
        <w:sz w:val="22"/>
        <w:szCs w:val="22"/>
        <w:rtl w:val="true"/>
      </w:rPr>
      <w:t xml:space="preserve">' </w:t>
    </w:r>
    <w:r>
      <w:rPr>
        <w:color w:val="000000"/>
        <w:sz w:val="22"/>
        <w:sz w:val="22"/>
        <w:szCs w:val="22"/>
        <w:rtl w:val="true"/>
      </w:rPr>
      <w:t>ארקאן אסדי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</w:pPr>
    <w:rPr>
      <w:rFonts w:ascii="David" w:hAnsi="David" w:eastAsia="David" w:cs="David"/>
      <w:color w:val="auto"/>
      <w:sz w:val="24"/>
      <w:szCs w:val="24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TimesNewRomanTimesNewRoman">
    <w:name w:val="סגנון (לטיני) Times New Roman (עברית ושפות אחרות) Times New Roman..."/>
    <w:basedOn w:val="DefaultParagraphFont"/>
    <w:qFormat/>
    <w:rPr>
      <w:rFonts w:ascii="Times New Roman" w:hAnsi="Times New Roman" w:cs="David"/>
      <w:b/>
      <w:bCs/>
      <w:sz w:val="26"/>
      <w:szCs w:val="26"/>
    </w:rPr>
  </w:style>
  <w:style w:type="character" w:styleId="LineNumber">
    <w:name w:val="line number"/>
    <w:basedOn w:val="DefaultParagraphFont"/>
    <w:rPr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12">
    <w:name w:val="רגיל + ‏12 נק'"/>
    <w:basedOn w:val="Normal"/>
    <w:qFormat/>
    <w:pPr/>
    <w:rPr>
      <w:rFonts w:ascii="Times New Roman" w:hAnsi="Times New Roman" w:eastAsia="Times New Roman" w:cs="Times New Roman"/>
      <w:b/>
      <w:bCs/>
      <w:u w:val="single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law/70301" TargetMode="External"/><Relationship Id="rId3" Type="http://schemas.openxmlformats.org/officeDocument/2006/relationships/hyperlink" Target="http://www.nevo.co.il/law/70301/144.a" TargetMode="External"/><Relationship Id="rId4" Type="http://schemas.openxmlformats.org/officeDocument/2006/relationships/hyperlink" Target="http://www.nevo.co.il/law/70301/144.a" TargetMode="External"/><Relationship Id="rId5" Type="http://schemas.openxmlformats.org/officeDocument/2006/relationships/hyperlink" Target="http://www.nevo.co.il/law/70301" TargetMode=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2016-07-06T10:47:00Z</dcterms:created>
  <dc:creator> </dc:creator>
  <dc:description/>
  <cp:keywords/>
  <dc:language>en-IL</dc:language>
  <cp:lastModifiedBy>hofit</cp:lastModifiedBy>
  <dcterms:modified xsi:type="dcterms:W3CDTF">2016-07-06T10:47:00Z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מדינת ישראל</vt:lpwstr>
  </property>
  <property fmtid="{D5CDD505-2E9C-101B-9397-08002B2CF9AE}" pid="3" name="APPELLEE">
    <vt:lpwstr>ארקאן אסדי;קאסם אסדי</vt:lpwstr>
  </property>
  <property fmtid="{D5CDD505-2E9C-101B-9397-08002B2CF9AE}" pid="4" name="CITY">
    <vt:lpwstr>עכו</vt:lpwstr>
  </property>
  <property fmtid="{D5CDD505-2E9C-101B-9397-08002B2CF9AE}" pid="5" name="DATE">
    <vt:lpwstr>20101214</vt:lpwstr>
  </property>
  <property fmtid="{D5CDD505-2E9C-101B-9397-08002B2CF9AE}" pid="6" name="DELEMATA">
    <vt:lpwstr/>
  </property>
  <property fmtid="{D5CDD505-2E9C-101B-9397-08002B2CF9AE}" pid="7" name="ISABSTRACT">
    <vt:lpwstr>Y</vt:lpwstr>
  </property>
  <property fmtid="{D5CDD505-2E9C-101B-9397-08002B2CF9AE}" pid="8" name="JUDGE">
    <vt:lpwstr>זיאד סלאח</vt:lpwstr>
  </property>
  <property fmtid="{D5CDD505-2E9C-101B-9397-08002B2CF9AE}" pid="9" name="LAWLISTTMP1">
    <vt:lpwstr>70301/144.a</vt:lpwstr>
  </property>
  <property fmtid="{D5CDD505-2E9C-101B-9397-08002B2CF9AE}" pid="10" name="LAWYER">
    <vt:lpwstr>סולומון</vt:lpwstr>
  </property>
  <property fmtid="{D5CDD505-2E9C-101B-9397-08002B2CF9AE}" pid="11" name="LINKK1">
    <vt:lpwstr/>
  </property>
  <property fmtid="{D5CDD505-2E9C-101B-9397-08002B2CF9AE}" pid="12" name="LINKK10">
    <vt:lpwstr/>
  </property>
  <property fmtid="{D5CDD505-2E9C-101B-9397-08002B2CF9AE}" pid="13" name="LINKK11">
    <vt:lpwstr/>
  </property>
  <property fmtid="{D5CDD505-2E9C-101B-9397-08002B2CF9AE}" pid="14" name="LINKK12">
    <vt:lpwstr/>
  </property>
  <property fmtid="{D5CDD505-2E9C-101B-9397-08002B2CF9AE}" pid="15" name="LINKK2">
    <vt:lpwstr/>
  </property>
  <property fmtid="{D5CDD505-2E9C-101B-9397-08002B2CF9AE}" pid="16" name="LINKK3">
    <vt:lpwstr/>
  </property>
  <property fmtid="{D5CDD505-2E9C-101B-9397-08002B2CF9AE}" pid="17" name="LINKK4">
    <vt:lpwstr/>
  </property>
  <property fmtid="{D5CDD505-2E9C-101B-9397-08002B2CF9AE}" pid="18" name="LINKK5">
    <vt:lpwstr/>
  </property>
  <property fmtid="{D5CDD505-2E9C-101B-9397-08002B2CF9AE}" pid="19" name="LINKK6">
    <vt:lpwstr/>
  </property>
  <property fmtid="{D5CDD505-2E9C-101B-9397-08002B2CF9AE}" pid="20" name="LINKK7">
    <vt:lpwstr/>
  </property>
  <property fmtid="{D5CDD505-2E9C-101B-9397-08002B2CF9AE}" pid="21" name="LINKK8">
    <vt:lpwstr/>
  </property>
  <property fmtid="{D5CDD505-2E9C-101B-9397-08002B2CF9AE}" pid="22" name="LINKK9">
    <vt:lpwstr/>
  </property>
  <property fmtid="{D5CDD505-2E9C-101B-9397-08002B2CF9AE}" pid="23" name="NEWPARTA">
    <vt:lpwstr>10690</vt:lpwstr>
  </property>
  <property fmtid="{D5CDD505-2E9C-101B-9397-08002B2CF9AE}" pid="24" name="NEWPARTB">
    <vt:lpwstr>02</vt:lpwstr>
  </property>
  <property fmtid="{D5CDD505-2E9C-101B-9397-08002B2CF9AE}" pid="25" name="NEWPARTC">
    <vt:lpwstr>10</vt:lpwstr>
  </property>
  <property fmtid="{D5CDD505-2E9C-101B-9397-08002B2CF9AE}" pid="26" name="NEWPROC">
    <vt:lpwstr>תפ</vt:lpwstr>
  </property>
  <property fmtid="{D5CDD505-2E9C-101B-9397-08002B2CF9AE}" pid="27" name="PADIMAIL">
    <vt:lpwstr/>
  </property>
  <property fmtid="{D5CDD505-2E9C-101B-9397-08002B2CF9AE}" pid="28" name="PAGE">
    <vt:lpwstr/>
  </property>
  <property fmtid="{D5CDD505-2E9C-101B-9397-08002B2CF9AE}" pid="29" name="PART">
    <vt:lpwstr/>
  </property>
  <property fmtid="{D5CDD505-2E9C-101B-9397-08002B2CF9AE}" pid="30" name="PROCESS">
    <vt:lpwstr/>
  </property>
  <property fmtid="{D5CDD505-2E9C-101B-9397-08002B2CF9AE}" pid="31" name="PROCNUM">
    <vt:lpwstr/>
  </property>
  <property fmtid="{D5CDD505-2E9C-101B-9397-08002B2CF9AE}" pid="32" name="PROCYEAR">
    <vt:lpwstr/>
  </property>
  <property fmtid="{D5CDD505-2E9C-101B-9397-08002B2CF9AE}" pid="33" name="PSAKDIN">
    <vt:lpwstr>גזר-דין</vt:lpwstr>
  </property>
  <property fmtid="{D5CDD505-2E9C-101B-9397-08002B2CF9AE}" pid="34" name="RemarkFileName">
    <vt:lpwstr>shalom 04346e7544764f4a0300000094b92aa3 10 02 10690 htm</vt:lpwstr>
  </property>
  <property fmtid="{D5CDD505-2E9C-101B-9397-08002B2CF9AE}" pid="35" name="TYPE">
    <vt:lpwstr>3</vt:lpwstr>
  </property>
  <property fmtid="{D5CDD505-2E9C-101B-9397-08002B2CF9AE}" pid="36" name="TYPE_ABS_DATE">
    <vt:lpwstr>380020101214</vt:lpwstr>
  </property>
  <property fmtid="{D5CDD505-2E9C-101B-9397-08002B2CF9AE}" pid="37" name="TYPE_N_DATE">
    <vt:lpwstr>38020101214</vt:lpwstr>
  </property>
  <property fmtid="{D5CDD505-2E9C-101B-9397-08002B2CF9AE}" pid="38" name="VOLUME">
    <vt:lpwstr/>
  </property>
  <property fmtid="{D5CDD505-2E9C-101B-9397-08002B2CF9AE}" pid="39" name="WORDNUMPAGES">
    <vt:lpwstr>5</vt:lpwstr>
  </property>
</Properties>
</file>