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start"/>
        <w:rPr/>
      </w:pPr>
      <w:r>
        <w:rPr>
          <w:rtl w:val="true"/>
        </w:rPr>
      </w:r>
      <w:bookmarkStart w:id="0" w:name="LastJudge"/>
      <w:bookmarkStart w:id="1" w:name="LastJudge"/>
      <w:bookmarkEnd w:id="1"/>
    </w:p>
    <w:p>
      <w:pPr>
        <w:pStyle w:val="Normal"/>
        <w:ind w:end="0"/>
        <w:jc w:val="start"/>
        <w:rPr>
          <w:sz w:val="6"/>
          <w:szCs w:val="6"/>
        </w:rPr>
      </w:pPr>
      <w:r>
        <w:rPr>
          <w:sz w:val="6"/>
          <w:szCs w:val="6"/>
          <w:rtl w:val="true"/>
        </w:rPr>
      </w:r>
    </w:p>
    <w:tbl>
      <w:tblPr>
        <w:bidiVisual w:val="true"/>
        <w:tblW w:w="88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75"/>
        <w:gridCol w:w="239"/>
        <w:gridCol w:w="566"/>
        <w:gridCol w:w="6237"/>
        <w:gridCol w:w="285"/>
      </w:tblGrid>
      <w:tr>
        <w:trPr>
          <w:trHeight w:val="418" w:hRule="exact"/>
        </w:trPr>
        <w:tc>
          <w:tcPr>
            <w:tcW w:w="8517" w:type="dxa"/>
            <w:gridSpan w:val="4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בית המשפט המחוזי בתל אביב 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 xml:space="preserve">- 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יפו</w:t>
            </w:r>
          </w:p>
        </w:tc>
        <w:tc>
          <w:tcPr>
            <w:tcW w:w="2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</w:r>
          </w:p>
        </w:tc>
      </w:tr>
      <w:tr>
        <w:trPr>
          <w:trHeight w:val="337" w:hRule="atLeast"/>
        </w:trPr>
        <w:tc>
          <w:tcPr>
            <w:tcW w:w="1475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ת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20604-12-09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 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אזולאי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עציר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)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ואח</w:t>
            </w:r>
            <w:r>
              <w:rPr>
                <w:b/>
                <w:bCs/>
                <w:sz w:val="26"/>
                <w:szCs w:val="26"/>
                <w:rtl w:val="true"/>
              </w:rPr>
              <w:t>'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39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6803" w:type="dxa"/>
            <w:gridSpan w:val="2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28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יוני </w:t>
            </w:r>
            <w:r>
              <w:rPr>
                <w:b/>
                <w:bCs/>
                <w:sz w:val="26"/>
                <w:szCs w:val="26"/>
              </w:rPr>
              <w:t>2010</w:t>
            </w:r>
          </w:p>
        </w:tc>
        <w:tc>
          <w:tcPr>
            <w:tcW w:w="2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280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  <w:bookmarkStart w:id="2" w:name="FirstLawyer"/>
            <w:bookmarkStart w:id="3" w:name="FirstAppellant"/>
            <w:bookmarkStart w:id="4" w:name="FirstLawyer"/>
            <w:bookmarkStart w:id="5" w:name="FirstAppellant"/>
            <w:bookmarkEnd w:id="4"/>
            <w:bookmarkEnd w:id="5"/>
          </w:p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המאשימה</w:t>
            </w:r>
          </w:p>
        </w:tc>
        <w:tc>
          <w:tcPr>
            <w:tcW w:w="6522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 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 עו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 ליאורה חילו</w:t>
            </w:r>
          </w:p>
        </w:tc>
      </w:tr>
      <w:tr>
        <w:trPr/>
        <w:tc>
          <w:tcPr>
            <w:tcW w:w="8802" w:type="dxa"/>
            <w:gridSpan w:val="5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280" w:type="dxa"/>
            <w:gridSpan w:val="3"/>
            <w:tcBorders/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הנאשמים</w:t>
            </w:r>
          </w:p>
        </w:tc>
        <w:tc>
          <w:tcPr>
            <w:tcW w:w="6522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קסם אזולאי 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עציר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) –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נוכח – ע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 עו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ד אזולאי 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יוסף עלו 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-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נדון</w:t>
            </w:r>
          </w:p>
        </w:tc>
      </w:tr>
    </w:tbl>
    <w:p>
      <w:pPr>
        <w:pStyle w:val="Normal"/>
        <w:ind w:end="0"/>
        <w:jc w:val="start"/>
        <w:rPr/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#2#</w:t>
      </w:r>
      <w:r>
        <w:rPr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David"/>
        <w:ind w:end="0"/>
        <w:jc w:val="center"/>
        <w:rPr>
          <w:rFonts w:ascii="Arial" w:hAnsi="Arial" w:eastAsia="David" w:cs="Arial"/>
          <w:b/>
          <w:bCs/>
          <w:sz w:val="28"/>
          <w:szCs w:val="28"/>
        </w:rPr>
      </w:pPr>
      <w:bookmarkStart w:id="6" w:name="PsakDin"/>
      <w:bookmarkEnd w:id="6"/>
      <w:r>
        <w:rPr>
          <w:rFonts w:ascii="Arial" w:hAnsi="Arial" w:eastAsia="David" w:cs="Arial"/>
          <w:b/>
          <w:b/>
          <w:bCs/>
          <w:sz w:val="28"/>
          <w:sz w:val="28"/>
          <w:szCs w:val="28"/>
          <w:rtl w:val="true"/>
        </w:rPr>
        <w:t xml:space="preserve">גזר דין לנאשם </w:t>
      </w:r>
      <w:r>
        <w:rPr>
          <w:rFonts w:eastAsia="David" w:cs="Arial" w:ascii="Arial" w:hAnsi="Arial"/>
          <w:b/>
          <w:bCs/>
          <w:sz w:val="28"/>
          <w:szCs w:val="28"/>
        </w:rPr>
        <w:t>1</w:t>
      </w:r>
    </w:p>
    <w:p>
      <w:pPr>
        <w:pStyle w:val="David"/>
        <w:ind w:end="0"/>
        <w:jc w:val="both"/>
        <w:rPr>
          <w:rFonts w:ascii="David" w:hAnsi="David" w:eastAsia="David" w:cs="David"/>
          <w:b/>
          <w:bCs/>
          <w:sz w:val="28"/>
          <w:szCs w:val="28"/>
        </w:rPr>
      </w:pPr>
      <w:r>
        <w:rPr>
          <w:rFonts w:eastAsia="David" w:cs="David" w:ascii="David" w:hAnsi="David"/>
          <w:b/>
          <w:bCs/>
          <w:sz w:val="28"/>
          <w:szCs w:val="28"/>
          <w:rtl w:val="true"/>
        </w:rPr>
      </w:r>
      <w:bookmarkStart w:id="7" w:name="PsakDin"/>
      <w:bookmarkStart w:id="8" w:name="PsakDin"/>
      <w:bookmarkEnd w:id="8"/>
    </w:p>
    <w:p>
      <w:pPr>
        <w:pStyle w:val="David"/>
        <w:ind w:end="0"/>
        <w:jc w:val="both"/>
        <w:rPr>
          <w:rFonts w:ascii="David" w:hAnsi="David" w:cs="David"/>
        </w:rPr>
      </w:pPr>
      <w:bookmarkStart w:id="9" w:name="ABSTRACT_START"/>
      <w:bookmarkEnd w:id="9"/>
      <w:r>
        <w:rPr>
          <w:rFonts w:ascii="David" w:hAnsi="David" w:cs="David"/>
          <w:rtl w:val="true"/>
        </w:rPr>
        <w:t xml:space="preserve">נאשם </w:t>
      </w:r>
      <w:r>
        <w:rPr>
          <w:rFonts w:cs="David" w:ascii="David" w:hAnsi="David"/>
        </w:rPr>
        <w:t>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הודה בעובדות כתב האישום והורשע בעבירה של נשיאת נשק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הצדדים גיבשו הסדר טיעון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קראתי חומר ושמעתי טיעונים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ההסדר סביר ואני מאמץ אותו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שיקולי התביעה מקובלים עלי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מחד לחומרא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עצם העבירה שביצע הנאשם כאשר זו עבירה שפסיקת בית המשפט העליון מתייחסת אליה בחומרה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לרבות ברמת ענישה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ומאידך לקולא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אין לנאשם עבר פלילי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הוא בן כ</w:t>
      </w:r>
      <w:r>
        <w:rPr>
          <w:rFonts w:cs="David" w:ascii="David" w:hAnsi="David"/>
          <w:rtl w:val="true"/>
        </w:rPr>
        <w:t>-</w:t>
      </w:r>
      <w:r>
        <w:rPr>
          <w:rFonts w:cs="David" w:ascii="David" w:hAnsi="David"/>
        </w:rPr>
        <w:t>19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שנה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 xml:space="preserve">יהא זה מאסרו הראשון וכמו כן אני מפנה לתסקיר מיום </w:t>
      </w:r>
      <w:r>
        <w:rPr>
          <w:rFonts w:cs="David" w:ascii="David" w:hAnsi="David"/>
        </w:rPr>
        <w:t>23/6/2010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בעניינו של הנאשם לנסיבות חייו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end="0"/>
        <w:jc w:val="both"/>
        <w:rPr>
          <w:rFonts w:ascii="David" w:hAnsi="David" w:cs="David"/>
        </w:rPr>
      </w:pPr>
      <w:bookmarkStart w:id="10" w:name="ABSTRACT_END"/>
      <w:bookmarkEnd w:id="10"/>
      <w:r>
        <w:rPr>
          <w:rFonts w:ascii="David" w:hAnsi="David" w:cs="David"/>
          <w:rtl w:val="true"/>
        </w:rPr>
        <w:t>כאמור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ההסדר סביר ואני מאמץ אותו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אתחשב בנאשם לעניין גובה הקנס גם לאור דברי התובעת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 xml:space="preserve">אני גוזר על נאשם </w:t>
      </w:r>
      <w:r>
        <w:rPr>
          <w:rFonts w:cs="David" w:ascii="David" w:hAnsi="David"/>
        </w:rPr>
        <w:t>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קסם אזולאי את העונשים הבאים</w:t>
      </w:r>
      <w:r>
        <w:rPr>
          <w:rFonts w:cs="David" w:ascii="David" w:hAnsi="David"/>
          <w:rtl w:val="true"/>
        </w:rPr>
        <w:t>:</w:t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</w:rPr>
        <w:t>1</w:t>
      </w:r>
      <w:r>
        <w:rPr>
          <w:rFonts w:cs="David" w:ascii="David" w:hAnsi="David"/>
          <w:rtl w:val="true"/>
        </w:rPr>
        <w:t xml:space="preserve">. </w:t>
        <w:tab/>
      </w:r>
      <w:r>
        <w:rPr>
          <w:rFonts w:cs="David" w:ascii="David" w:hAnsi="David"/>
        </w:rPr>
        <w:t>16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 xml:space="preserve">חודשי מאסר בפועל אשר ימנו מיום מעצרו הוא יום </w:t>
      </w:r>
      <w:r>
        <w:rPr>
          <w:rFonts w:cs="David" w:ascii="David" w:hAnsi="David"/>
        </w:rPr>
        <w:t>23/5/2010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 xml:space="preserve">וכן תנוכה תקופת מעצר מיום </w:t>
      </w:r>
      <w:r>
        <w:rPr>
          <w:rFonts w:cs="David" w:ascii="David" w:hAnsi="David"/>
        </w:rPr>
        <w:t>10/12/2009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 xml:space="preserve">ועד יום </w:t>
      </w:r>
      <w:r>
        <w:rPr>
          <w:rFonts w:cs="David" w:ascii="David" w:hAnsi="David"/>
        </w:rPr>
        <w:t>10/2/2010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</w:rPr>
        <w:t>2</w:t>
      </w:r>
      <w:r>
        <w:rPr>
          <w:rFonts w:cs="David" w:ascii="David" w:hAnsi="David"/>
          <w:rtl w:val="true"/>
        </w:rPr>
        <w:t>.</w:t>
        <w:tab/>
      </w:r>
      <w:r>
        <w:rPr>
          <w:rFonts w:cs="David" w:ascii="David" w:hAnsi="David"/>
        </w:rPr>
        <w:t>12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 xml:space="preserve">חודשי מאסר על תנאי והתנאי הוא שבמשך שלוש שנים מיום שחרורו ממאסרו לא יעבור נאשם </w:t>
      </w:r>
      <w:r>
        <w:rPr>
          <w:rFonts w:cs="David" w:ascii="David" w:hAnsi="David"/>
        </w:rPr>
        <w:t>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 xml:space="preserve">עבירה לפי סעיף </w:t>
      </w:r>
      <w:r>
        <w:rPr>
          <w:rFonts w:cs="David" w:ascii="David" w:hAnsi="David"/>
        </w:rPr>
        <w:t>144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ל</w:t>
      </w:r>
      <w:hyperlink r:id="rId2">
        <w:r>
          <w:rPr>
            <w:rStyle w:val="Hyperlink"/>
            <w:rFonts w:ascii="David" w:hAnsi="David" w:cs="David"/>
            <w:rtl w:val="true"/>
          </w:rPr>
          <w:t>חוק</w:t>
        </w:r>
        <w:r>
          <w:rPr>
            <w:rStyle w:val="Hyperlink"/>
            <w:rFonts w:ascii="David" w:hAnsi="David" w:cs="David"/>
            <w:rtl w:val="true"/>
          </w:rPr>
          <w:t xml:space="preserve"> העונשין</w:t>
        </w:r>
      </w:hyperlink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לרבות נסיון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</w:rPr>
        <w:t>3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 w:cs="David"/>
          <w:rtl w:val="true"/>
        </w:rPr>
        <w:t xml:space="preserve">קנס בסך של </w:t>
      </w:r>
      <w:r>
        <w:rPr>
          <w:rFonts w:cs="David" w:ascii="David" w:hAnsi="David"/>
        </w:rPr>
        <w:t>1,500</w:t>
      </w:r>
      <w:r>
        <w:rPr>
          <w:rFonts w:cs="David" w:ascii="David" w:hAnsi="David"/>
          <w:rtl w:val="true"/>
        </w:rPr>
        <w:t xml:space="preserve"> ₪ </w:t>
      </w:r>
      <w:r>
        <w:rPr>
          <w:rFonts w:ascii="David" w:hAnsi="David" w:cs="David"/>
          <w:rtl w:val="true"/>
        </w:rPr>
        <w:t>או חודשיים מאסר במקום הקנס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כאשר הקנס ישולם ב</w:t>
      </w:r>
      <w:r>
        <w:rPr>
          <w:rFonts w:cs="David" w:ascii="David" w:hAnsi="David"/>
          <w:rtl w:val="true"/>
        </w:rPr>
        <w:t>-</w:t>
      </w:r>
      <w:r>
        <w:rPr>
          <w:rFonts w:cs="David" w:ascii="David" w:hAnsi="David"/>
        </w:rPr>
        <w:t>3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תשלומים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חודשיים שווים ורצופים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כאשר התשלום הראשון ישולם לא יאוחר מה</w:t>
      </w:r>
      <w:r>
        <w:rPr>
          <w:rFonts w:cs="David" w:ascii="David" w:hAnsi="David"/>
          <w:rtl w:val="true"/>
        </w:rPr>
        <w:t>-</w:t>
      </w:r>
      <w:r>
        <w:rPr>
          <w:rFonts w:cs="David" w:ascii="David" w:hAnsi="David"/>
        </w:rPr>
        <w:t>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לחודש שלאחר החודש שבו ישוחרר ממאסרו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 xml:space="preserve">ושאר התשלומים כל אחד לא יאוחר מכל </w:t>
      </w:r>
      <w:r>
        <w:rPr>
          <w:rFonts w:cs="David" w:ascii="David" w:hAnsi="David"/>
        </w:rPr>
        <w:t>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לחודש שלאחר מכן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 xml:space="preserve">הוסברה לנאשם </w:t>
      </w:r>
      <w:r>
        <w:rPr>
          <w:rFonts w:cs="David" w:ascii="David" w:hAnsi="David"/>
        </w:rPr>
        <w:t>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 xml:space="preserve">זכות ערעור תוך </w:t>
      </w:r>
      <w:r>
        <w:rPr>
          <w:rFonts w:cs="David" w:ascii="David" w:hAnsi="David"/>
        </w:rPr>
        <w:t>45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ימים מהיום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hanging="720" w:start="720" w:end="0"/>
        <w:jc w:val="both"/>
        <w:rPr>
          <w:rFonts w:ascii="David" w:hAnsi="David" w:cs="David"/>
          <w:sz w:val="6"/>
          <w:szCs w:val="6"/>
        </w:rPr>
      </w:pPr>
      <w:r>
        <w:rPr>
          <w:rFonts w:cs="David" w:ascii="David" w:hAnsi="David"/>
          <w:sz w:val="6"/>
          <w:szCs w:val="6"/>
          <w:rtl w:val="true"/>
        </w:rPr>
        <w:t>&lt;</w:t>
      </w:r>
      <w:r>
        <w:rPr>
          <w:rFonts w:cs="David" w:ascii="David" w:hAnsi="David"/>
          <w:sz w:val="6"/>
          <w:szCs w:val="6"/>
        </w:rPr>
        <w:t>#4#</w:t>
      </w:r>
      <w:r>
        <w:rPr>
          <w:rFonts w:cs="David" w:ascii="David" w:hAnsi="David"/>
          <w:sz w:val="6"/>
          <w:szCs w:val="6"/>
          <w:rtl w:val="true"/>
        </w:rPr>
        <w:t>&gt;</w:t>
      </w:r>
    </w:p>
    <w:p>
      <w:pPr>
        <w:pStyle w:val="Normal"/>
        <w:ind w:end="0"/>
        <w:jc w:val="center"/>
        <w:rPr>
          <w:rFonts w:ascii="David" w:hAnsi="David" w:cs="David"/>
          <w:b/>
          <w:bCs/>
          <w:color w:val="FFFFFF"/>
          <w:sz w:val="2"/>
          <w:szCs w:val="2"/>
        </w:rPr>
      </w:pPr>
      <w:r>
        <w:rPr>
          <w:rFonts w:cs="David"/>
          <w:b/>
          <w:bCs/>
          <w:color w:val="FFFFFF"/>
          <w:sz w:val="2"/>
          <w:szCs w:val="2"/>
          <w:rtl w:val="true"/>
        </w:rPr>
      </w:r>
    </w:p>
    <w:p>
      <w:pPr>
        <w:pStyle w:val="Normal"/>
        <w:ind w:end="0"/>
        <w:jc w:val="center"/>
        <w:rPr>
          <w:b/>
          <w:bCs/>
          <w:color w:val="FFFFFF"/>
          <w:sz w:val="2"/>
          <w:szCs w:val="2"/>
        </w:rPr>
      </w:pPr>
      <w:r>
        <w:rPr>
          <w:b/>
          <w:bCs/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גלעד נויטל </w:t>
      </w:r>
      <w:r>
        <w:rPr>
          <w:color w:val="000000"/>
          <w:sz w:val="22"/>
          <w:szCs w:val="22"/>
        </w:rPr>
        <w:t>54678313</w:t>
      </w:r>
      <w:r>
        <w:rPr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center"/>
        <w:rPr/>
      </w:pPr>
      <w:r>
        <w:rPr>
          <w:b/>
          <w:bCs/>
          <w:color w:val="FFFFFF"/>
          <w:sz w:val="2"/>
          <w:szCs w:val="2"/>
        </w:rPr>
        <w:t>54678313</w:t>
      </w:r>
      <w:r>
        <w:rPr>
          <w:b/>
          <w:b/>
          <w:bCs/>
          <w:rtl w:val="true"/>
        </w:rPr>
        <w:t>ניתנה והודעה היום ט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 תמוז תש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 xml:space="preserve">, </w:t>
      </w:r>
      <w:r>
        <w:rPr>
          <w:b/>
          <w:bCs/>
        </w:rPr>
        <w:t>28/06/2010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במעמד הצדדים</w:t>
      </w:r>
      <w:r>
        <w:rPr>
          <w:b/>
          <w:bCs/>
          <w:rtl w:val="true"/>
        </w:rPr>
        <w:t xml:space="preserve">.   </w:t>
      </w:r>
    </w:p>
    <w:tbl>
      <w:tblPr>
        <w:bidiVisual w:val="true"/>
        <w:tblW w:w="37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8"/>
      </w:tblGrid>
      <w:tr>
        <w:trPr>
          <w:trHeight w:val="364" w:hRule="atLeast"/>
        </w:trPr>
        <w:tc>
          <w:tcPr>
            <w:tcW w:w="370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trHeight w:val="415" w:hRule="atLeast"/>
        </w:trPr>
        <w:tc>
          <w:tcPr>
            <w:tcW w:w="3708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גלעד</w:t>
            </w:r>
            <w:r>
              <w:rPr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נויטל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</w:p>
        </w:tc>
      </w:tr>
    </w:tbl>
    <w:p>
      <w:pPr>
        <w:pStyle w:val="Normal"/>
        <w:ind w:end="0"/>
        <w:jc w:val="end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ind w:end="0"/>
        <w:jc w:val="end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ind w:end="0"/>
        <w:jc w:val="end"/>
        <w:rPr/>
      </w:pPr>
      <w:r>
        <w:rPr>
          <w:color w:val="FFFFFF"/>
          <w:sz w:val="2"/>
          <w:szCs w:val="2"/>
        </w:rPr>
        <w:t>54678313</w:t>
      </w:r>
    </w:p>
    <w:p>
      <w:pPr>
        <w:pStyle w:val="Normal"/>
        <w:spacing w:lineRule="auto" w:line="360"/>
        <w:ind w:end="0"/>
        <w:jc w:val="both"/>
        <w:rPr>
          <w:sz w:val="16"/>
          <w:szCs w:val="16"/>
        </w:rPr>
      </w:pPr>
      <w:r>
        <w:rPr>
          <w:sz w:val="16"/>
          <w:sz w:val="16"/>
          <w:szCs w:val="16"/>
          <w:rtl w:val="true"/>
        </w:rPr>
        <w:t>קלדנית</w:t>
      </w:r>
      <w:r>
        <w:rPr>
          <w:sz w:val="16"/>
          <w:szCs w:val="16"/>
          <w:rtl w:val="true"/>
        </w:rPr>
        <w:t xml:space="preserve">: </w:t>
      </w:r>
      <w:r>
        <w:rPr>
          <w:sz w:val="16"/>
          <w:sz w:val="16"/>
          <w:szCs w:val="16"/>
          <w:rtl w:val="true"/>
        </w:rPr>
        <w:t>קרן ו</w:t>
      </w:r>
      <w:r>
        <w:rPr>
          <w:sz w:val="16"/>
          <w:szCs w:val="16"/>
          <w:rtl w:val="true"/>
        </w:rPr>
        <w:t xml:space="preserve">. </w:t>
      </w:r>
    </w:p>
    <w:p>
      <w:pPr>
        <w:pStyle w:val="Normal"/>
        <w:ind w:end="0"/>
        <w:jc w:val="start"/>
        <w:rPr>
          <w:rFonts w:cs="FrankRuehl"/>
          <w:sz w:val="28"/>
          <w:szCs w:val="28"/>
        </w:rPr>
      </w:pPr>
      <w:r>
        <w:rPr>
          <w:rFonts w:ascii="Arial" w:hAnsi="Arial" w:cs="FrankRuehl"/>
          <w:sz w:val="28"/>
          <w:sz w:val="28"/>
          <w:szCs w:val="28"/>
          <w:rtl w:val="true"/>
        </w:rPr>
        <w:t>הוקלד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על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ידי</w:t>
      </w:r>
      <w:r>
        <w:rPr>
          <w:rFonts w:cs="FrankRuehl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FrankRuehl"/>
          <w:sz w:val="28"/>
          <w:sz w:val="28"/>
          <w:szCs w:val="28"/>
          <w:rtl w:val="true"/>
        </w:rPr>
        <w:t>קרן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ויס</w:t>
      </w:r>
    </w:p>
    <w:p>
      <w:pPr>
        <w:pStyle w:val="Normal"/>
        <w:ind w:end="0"/>
        <w:jc w:val="start"/>
        <w:rPr>
          <w:color w:val="000000"/>
        </w:rPr>
      </w:pPr>
      <w:bookmarkStart w:id="11" w:name="LastJudge"/>
      <w:bookmarkEnd w:id="11"/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3">
        <w:r>
          <w:rPr>
            <w:rStyle w:val="Hyperlink"/>
            <w:rtl w:val="true"/>
          </w:rPr>
          <w:t>הודעה למנויים על עריכה ושינויים במסמכי פסיקה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 xml:space="preserve">חקיקה ועוד באתר נבו </w:t>
        </w:r>
        <w:r>
          <w:rPr>
            <w:rStyle w:val="Hyperlink"/>
            <w:rtl w:val="true"/>
          </w:rPr>
          <w:t xml:space="preserve">- </w:t>
        </w:r>
        <w:r>
          <w:rPr>
            <w:rStyle w:val="Hyperlink"/>
            <w:rtl w:val="true"/>
          </w:rPr>
          <w:t>הקש כאן</w:t>
        </w:r>
      </w:hyperlink>
    </w:p>
    <w:p>
      <w:pPr>
        <w:pStyle w:val="Normal"/>
        <w:ind w:end="0"/>
        <w:jc w:val="start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4"/>
      <w:footerReference w:type="default" r:id="rId5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2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Times New Roman" w:hAnsi="Times New Roman" w:cs="Times New Roman"/>
        <w:color w:val="000000"/>
        <w:sz w:val="28"/>
        <w:szCs w:val="22"/>
      </w:rPr>
    </w:pP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>נבו הוצאה לאור בע</w:t>
    </w:r>
    <w:r>
      <w:rPr>
        <w:rFonts w:cs="Times New Roman" w:ascii="Times New Roman" w:hAnsi="Times New Roman"/>
        <w:color w:val="000000"/>
        <w:sz w:val="28"/>
        <w:szCs w:val="22"/>
        <w:rtl w:val="true"/>
      </w:rPr>
      <w:t>"</w:t>
    </w: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 xml:space="preserve">מ  </w:t>
    </w:r>
    <w:r>
      <w:rPr>
        <w:rFonts w:cs="Times New Roman" w:ascii="Times New Roman" w:hAnsi="Times New Roman"/>
        <w:color w:val="000000"/>
        <w:sz w:val="28"/>
        <w:szCs w:val="22"/>
      </w:rPr>
      <w:t>nevo.co.il</w:t>
    </w:r>
    <w:r>
      <w:rPr>
        <w:rFonts w:cs="Times New Roman" w:ascii="Times New Roman" w:hAnsi="Times New Roman"/>
        <w:color w:val="000000"/>
        <w:sz w:val="28"/>
        <w:szCs w:val="22"/>
        <w:rtl w:val="true"/>
      </w:rPr>
      <w:t xml:space="preserve">   </w:t>
    </w: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>המאגר המשפטי 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ascii="Times New Roman" w:hAnsi="Times New Roman" w:cs="Times New Roman"/>
        <w:color w:val="000000"/>
        <w:sz w:val="14"/>
        <w:szCs w:val="14"/>
      </w:rPr>
    </w:pPr>
    <w:r>
      <w:rPr>
        <w:rFonts w:cs="Times New Roman" w:ascii="Times New Roman" w:hAnsi="Times New Roman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imes New Roman" w:ascii="Times New Roman" w:hAnsi="Times New Roman"/>
        <w:color w:val="000000"/>
      </w:rPr>
      <w:instrText xml:space="preserve"> FILENAME \p </w:instrText>
    </w:r>
    <w:r>
      <w:rPr>
        <w:rtl w:val="true"/>
        <w:sz w:val="14"/>
        <w:szCs w:val="14"/>
        <w:rFonts w:cs="Times New Roman" w:ascii="Times New Roman" w:hAnsi="Times New Roman"/>
        <w:color w:val="000000"/>
      </w:rPr>
      <w:fldChar w:fldCharType="separate"/>
    </w:r>
    <w:r>
      <w:rPr>
        <w:rtl w:val="true"/>
        <w:sz w:val="14"/>
        <w:szCs w:val="14"/>
        <w:rFonts w:cs="Times New Roman" w:ascii="Times New Roman" w:hAnsi="Times New Roman"/>
        <w:color w:val="000000"/>
      </w:rPr>
      <w:t>/Users/liorb/Library/CloudStorage/OneDrive-post.bgu.ac.il/Thesis!!!/code/lcp/citations_2018/ME-09-12-20604-753.doc</w:t>
    </w:r>
    <w:r>
      <w:rPr>
        <w:rtl w:val="true"/>
        <w:sz w:val="14"/>
        <w:szCs w:val="14"/>
        <w:rFonts w:cs="Times New Roman" w:ascii="Times New Roman" w:hAnsi="Times New Roman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תפ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ת</w:t>
    </w:r>
    <w:r>
      <w:rPr>
        <w:color w:val="000000"/>
        <w:sz w:val="22"/>
        <w:szCs w:val="22"/>
        <w:rtl w:val="true"/>
      </w:rPr>
      <w:t>"</w:t>
    </w:r>
    <w:r>
      <w:rPr>
        <w:color w:val="000000"/>
        <w:sz w:val="22"/>
        <w:sz w:val="22"/>
        <w:szCs w:val="22"/>
        <w:rtl w:val="true"/>
      </w:rPr>
      <w:t>א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20604-12-09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מדינת ישראל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 xml:space="preserve">יוסף עלו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_html/law01/073_002.htm" TargetMode="External"/><Relationship Id="rId3" Type="http://schemas.openxmlformats.org/officeDocument/2006/relationships/hyperlink" Target="http://www.nevo.co.il/advertisements/nevo-100.doc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2010-07-01T15:55:00Z</dcterms:created>
  <dc:creator> </dc:creator>
  <dc:description/>
  <cp:keywords/>
  <dc:language>en-IL</dc:language>
  <cp:lastModifiedBy>orit</cp:lastModifiedBy>
  <dcterms:modified xsi:type="dcterms:W3CDTF">2010-07-01T15:55:00Z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EE">
    <vt:lpwstr>יוסף עלו </vt:lpwstr>
  </property>
  <property fmtid="{D5CDD505-2E9C-101B-9397-08002B2CF9AE}" pid="4" name="CITY">
    <vt:lpwstr>ת"א</vt:lpwstr>
  </property>
  <property fmtid="{D5CDD505-2E9C-101B-9397-08002B2CF9AE}" pid="5" name="DATE">
    <vt:lpwstr>20100628</vt:lpwstr>
  </property>
  <property fmtid="{D5CDD505-2E9C-101B-9397-08002B2CF9AE}" pid="6" name="DELEMATA">
    <vt:lpwstr/>
  </property>
  <property fmtid="{D5CDD505-2E9C-101B-9397-08002B2CF9AE}" pid="7" name="ISABSTRACT">
    <vt:lpwstr>Y</vt:lpwstr>
  </property>
  <property fmtid="{D5CDD505-2E9C-101B-9397-08002B2CF9AE}" pid="8" name="JUDGE">
    <vt:lpwstr>גלעד נויטל</vt:lpwstr>
  </property>
  <property fmtid="{D5CDD505-2E9C-101B-9397-08002B2CF9AE}" pid="9" name="LAWYER">
    <vt:lpwstr>ליאורה חילו;אזולאי</vt:lpwstr>
  </property>
  <property fmtid="{D5CDD505-2E9C-101B-9397-08002B2CF9AE}" pid="10" name="LINKK1">
    <vt:lpwstr/>
  </property>
  <property fmtid="{D5CDD505-2E9C-101B-9397-08002B2CF9AE}" pid="11" name="LINKK10">
    <vt:lpwstr/>
  </property>
  <property fmtid="{D5CDD505-2E9C-101B-9397-08002B2CF9AE}" pid="12" name="LINKK11">
    <vt:lpwstr/>
  </property>
  <property fmtid="{D5CDD505-2E9C-101B-9397-08002B2CF9AE}" pid="13" name="LINKK12">
    <vt:lpwstr/>
  </property>
  <property fmtid="{D5CDD505-2E9C-101B-9397-08002B2CF9AE}" pid="14" name="LINKK2">
    <vt:lpwstr/>
  </property>
  <property fmtid="{D5CDD505-2E9C-101B-9397-08002B2CF9AE}" pid="15" name="LINKK3">
    <vt:lpwstr/>
  </property>
  <property fmtid="{D5CDD505-2E9C-101B-9397-08002B2CF9AE}" pid="16" name="LINKK4">
    <vt:lpwstr/>
  </property>
  <property fmtid="{D5CDD505-2E9C-101B-9397-08002B2CF9AE}" pid="17" name="LINKK5">
    <vt:lpwstr/>
  </property>
  <property fmtid="{D5CDD505-2E9C-101B-9397-08002B2CF9AE}" pid="18" name="LINKK6">
    <vt:lpwstr/>
  </property>
  <property fmtid="{D5CDD505-2E9C-101B-9397-08002B2CF9AE}" pid="19" name="LINKK7">
    <vt:lpwstr/>
  </property>
  <property fmtid="{D5CDD505-2E9C-101B-9397-08002B2CF9AE}" pid="20" name="LINKK8">
    <vt:lpwstr/>
  </property>
  <property fmtid="{D5CDD505-2E9C-101B-9397-08002B2CF9AE}" pid="21" name="LINKK9">
    <vt:lpwstr/>
  </property>
  <property fmtid="{D5CDD505-2E9C-101B-9397-08002B2CF9AE}" pid="22" name="NEWPARTA">
    <vt:lpwstr>20604</vt:lpwstr>
  </property>
  <property fmtid="{D5CDD505-2E9C-101B-9397-08002B2CF9AE}" pid="23" name="NEWPARTB">
    <vt:lpwstr>12</vt:lpwstr>
  </property>
  <property fmtid="{D5CDD505-2E9C-101B-9397-08002B2CF9AE}" pid="24" name="NEWPARTC">
    <vt:lpwstr>09</vt:lpwstr>
  </property>
  <property fmtid="{D5CDD505-2E9C-101B-9397-08002B2CF9AE}" pid="25" name="NEWPROC">
    <vt:lpwstr>תפ</vt:lpwstr>
  </property>
  <property fmtid="{D5CDD505-2E9C-101B-9397-08002B2CF9AE}" pid="26" name="PADIMAIL">
    <vt:lpwstr/>
  </property>
  <property fmtid="{D5CDD505-2E9C-101B-9397-08002B2CF9AE}" pid="27" name="PAGE">
    <vt:lpwstr/>
  </property>
  <property fmtid="{D5CDD505-2E9C-101B-9397-08002B2CF9AE}" pid="28" name="PART">
    <vt:lpwstr/>
  </property>
  <property fmtid="{D5CDD505-2E9C-101B-9397-08002B2CF9AE}" pid="29" name="PROCESS">
    <vt:lpwstr/>
  </property>
  <property fmtid="{D5CDD505-2E9C-101B-9397-08002B2CF9AE}" pid="30" name="PROCNUM">
    <vt:lpwstr/>
  </property>
  <property fmtid="{D5CDD505-2E9C-101B-9397-08002B2CF9AE}" pid="31" name="PROCYEAR">
    <vt:lpwstr/>
  </property>
  <property fmtid="{D5CDD505-2E9C-101B-9397-08002B2CF9AE}" pid="32" name="PSAKDIN">
    <vt:lpwstr>גזר-דין</vt:lpwstr>
  </property>
  <property fmtid="{D5CDD505-2E9C-101B-9397-08002B2CF9AE}" pid="33" name="RemarkFileName">
    <vt:lpwstr>mechozi me 09 12 20604 753 htm</vt:lpwstr>
  </property>
  <property fmtid="{D5CDD505-2E9C-101B-9397-08002B2CF9AE}" pid="34" name="TYPE">
    <vt:lpwstr>2</vt:lpwstr>
  </property>
  <property fmtid="{D5CDD505-2E9C-101B-9397-08002B2CF9AE}" pid="35" name="TYPE_ABS_DATE">
    <vt:lpwstr>390020100628</vt:lpwstr>
  </property>
  <property fmtid="{D5CDD505-2E9C-101B-9397-08002B2CF9AE}" pid="36" name="TYPE_N_DATE">
    <vt:lpwstr>39020100628</vt:lpwstr>
  </property>
  <property fmtid="{D5CDD505-2E9C-101B-9397-08002B2CF9AE}" pid="37" name="VOLUME">
    <vt:lpwstr/>
  </property>
  <property fmtid="{D5CDD505-2E9C-101B-9397-08002B2CF9AE}" pid="38" name="WORDNUMPAGES">
    <vt:lpwstr>2</vt:lpwstr>
  </property>
</Properties>
</file>