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51"/>
        <w:gridCol w:w="3670"/>
      </w:tblGrid>
      <w:tr>
        <w:trPr>
          <w:trHeight w:val="418" w:hRule="exact"/>
        </w:trPr>
        <w:tc>
          <w:tcPr>
            <w:tcW w:w="8721" w:type="dxa"/>
            <w:gridSpan w:val="2"/>
            <w:tcBorders/>
          </w:tcPr>
          <w:p>
            <w:pPr>
              <w:pStyle w:val="Header"/>
              <w:ind w:end="0"/>
              <w:jc w:val="center"/>
              <w:rPr>
                <w:rFonts w:ascii="Tahoma" w:hAnsi="Tahoma" w:cs="Tahoma"/>
                <w:color w:val="000080"/>
              </w:rPr>
            </w:pPr>
            <w:bookmarkStart w:id="0" w:name="LastJudge"/>
            <w:bookmarkEnd w:id="0"/>
            <w:r>
              <w:rPr>
                <w:rFonts w:ascii="Tahoma" w:hAnsi="Tahoma" w:cs="Tahoma"/>
                <w:b/>
                <w:b/>
                <w:bCs/>
                <w:color w:val="000080"/>
                <w:rtl w:val="true"/>
              </w:rPr>
              <w:t>בית המשפט המחוזי בחיפה</w:t>
            </w:r>
          </w:p>
        </w:tc>
      </w:tr>
      <w:tr>
        <w:trPr>
          <w:trHeight w:val="337" w:hRule="atLeast"/>
        </w:trPr>
        <w:tc>
          <w:tcPr>
            <w:tcW w:w="5051" w:type="dxa"/>
            <w:tcBorders/>
          </w:tcPr>
          <w:p>
            <w:pPr>
              <w:pStyle w:val="Normal"/>
              <w:ind w:end="0"/>
              <w:jc w:val="start"/>
              <w:rPr/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  <w:r>
              <w:rPr>
                <w:rFonts w:cs="FrankRuehl"/>
                <w:sz w:val="28"/>
                <w:szCs w:val="28"/>
                <w:rtl w:val="true"/>
              </w:rPr>
              <w:t>"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Cs w:val="28"/>
              </w:rPr>
              <w:t>30145-12-11</w:t>
            </w:r>
            <w:r>
              <w:rPr>
                <w:rFonts w:cs="FrankRuehl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ישראל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נ</w:t>
            </w:r>
            <w:r>
              <w:rPr>
                <w:rFonts w:cs="FrankRuehl"/>
                <w:sz w:val="28"/>
                <w:szCs w:val="28"/>
                <w:rtl w:val="true"/>
              </w:rPr>
              <w:t xml:space="preserve">'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ח</w:t>
            </w:r>
            <w:r>
              <w:rPr>
                <w:rFonts w:cs="FrankRuehl"/>
                <w:sz w:val="28"/>
                <w:szCs w:val="28"/>
                <w:rtl w:val="true"/>
              </w:rPr>
              <w:t>'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טיב</w:t>
            </w:r>
            <w:r>
              <w:rPr>
                <w:rFonts w:cs="FrankRuehl"/>
                <w:sz w:val="28"/>
                <w:szCs w:val="28"/>
                <w:rtl w:val="true"/>
              </w:rPr>
              <w:t>(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עציר</w:t>
            </w:r>
            <w:r>
              <w:rPr>
                <w:rFonts w:cs="FrankRuehl"/>
                <w:sz w:val="28"/>
                <w:szCs w:val="28"/>
                <w:rtl w:val="true"/>
              </w:rPr>
              <w:t>)</w:t>
            </w:r>
          </w:p>
          <w:p>
            <w:pPr>
              <w:pStyle w:val="Header"/>
              <w:ind w:end="0"/>
              <w:jc w:val="start"/>
              <w:rPr>
                <w:rFonts w:cs="FrankRuehl"/>
                <w:sz w:val="28"/>
                <w:szCs w:val="28"/>
              </w:rPr>
            </w:pPr>
            <w:r>
              <w:rPr>
                <w:rFonts w:cs="FrankRuehl"/>
                <w:sz w:val="28"/>
                <w:szCs w:val="28"/>
                <w:rtl w:val="true"/>
              </w:rPr>
            </w:r>
          </w:p>
        </w:tc>
        <w:tc>
          <w:tcPr>
            <w:tcW w:w="3670" w:type="dxa"/>
            <w:tcBorders/>
          </w:tcPr>
          <w:p>
            <w:pPr>
              <w:pStyle w:val="Header"/>
              <w:ind w:end="0"/>
              <w:jc w:val="end"/>
              <w:rPr/>
            </w:pPr>
            <w:r>
              <w:rPr>
                <w:rFonts w:cs="FrankRuehl"/>
                <w:sz w:val="28"/>
                <w:szCs w:val="28"/>
              </w:rPr>
              <w:t>06</w:t>
            </w:r>
            <w:r>
              <w:rPr>
                <w:rFonts w:cs="FrankRuehl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פברואר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Cs w:val="28"/>
              </w:rPr>
              <w:t>2012</w:t>
            </w:r>
          </w:p>
        </w:tc>
      </w:tr>
    </w:tbl>
    <w:p>
      <w:pPr>
        <w:pStyle w:val="Header"/>
        <w:ind w:end="0"/>
        <w:jc w:val="start"/>
        <w:rPr>
          <w:rFonts w:cs="Times New Roman"/>
        </w:rPr>
      </w:pPr>
      <w:r>
        <w:rPr>
          <w:rFonts w:cs="Times New Roman"/>
          <w:rtl w:val="true"/>
        </w:rPr>
        <w:t xml:space="preserve"> </w:t>
      </w:r>
    </w:p>
    <w:tbl>
      <w:tblPr>
        <w:bidiVisual w:val="true"/>
        <w:tblW w:w="8802" w:type="dxa"/>
        <w:jc w:val="start"/>
        <w:tblInd w:w="-162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3"/>
        <w:gridCol w:w="2797"/>
        <w:gridCol w:w="5922"/>
      </w:tblGrid>
      <w:tr>
        <w:trPr/>
        <w:tc>
          <w:tcPr>
            <w:tcW w:w="83" w:type="dxa"/>
            <w:tcBorders/>
          </w:tcPr>
          <w:p>
            <w:pPr>
              <w:pStyle w:val="TableHeading"/>
              <w:rPr/>
            </w:pPr>
            <w:r>
              <w:rPr>
                <w:rtl w:val="true"/>
              </w:rPr>
            </w:r>
          </w:p>
        </w:tc>
        <w:tc>
          <w:tcPr>
            <w:tcW w:w="871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360"/>
              <w:ind w:end="0"/>
              <w:jc w:val="both"/>
              <w:rPr>
                <w:rFonts w:ascii="David" w:hAnsi="David" w:eastAsia="David" w:cs="David"/>
                <w:b/>
                <w:bCs/>
              </w:rPr>
            </w:pP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בפני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כב</w:t>
            </w:r>
            <w:r>
              <w:rPr>
                <w:b/>
                <w:bCs/>
                <w:rtl w:val="true"/>
              </w:rPr>
              <w:t xml:space="preserve">' </w:t>
            </w:r>
            <w:r>
              <w:rPr>
                <w:b/>
                <w:b/>
                <w:bCs/>
                <w:rtl w:val="true"/>
              </w:rPr>
              <w:t>השופט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רון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שפירא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rFonts w:ascii="David" w:hAnsi="David" w:eastAsia="David" w:cs="David"/>
                <w:b/>
                <w:bCs/>
              </w:rPr>
            </w:pPr>
            <w:bookmarkStart w:id="1" w:name="FirstAppellant"/>
            <w:bookmarkEnd w:id="1"/>
            <w:r>
              <w:rPr>
                <w:b/>
                <w:b/>
                <w:bCs/>
                <w:rtl w:val="true"/>
              </w:rPr>
              <w:t>המאשימה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David" w:hAnsi="David" w:eastAsia="David" w:cs="David"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מדינת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ישראל</w:t>
            </w:r>
          </w:p>
        </w:tc>
      </w:tr>
      <w:tr>
        <w:trPr/>
        <w:tc>
          <w:tcPr>
            <w:tcW w:w="8802" w:type="dxa"/>
            <w:gridSpan w:val="3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eastAsia="David" w:cs="Arial"/>
                <w:b/>
                <w:bCs/>
              </w:rPr>
            </w:pPr>
            <w:r>
              <w:rPr>
                <w:rFonts w:eastAsia="David" w:cs="Arial" w:ascii="Arial" w:hAnsi="Arial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/>
                <w:bCs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eastAsia="David" w:cs="Arial"/>
                <w:b/>
                <w:bCs/>
              </w:rPr>
            </w:pPr>
            <w:r>
              <w:rPr>
                <w:rFonts w:eastAsia="David" w:cs="Arial" w:ascii="Arial" w:hAnsi="Arial"/>
                <w:b/>
                <w:bCs/>
                <w:rtl w:val="true"/>
              </w:rPr>
            </w:r>
          </w:p>
        </w:tc>
      </w:tr>
      <w:tr>
        <w:trPr/>
        <w:tc>
          <w:tcPr>
            <w:tcW w:w="288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start="26" w:end="0"/>
              <w:jc w:val="start"/>
              <w:rPr>
                <w:rFonts w:ascii="David" w:hAnsi="David" w:eastAsia="David" w:cs="David"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הנאשם</w:t>
            </w:r>
          </w:p>
        </w:tc>
        <w:tc>
          <w:tcPr>
            <w:tcW w:w="5922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ind w:end="0"/>
              <w:jc w:val="start"/>
              <w:rPr>
                <w:rFonts w:ascii="David" w:hAnsi="David" w:eastAsia="David" w:cs="David"/>
                <w:b/>
                <w:bCs/>
              </w:rPr>
            </w:pPr>
            <w:r>
              <w:rPr>
                <w:b/>
                <w:b/>
                <w:bCs/>
                <w:rtl w:val="true"/>
              </w:rPr>
              <w:t>אמירהם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/>
                <w:bCs/>
                <w:rtl w:val="true"/>
              </w:rPr>
              <w:t>ח</w:t>
            </w:r>
            <w:r>
              <w:rPr>
                <w:b/>
                <w:bCs/>
                <w:rtl w:val="true"/>
              </w:rPr>
              <w:t>'</w:t>
            </w:r>
            <w:r>
              <w:rPr>
                <w:b/>
                <w:b/>
                <w:bCs/>
                <w:rtl w:val="true"/>
              </w:rPr>
              <w:t>טיב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  <w:rtl w:val="true"/>
              </w:rPr>
              <w:t>(</w:t>
            </w:r>
            <w:r>
              <w:rPr>
                <w:b/>
                <w:b/>
                <w:bCs/>
                <w:rtl w:val="true"/>
              </w:rPr>
              <w:t>עציר</w:t>
            </w:r>
            <w:r>
              <w:rPr>
                <w:b/>
                <w:bCs/>
                <w:rtl w:val="true"/>
              </w:rPr>
              <w:t xml:space="preserve">), </w:t>
            </w:r>
            <w:r>
              <w:rPr>
                <w:b/>
                <w:b/>
                <w:bCs/>
                <w:rtl w:val="true"/>
              </w:rPr>
              <w:t>ת</w:t>
            </w:r>
            <w:r>
              <w:rPr>
                <w:b/>
                <w:bCs/>
                <w:rtl w:val="true"/>
              </w:rPr>
              <w:t>"</w:t>
            </w:r>
            <w:r>
              <w:rPr>
                <w:b/>
                <w:b/>
                <w:bCs/>
                <w:rtl w:val="true"/>
              </w:rPr>
              <w:t>ז</w:t>
            </w:r>
            <w:r>
              <w:rPr>
                <w:rFonts w:cs="Times New Roman"/>
                <w:b/>
                <w:b/>
                <w:bCs/>
                <w:rtl w:val="true"/>
              </w:rPr>
              <w:t xml:space="preserve"> </w:t>
            </w:r>
            <w:r>
              <w:rPr>
                <w:b/>
                <w:bCs/>
              </w:rPr>
              <w:t>xxxxxxxxx</w:t>
            </w:r>
          </w:p>
        </w:tc>
      </w:tr>
    </w:tbl>
    <w:p>
      <w:pPr>
        <w:pStyle w:val="Normal"/>
        <w:ind w:end="0"/>
        <w:jc w:val="start"/>
        <w:rPr>
          <w:rFonts w:ascii="Arial" w:hAnsi="Arial" w:cs="FrankRuehl"/>
        </w:rPr>
      </w:pPr>
      <w:r>
        <w:rPr>
          <w:rFonts w:cs="FrankRuehl" w:ascii="Arial" w:hAnsi="Arial"/>
          <w:rtl w:val="true"/>
        </w:rPr>
      </w:r>
      <w:bookmarkStart w:id="2" w:name="LawTable"/>
      <w:bookmarkStart w:id="3" w:name="LawTable"/>
      <w:bookmarkEnd w:id="3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cs="FrankRuehl" w:ascii="FrankRuehl" w:hAnsi="FrankRuehl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</w:rPr>
      </w:pPr>
      <w:r>
        <w:rPr>
          <w:rFonts w:ascii="FrankRuehl" w:hAnsi="FrankRuehl" w:cs="FrankRuehl"/>
          <w:rtl w:val="true"/>
        </w:rPr>
        <w:t>חקיקה שאוזכרה</w:t>
      </w:r>
      <w:r>
        <w:rPr>
          <w:rFonts w:cs="FrankRuehl" w:ascii="FrankRuehl" w:hAnsi="FrankRuehl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hyperlink r:id="rId2">
        <w:r>
          <w:rPr>
            <w:rStyle w:val="Hyperlink"/>
            <w:rFonts w:ascii="FrankRuehl" w:hAnsi="FrankRuehl" w:cs="FrankRuehl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rtl w:val="true"/>
          </w:rPr>
          <w:t>תשל</w:t>
        </w:r>
        <w:r>
          <w:rPr>
            <w:rStyle w:val="Hyperlink"/>
            <w:rFonts w:cs="FrankRuehl" w:ascii="FrankRuehl" w:hAnsi="FrankRuehl"/>
            <w:rtl w:val="true"/>
          </w:rPr>
          <w:t>"</w:t>
        </w:r>
        <w:r>
          <w:rPr>
            <w:rStyle w:val="Hyperlink"/>
            <w:rFonts w:ascii="FrankRuehl" w:hAnsi="FrankRuehl" w:cs="FrankRuehl"/>
            <w:rtl w:val="true"/>
          </w:rPr>
          <w:t>ז</w:t>
        </w:r>
        <w:r>
          <w:rPr>
            <w:rStyle w:val="Hyperlink"/>
            <w:rFonts w:cs="FrankRuehl" w:ascii="FrankRuehl" w:hAnsi="FrankRuehl"/>
            <w:rtl w:val="true"/>
          </w:rPr>
          <w:t>-</w:t>
        </w:r>
        <w:r>
          <w:rPr>
            <w:rStyle w:val="Hyperlink"/>
            <w:rFonts w:cs="FrankRuehl" w:ascii="FrankRuehl" w:hAnsi="FrankRuehl"/>
          </w:rPr>
          <w:t>1977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u w:val="single"/>
          <w:rtl w:val="true"/>
        </w:rPr>
        <w:t xml:space="preserve">'  </w:t>
      </w:r>
      <w:hyperlink r:id="rId3">
        <w:r>
          <w:rPr>
            <w:rStyle w:val="Hyperlink"/>
            <w:rFonts w:cs="FrankRuehl" w:ascii="FrankRuehl" w:hAnsi="FrankRuehl"/>
          </w:rPr>
          <w:t>144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א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4">
        <w:r>
          <w:rPr>
            <w:rStyle w:val="Hyperlink"/>
            <w:rFonts w:cs="FrankRuehl" w:ascii="FrankRuehl" w:hAnsi="FrankRuehl"/>
          </w:rPr>
          <w:t>144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ב</w:t>
        </w:r>
        <w:r>
          <w:rPr>
            <w:rStyle w:val="Hyperlink"/>
            <w:rFonts w:cs="FrankRuehl" w:ascii="FrankRuehl" w:hAnsi="FrankRuehl"/>
          </w:rPr>
          <w:t>2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  <w:r>
        <w:rPr>
          <w:rFonts w:cs="FrankRuehl" w:ascii="FrankRuehl" w:hAnsi="FrankRuehl"/>
          <w:color w:val="0000FF"/>
          <w:u w:val="single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</w:rPr>
          <w:t>144</w:t>
        </w:r>
        <w:r>
          <w:rPr>
            <w:rStyle w:val="Hyperlink"/>
            <w:rFonts w:cs="FrankRuehl" w:ascii="FrankRuehl" w:hAnsi="FrankRuehl"/>
            <w:rtl w:val="true"/>
          </w:rPr>
          <w:t>(</w:t>
        </w:r>
        <w:r>
          <w:rPr>
            <w:rStyle w:val="Hyperlink"/>
            <w:rFonts w:ascii="FrankRuehl" w:hAnsi="FrankRuehl" w:cs="FrankRuehl"/>
            <w:rtl w:val="true"/>
          </w:rPr>
          <w:t>ג</w:t>
        </w:r>
        <w:r>
          <w:rPr>
            <w:rStyle w:val="Hyperlink"/>
            <w:rFonts w:cs="FrankRuehl" w:ascii="FrankRuehl" w:hAnsi="FrankRuehl"/>
            <w:rtl w:val="true"/>
          </w:rPr>
          <w:t>)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u w:val="single"/>
        </w:rPr>
      </w:pPr>
      <w:r>
        <w:rPr>
          <w:rFonts w:cs="FrankRuehl" w:ascii="FrankRuehl" w:hAnsi="FrankRuehl"/>
          <w:color w:val="0000FF"/>
          <w:u w:val="single"/>
          <w:rtl w:val="true"/>
        </w:rPr>
      </w:r>
    </w:p>
    <w:p>
      <w:pPr>
        <w:pStyle w:val="Normal"/>
        <w:ind w:end="0"/>
        <w:jc w:val="start"/>
        <w:rPr>
          <w:rFonts w:ascii="Arial" w:hAnsi="Arial" w:cs="FrankRuehl"/>
        </w:rPr>
      </w:pPr>
      <w:r>
        <w:rPr>
          <w:rFonts w:cs="FrankRuehl" w:ascii="Arial" w:hAnsi="Arial"/>
          <w:rtl w:val="true"/>
        </w:rPr>
      </w:r>
      <w:bookmarkStart w:id="4" w:name="LawTable_End"/>
      <w:bookmarkStart w:id="5" w:name="LawTable_End"/>
      <w:bookmarkEnd w:id="5"/>
    </w:p>
    <w:p>
      <w:pPr>
        <w:pStyle w:val="Normal"/>
        <w:ind w:end="0"/>
        <w:jc w:val="start"/>
        <w:rPr>
          <w:rFonts w:ascii="Arial" w:hAnsi="Arial" w:cs="FrankRuehl"/>
        </w:rPr>
      </w:pPr>
      <w:r>
        <w:rPr>
          <w:rFonts w:cs="FrankRuehl" w:ascii="Arial" w:hAnsi="Arial"/>
          <w:rtl w:val="true"/>
        </w:rPr>
      </w:r>
    </w:p>
    <w:p>
      <w:pPr>
        <w:pStyle w:val="Normal"/>
        <w:ind w:end="0"/>
        <w:jc w:val="start"/>
        <w:rPr>
          <w:rFonts w:ascii="Arial" w:hAnsi="Arial" w:cs="FrankRuehl"/>
        </w:rPr>
      </w:pPr>
      <w:r>
        <w:rPr>
          <w:rFonts w:cs="FrankRuehl" w:ascii="Arial" w:hAnsi="Arial"/>
          <w:rtl w:val="true"/>
        </w:rPr>
      </w:r>
    </w:p>
    <w:p>
      <w:pPr>
        <w:pStyle w:val="Normal"/>
        <w:ind w:end="0"/>
        <w:jc w:val="start"/>
        <w:rPr>
          <w:rFonts w:ascii="Arial" w:hAnsi="Arial" w:cs="FrankRuehl"/>
        </w:rPr>
      </w:pPr>
      <w:r>
        <w:rPr>
          <w:rFonts w:cs="FrankRuehl" w:ascii="Arial" w:hAnsi="Arial"/>
          <w:rtl w:val="true"/>
        </w:rPr>
      </w:r>
    </w:p>
    <w:p>
      <w:pPr>
        <w:pStyle w:val="Normal"/>
        <w:ind w:end="0"/>
        <w:jc w:val="start"/>
        <w:rPr>
          <w:rFonts w:ascii="Arial" w:hAnsi="Arial" w:cs="FrankRuehl"/>
        </w:rPr>
      </w:pPr>
      <w:r>
        <w:rPr>
          <w:rFonts w:cs="FrankRuehl" w:ascii="Arial" w:hAnsi="Arial"/>
          <w:rtl w:val="true"/>
        </w:rPr>
      </w:r>
    </w:p>
    <w:tbl>
      <w:tblPr>
        <w:bidiVisual w:val="true"/>
        <w:tblW w:w="88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820"/>
      </w:tblGrid>
      <w:tr>
        <w:trPr>
          <w:trHeight w:val="355" w:hRule="atLeast"/>
        </w:trPr>
        <w:tc>
          <w:tcPr>
            <w:tcW w:w="8820" w:type="dxa"/>
            <w:tcBorders/>
          </w:tcPr>
          <w:p>
            <w:pPr>
              <w:pStyle w:val="Normal"/>
              <w:ind w:end="0"/>
              <w:jc w:val="center"/>
              <w:rPr>
                <w:rFonts w:ascii="Arial" w:hAnsi="Arial"/>
                <w:b/>
                <w:bCs/>
                <w:sz w:val="32"/>
                <w:szCs w:val="32"/>
                <w:u w:val="single"/>
              </w:rPr>
            </w:pPr>
            <w:bookmarkStart w:id="6" w:name="PsakDin"/>
            <w:bookmarkEnd w:id="6"/>
            <w:r>
              <w:rPr>
                <w:rFonts w:ascii="Arial" w:hAnsi="Arial" w:cs="FrankRuehl"/>
                <w:b/>
                <w:b/>
                <w:bCs/>
                <w:sz w:val="32"/>
                <w:sz w:val="32"/>
                <w:szCs w:val="32"/>
                <w:u w:val="single"/>
                <w:rtl w:val="true"/>
              </w:rPr>
              <w:t>גזר</w:t>
            </w:r>
            <w:r>
              <w:rPr>
                <w:rFonts w:ascii="Arial" w:hAnsi="Arial" w:eastAsia="Arial" w:cs="Arial"/>
                <w:b/>
                <w:b/>
                <w:bCs/>
                <w:sz w:val="32"/>
                <w:sz w:val="32"/>
                <w:szCs w:val="32"/>
                <w:u w:val="single"/>
                <w:rtl w:val="true"/>
              </w:rPr>
              <w:t xml:space="preserve"> </w:t>
            </w:r>
            <w:r>
              <w:rPr>
                <w:rFonts w:ascii="Arial" w:hAnsi="Arial" w:cs="FrankRuehl"/>
                <w:b/>
                <w:b/>
                <w:bCs/>
                <w:sz w:val="32"/>
                <w:sz w:val="32"/>
                <w:szCs w:val="32"/>
                <w:u w:val="single"/>
                <w:rtl w:val="true"/>
              </w:rPr>
              <w:t>דין</w:t>
            </w:r>
          </w:p>
          <w:p>
            <w:pPr>
              <w:pStyle w:val="Normal"/>
              <w:ind w:end="0"/>
              <w:jc w:val="center"/>
              <w:rPr>
                <w:rFonts w:ascii="Arial" w:hAnsi="Arial" w:cs="FrankRuehl"/>
                <w:b/>
                <w:bCs/>
                <w:sz w:val="32"/>
                <w:szCs w:val="32"/>
                <w:u w:val="single"/>
              </w:rPr>
            </w:pPr>
            <w:r>
              <w:rPr>
                <w:rFonts w:cs="FrankRuehl" w:ascii="Arial" w:hAnsi="Arial"/>
                <w:b/>
                <w:bCs/>
                <w:sz w:val="32"/>
                <w:szCs w:val="32"/>
                <w:u w:val="single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ascii="Arial" w:hAnsi="Arial" w:cs="FrankRuehl"/>
        </w:rPr>
      </w:pPr>
      <w:r>
        <w:rPr>
          <w:rFonts w:cs="FrankRuehl" w:ascii="Arial" w:hAnsi="Arial"/>
          <w:rtl w:val="true"/>
        </w:rPr>
      </w:r>
    </w:p>
    <w:p>
      <w:pPr>
        <w:pStyle w:val="Normal"/>
        <w:spacing w:lineRule="auto" w:line="360"/>
        <w:ind w:hanging="720" w:start="720" w:end="0"/>
        <w:jc w:val="both"/>
        <w:rPr>
          <w:rStyle w:val="normal-h"/>
        </w:rPr>
      </w:pPr>
      <w:r>
        <w:rPr>
          <w:b/>
          <w:bCs/>
        </w:rPr>
        <w:t>1</w:t>
      </w:r>
      <w:r>
        <w:rPr>
          <w:b/>
          <w:bCs/>
          <w:rtl w:val="true"/>
        </w:rPr>
        <w:t>.</w:t>
      </w:r>
      <w:r>
        <w:rPr>
          <w:rtl w:val="true"/>
        </w:rPr>
        <w:tab/>
      </w:r>
      <w:r>
        <w:rPr>
          <w:b/>
          <w:b/>
          <w:bCs/>
          <w:u w:val="single"/>
          <w:rtl w:val="true"/>
        </w:rPr>
        <w:t>העבירות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בהן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הורשע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הנאשם</w:t>
      </w:r>
      <w:r>
        <w:rPr>
          <w:b/>
          <w:bCs/>
          <w:u w:val="single"/>
          <w:rtl w:val="true"/>
        </w:rPr>
        <w:t>:</w:t>
      </w:r>
      <w:r>
        <w:rPr>
          <w:b/>
          <w:bCs/>
          <w:rtl w:val="true"/>
        </w:rPr>
        <w:t xml:space="preserve"> </w:t>
      </w:r>
    </w:p>
    <w:p>
      <w:pPr>
        <w:pStyle w:val="Normal"/>
        <w:spacing w:lineRule="auto" w:line="360"/>
        <w:ind w:start="720" w:end="0"/>
        <w:jc w:val="both"/>
        <w:rPr/>
      </w:pPr>
      <w:bookmarkStart w:id="7" w:name="ABSTRACT_START"/>
      <w:bookmarkEnd w:id="7"/>
      <w:r>
        <w:rPr>
          <w:rStyle w:val="normal-h"/>
          <w:rtl w:val="true"/>
        </w:rPr>
        <w:t>הנאשם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הורשע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על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פי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הודאתו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בעובדות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כתב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אישום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מתוקן</w:t>
      </w:r>
      <w:r>
        <w:rPr>
          <w:rStyle w:val="normal-h"/>
          <w:rtl w:val="true"/>
        </w:rPr>
        <w:t xml:space="preserve">, </w:t>
      </w:r>
      <w:r>
        <w:rPr>
          <w:rStyle w:val="normal-h"/>
          <w:rtl w:val="true"/>
        </w:rPr>
        <w:t>בעביר</w:t>
      </w:r>
      <w:r>
        <w:rPr>
          <w:rStyle w:val="normal-h"/>
          <w:rtl w:val="true"/>
        </w:rPr>
        <w:t>ות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של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החזקת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נשק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–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עבירה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לפי</w:t>
      </w:r>
      <w:r>
        <w:rPr>
          <w:rStyle w:val="normal-h"/>
          <w:rFonts w:cs="Times New Roman"/>
          <w:rtl w:val="true"/>
        </w:rPr>
        <w:t xml:space="preserve"> </w:t>
      </w:r>
      <w:hyperlink r:id="rId6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א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Style w:val="normal-h"/>
          <w:rtl w:val="true"/>
        </w:rPr>
        <w:t xml:space="preserve"> (</w:t>
      </w:r>
      <w:r>
        <w:rPr>
          <w:rStyle w:val="normal-h"/>
          <w:rtl w:val="true"/>
        </w:rPr>
        <w:t>רישא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 xml:space="preserve">+ </w:t>
      </w:r>
      <w:r>
        <w:rPr>
          <w:rStyle w:val="normal-h"/>
          <w:rtl w:val="true"/>
        </w:rPr>
        <w:t>סיפא</w:t>
      </w:r>
      <w:r>
        <w:rPr>
          <w:rStyle w:val="normal-h"/>
          <w:rtl w:val="true"/>
        </w:rPr>
        <w:t xml:space="preserve">) + </w:t>
      </w:r>
      <w:hyperlink r:id="rId7"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Style w:val="normal-h"/>
          <w:rtl w:val="true"/>
        </w:rPr>
        <w:t xml:space="preserve"> </w:t>
      </w:r>
      <w:r>
        <w:rPr>
          <w:rStyle w:val="normal-h"/>
          <w:rtl w:val="true"/>
        </w:rPr>
        <w:t>ל</w:t>
      </w:r>
      <w:hyperlink r:id="rId8">
        <w:r>
          <w:rPr>
            <w:rStyle w:val="Hyperlink"/>
            <w:rtl w:val="true"/>
          </w:rPr>
          <w:t>חוק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(</w:t>
      </w:r>
      <w:r>
        <w:rPr>
          <w:rStyle w:val="normal-h"/>
          <w:rtl w:val="true"/>
        </w:rPr>
        <w:t>שתי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עבירות</w:t>
      </w:r>
      <w:r>
        <w:rPr>
          <w:rStyle w:val="normal-h"/>
          <w:rtl w:val="true"/>
        </w:rPr>
        <w:t xml:space="preserve">); </w:t>
      </w:r>
      <w:r>
        <w:rPr>
          <w:rStyle w:val="normal-h"/>
          <w:rtl w:val="true"/>
        </w:rPr>
        <w:t>עבירה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של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סחר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שלא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כדין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בנשק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–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עבירה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לפי</w:t>
      </w:r>
      <w:r>
        <w:rPr>
          <w:rStyle w:val="normal-h"/>
          <w:rFonts w:cs="Times New Roman"/>
          <w:rtl w:val="true"/>
        </w:rPr>
        <w:t xml:space="preserve"> </w:t>
      </w:r>
      <w:hyperlink r:id="rId9">
        <w:r>
          <w:rPr>
            <w:rStyle w:val="Hyperlink"/>
            <w:color w:val="0000FF"/>
            <w:u w:val="single"/>
            <w:rtl w:val="true"/>
          </w:rPr>
          <w:t>סעיף</w:t>
        </w:r>
        <w:r>
          <w:rPr>
            <w:rStyle w:val="Hyperlink"/>
            <w:rFonts w:cs="Times New Roman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ב</w:t>
        </w:r>
        <w:r>
          <w:rPr>
            <w:rStyle w:val="Hyperlink"/>
            <w:color w:val="0000FF"/>
            <w:u w:val="single"/>
          </w:rPr>
          <w:t>2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Style w:val="normal-h"/>
          <w:rtl w:val="true"/>
        </w:rPr>
        <w:t xml:space="preserve"> + </w:t>
      </w:r>
      <w:hyperlink r:id="rId10">
        <w:r>
          <w:rPr>
            <w:rStyle w:val="Hyperlink"/>
            <w:color w:val="0000FF"/>
            <w:u w:val="single"/>
          </w:rPr>
          <w:t>144</w:t>
        </w:r>
        <w:r>
          <w:rPr>
            <w:rStyle w:val="Hyperlink"/>
            <w:color w:val="0000FF"/>
            <w:u w:val="single"/>
            <w:rtl w:val="true"/>
          </w:rPr>
          <w:t>(</w:t>
        </w:r>
        <w:r>
          <w:rPr>
            <w:rStyle w:val="Hyperlink"/>
            <w:color w:val="0000FF"/>
            <w:u w:val="single"/>
            <w:rtl w:val="true"/>
          </w:rPr>
          <w:t>ג</w:t>
        </w:r>
        <w:r>
          <w:rPr>
            <w:rStyle w:val="Hyperlink"/>
            <w:color w:val="0000FF"/>
            <w:u w:val="single"/>
            <w:rtl w:val="true"/>
          </w:rPr>
          <w:t>)</w:t>
        </w:r>
      </w:hyperlink>
      <w:r>
        <w:rPr>
          <w:rStyle w:val="normal-h"/>
          <w:rtl w:val="true"/>
        </w:rPr>
        <w:t xml:space="preserve"> </w:t>
      </w:r>
      <w:r>
        <w:rPr>
          <w:rStyle w:val="normal-h"/>
          <w:rtl w:val="true"/>
        </w:rPr>
        <w:t>לחוק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העונשין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(</w:t>
      </w:r>
      <w:r>
        <w:rPr>
          <w:rStyle w:val="normal-h"/>
          <w:rtl w:val="true"/>
        </w:rPr>
        <w:t>שתי</w:t>
      </w:r>
      <w:r>
        <w:rPr>
          <w:rStyle w:val="normal-h"/>
          <w:rFonts w:cs="Times New Roman"/>
          <w:rtl w:val="true"/>
        </w:rPr>
        <w:t xml:space="preserve"> </w:t>
      </w:r>
      <w:r>
        <w:rPr>
          <w:rStyle w:val="normal-h"/>
          <w:rtl w:val="true"/>
        </w:rPr>
        <w:t>עבירות</w:t>
      </w:r>
      <w:r>
        <w:rPr>
          <w:rStyle w:val="normal-h"/>
          <w:rtl w:val="true"/>
        </w:rPr>
        <w:t>).</w:t>
      </w:r>
    </w:p>
    <w:p>
      <w:pPr>
        <w:pStyle w:val="normal-p"/>
        <w:bidi w:val="1"/>
        <w:spacing w:lineRule="auto" w:line="360"/>
        <w:ind w:start="720" w:end="0"/>
        <w:jc w:val="both"/>
        <w:rPr>
          <w:rFonts w:cs="David"/>
        </w:rPr>
      </w:pPr>
      <w:bookmarkStart w:id="8" w:name="ABSTRACT_END"/>
      <w:bookmarkEnd w:id="8"/>
      <w:r>
        <w:rPr>
          <w:rFonts w:cs="David"/>
          <w:rtl w:val="true"/>
        </w:rPr>
        <w:t>על</w:t>
      </w:r>
      <w:r>
        <w:rPr>
          <w:rtl w:val="true"/>
        </w:rPr>
        <w:t xml:space="preserve"> </w:t>
      </w:r>
      <w:r>
        <w:rPr>
          <w:rFonts w:cs="David"/>
          <w:rtl w:val="true"/>
        </w:rPr>
        <w:t>פי</w:t>
      </w:r>
      <w:r>
        <w:rPr>
          <w:rtl w:val="true"/>
        </w:rPr>
        <w:t xml:space="preserve"> </w:t>
      </w:r>
      <w:r>
        <w:rPr>
          <w:rFonts w:cs="David"/>
          <w:rtl w:val="true"/>
        </w:rPr>
        <w:t>עובדות</w:t>
      </w:r>
      <w:r>
        <w:rPr>
          <w:rtl w:val="true"/>
        </w:rPr>
        <w:t xml:space="preserve"> </w:t>
      </w:r>
      <w:r>
        <w:rPr>
          <w:rFonts w:cs="David"/>
          <w:rtl w:val="true"/>
        </w:rPr>
        <w:t>כתב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האישום</w:t>
      </w:r>
      <w:r>
        <w:rPr>
          <w:rtl w:val="true"/>
        </w:rPr>
        <w:t xml:space="preserve"> </w:t>
      </w:r>
      <w:r>
        <w:rPr>
          <w:rFonts w:cs="David"/>
          <w:rtl w:val="true"/>
        </w:rPr>
        <w:t>בו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הודה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הנאשם</w:t>
      </w:r>
      <w:r>
        <w:rPr>
          <w:rFonts w:cs="David"/>
          <w:rtl w:val="true"/>
        </w:rPr>
        <w:t xml:space="preserve">, </w:t>
      </w:r>
      <w:r>
        <w:rPr>
          <w:rFonts w:cs="David"/>
          <w:rtl w:val="true"/>
        </w:rPr>
        <w:t>הוא</w:t>
      </w:r>
      <w:r>
        <w:rPr>
          <w:rtl w:val="true"/>
        </w:rPr>
        <w:t xml:space="preserve"> </w:t>
      </w:r>
      <w:r>
        <w:rPr>
          <w:rFonts w:cs="David"/>
          <w:rtl w:val="true"/>
        </w:rPr>
        <w:t>מכר</w:t>
      </w:r>
      <w:r>
        <w:rPr>
          <w:rtl w:val="true"/>
        </w:rPr>
        <w:t xml:space="preserve"> </w:t>
      </w:r>
      <w:r>
        <w:rPr>
          <w:rFonts w:cs="David"/>
          <w:rtl w:val="true"/>
        </w:rPr>
        <w:t>בשתי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הזדמנויות</w:t>
      </w:r>
      <w:r>
        <w:rPr>
          <w:rtl w:val="true"/>
        </w:rPr>
        <w:t xml:space="preserve"> </w:t>
      </w:r>
      <w:r>
        <w:rPr>
          <w:rFonts w:cs="David"/>
          <w:rtl w:val="true"/>
        </w:rPr>
        <w:t>לסוכן</w:t>
      </w:r>
      <w:r>
        <w:rPr>
          <w:rtl w:val="true"/>
        </w:rPr>
        <w:t xml:space="preserve"> </w:t>
      </w:r>
      <w:r>
        <w:rPr>
          <w:rFonts w:cs="David"/>
          <w:rtl w:val="true"/>
        </w:rPr>
        <w:t>משטרתי</w:t>
      </w:r>
      <w:r>
        <w:rPr>
          <w:rtl w:val="true"/>
        </w:rPr>
        <w:t xml:space="preserve"> </w:t>
      </w:r>
      <w:r>
        <w:rPr>
          <w:rFonts w:cs="David"/>
          <w:rtl w:val="true"/>
        </w:rPr>
        <w:t>סמוי</w:t>
      </w:r>
      <w:r>
        <w:rPr>
          <w:rtl w:val="true"/>
        </w:rPr>
        <w:t xml:space="preserve"> </w:t>
      </w:r>
      <w:r>
        <w:rPr>
          <w:rFonts w:cs="David"/>
          <w:rtl w:val="true"/>
        </w:rPr>
        <w:t>שני</w:t>
      </w:r>
      <w:r>
        <w:rPr>
          <w:rtl w:val="true"/>
        </w:rPr>
        <w:t xml:space="preserve"> </w:t>
      </w:r>
      <w:r>
        <w:rPr>
          <w:rFonts w:cs="David"/>
          <w:rtl w:val="true"/>
        </w:rPr>
        <w:t>אקדחים</w:t>
      </w:r>
      <w:r>
        <w:rPr>
          <w:rtl w:val="true"/>
        </w:rPr>
        <w:t xml:space="preserve"> </w:t>
      </w:r>
      <w:r>
        <w:rPr>
          <w:rFonts w:cs="David"/>
          <w:rtl w:val="true"/>
        </w:rPr>
        <w:t>ביחד</w:t>
      </w:r>
      <w:r>
        <w:rPr>
          <w:rtl w:val="true"/>
        </w:rPr>
        <w:t xml:space="preserve"> </w:t>
      </w:r>
      <w:r>
        <w:rPr>
          <w:rFonts w:cs="David"/>
          <w:rtl w:val="true"/>
        </w:rPr>
        <w:t>עם</w:t>
      </w:r>
      <w:r>
        <w:rPr>
          <w:rtl w:val="true"/>
        </w:rPr>
        <w:t xml:space="preserve"> </w:t>
      </w:r>
      <w:r>
        <w:rPr>
          <w:rFonts w:cs="David"/>
          <w:rtl w:val="true"/>
        </w:rPr>
        <w:t>תחמושת</w:t>
      </w:r>
      <w:r>
        <w:rPr>
          <w:rtl w:val="true"/>
        </w:rPr>
        <w:t xml:space="preserve"> </w:t>
      </w:r>
      <w:r>
        <w:rPr>
          <w:rFonts w:cs="David"/>
          <w:rtl w:val="true"/>
        </w:rPr>
        <w:t>מתאימה</w:t>
      </w:r>
      <w:r>
        <w:rPr>
          <w:rFonts w:cs="David"/>
          <w:rtl w:val="true"/>
        </w:rPr>
        <w:t xml:space="preserve">, </w:t>
      </w:r>
      <w:r>
        <w:rPr>
          <w:rFonts w:cs="David"/>
          <w:rtl w:val="true"/>
        </w:rPr>
        <w:t>זאת</w:t>
      </w:r>
      <w:r>
        <w:rPr>
          <w:rtl w:val="true"/>
        </w:rPr>
        <w:t xml:space="preserve"> </w:t>
      </w:r>
      <w:r>
        <w:rPr>
          <w:rFonts w:cs="David"/>
          <w:rtl w:val="true"/>
        </w:rPr>
        <w:t>לאחר</w:t>
      </w:r>
      <w:r>
        <w:rPr>
          <w:rtl w:val="true"/>
        </w:rPr>
        <w:t xml:space="preserve"> </w:t>
      </w:r>
      <w:r>
        <w:rPr>
          <w:rFonts w:cs="David"/>
          <w:rtl w:val="true"/>
        </w:rPr>
        <w:t>שהאקדחים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הוחזקו</w:t>
      </w:r>
      <w:r>
        <w:rPr>
          <w:rtl w:val="true"/>
        </w:rPr>
        <w:t xml:space="preserve"> </w:t>
      </w:r>
      <w:r>
        <w:rPr>
          <w:rFonts w:cs="David"/>
          <w:rtl w:val="true"/>
        </w:rPr>
        <w:t>על</w:t>
      </w:r>
      <w:r>
        <w:rPr>
          <w:rtl w:val="true"/>
        </w:rPr>
        <w:t xml:space="preserve"> </w:t>
      </w:r>
      <w:r>
        <w:rPr>
          <w:rFonts w:cs="David"/>
          <w:rtl w:val="true"/>
        </w:rPr>
        <w:t>ידו</w:t>
      </w:r>
      <w:r>
        <w:rPr>
          <w:rtl w:val="true"/>
        </w:rPr>
        <w:t xml:space="preserve"> </w:t>
      </w:r>
      <w:r>
        <w:rPr>
          <w:rFonts w:cs="David"/>
          <w:rtl w:val="true"/>
        </w:rPr>
        <w:t>שלא</w:t>
      </w:r>
      <w:r>
        <w:rPr>
          <w:rtl w:val="true"/>
        </w:rPr>
        <w:t xml:space="preserve"> </w:t>
      </w:r>
      <w:r>
        <w:rPr>
          <w:rFonts w:cs="David"/>
          <w:rtl w:val="true"/>
        </w:rPr>
        <w:t>כדין</w:t>
      </w:r>
      <w:r>
        <w:rPr>
          <w:rFonts w:cs="David"/>
          <w:rtl w:val="true"/>
        </w:rPr>
        <w:t xml:space="preserve">. </w:t>
      </w:r>
    </w:p>
    <w:p>
      <w:pPr>
        <w:pStyle w:val="normal-p"/>
        <w:bidi w:val="1"/>
        <w:spacing w:lineRule="auto" w:line="360"/>
        <w:ind w:start="720" w:end="0"/>
        <w:jc w:val="both"/>
        <w:rPr>
          <w:rFonts w:cs="David"/>
        </w:rPr>
      </w:pPr>
      <w:r>
        <w:rPr>
          <w:rFonts w:cs="David"/>
          <w:rtl w:val="true"/>
        </w:rPr>
        <w:t>הנאשם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הודה</w:t>
      </w:r>
      <w:r>
        <w:rPr>
          <w:rtl w:val="true"/>
        </w:rPr>
        <w:t xml:space="preserve"> </w:t>
      </w:r>
      <w:r>
        <w:rPr>
          <w:rFonts w:cs="David"/>
          <w:rtl w:val="true"/>
        </w:rPr>
        <w:t>בעובדות</w:t>
      </w:r>
      <w:r>
        <w:rPr>
          <w:rtl w:val="true"/>
        </w:rPr>
        <w:t xml:space="preserve"> </w:t>
      </w:r>
      <w:r>
        <w:rPr>
          <w:rFonts w:cs="David"/>
          <w:rtl w:val="true"/>
        </w:rPr>
        <w:t>כתב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האישום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המתוקן</w:t>
      </w:r>
      <w:r>
        <w:rPr>
          <w:rtl w:val="true"/>
        </w:rPr>
        <w:t xml:space="preserve"> </w:t>
      </w:r>
      <w:r>
        <w:rPr>
          <w:rFonts w:cs="David"/>
          <w:rtl w:val="true"/>
        </w:rPr>
        <w:t>מיד</w:t>
      </w:r>
      <w:r>
        <w:rPr>
          <w:rtl w:val="true"/>
        </w:rPr>
        <w:t xml:space="preserve"> </w:t>
      </w:r>
      <w:r>
        <w:rPr>
          <w:rFonts w:cs="David"/>
          <w:rtl w:val="true"/>
        </w:rPr>
        <w:t>בפתח</w:t>
      </w:r>
      <w:r>
        <w:rPr>
          <w:rtl w:val="true"/>
        </w:rPr>
        <w:t xml:space="preserve"> </w:t>
      </w:r>
      <w:r>
        <w:rPr>
          <w:rFonts w:cs="David"/>
          <w:rtl w:val="true"/>
        </w:rPr>
        <w:t>משפטו</w:t>
      </w:r>
      <w:r>
        <w:rPr>
          <w:rFonts w:cs="David"/>
          <w:rtl w:val="true"/>
        </w:rPr>
        <w:t xml:space="preserve">, </w:t>
      </w:r>
      <w:r>
        <w:rPr>
          <w:rFonts w:cs="David"/>
        </w:rPr>
        <w:t>10</w:t>
      </w:r>
      <w:r>
        <w:rPr>
          <w:rFonts w:cs="David"/>
          <w:rtl w:val="true"/>
        </w:rPr>
        <w:t xml:space="preserve"> </w:t>
      </w:r>
      <w:r>
        <w:rPr>
          <w:rFonts w:cs="David"/>
          <w:rtl w:val="true"/>
        </w:rPr>
        <w:t>ימים</w:t>
      </w:r>
      <w:r>
        <w:rPr>
          <w:rtl w:val="true"/>
        </w:rPr>
        <w:t xml:space="preserve"> </w:t>
      </w:r>
      <w:r>
        <w:rPr>
          <w:rFonts w:cs="David"/>
          <w:rtl w:val="true"/>
        </w:rPr>
        <w:t>לאחר</w:t>
      </w:r>
      <w:r>
        <w:rPr>
          <w:rtl w:val="true"/>
        </w:rPr>
        <w:t xml:space="preserve"> </w:t>
      </w:r>
      <w:r>
        <w:rPr>
          <w:rFonts w:cs="David"/>
          <w:rtl w:val="true"/>
        </w:rPr>
        <w:t>מועד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הגשת</w:t>
      </w:r>
      <w:r>
        <w:rPr>
          <w:rtl w:val="true"/>
        </w:rPr>
        <w:t xml:space="preserve"> </w:t>
      </w:r>
      <w:r>
        <w:rPr>
          <w:rFonts w:cs="David"/>
          <w:rtl w:val="true"/>
        </w:rPr>
        <w:t>כתב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האישום</w:t>
      </w:r>
      <w:r>
        <w:rPr>
          <w:rtl w:val="true"/>
        </w:rPr>
        <w:t xml:space="preserve"> </w:t>
      </w:r>
      <w:r>
        <w:rPr>
          <w:rFonts w:cs="David"/>
          <w:rtl w:val="true"/>
        </w:rPr>
        <w:t>בישיבת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ההקראה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הראשונה</w:t>
      </w:r>
      <w:r>
        <w:rPr>
          <w:rFonts w:cs="David"/>
          <w:rtl w:val="true"/>
        </w:rPr>
        <w:t xml:space="preserve">, </w:t>
      </w:r>
      <w:r>
        <w:rPr>
          <w:rFonts w:cs="David"/>
          <w:rtl w:val="true"/>
        </w:rPr>
        <w:t>והורשע</w:t>
      </w:r>
      <w:r>
        <w:rPr>
          <w:rtl w:val="true"/>
        </w:rPr>
        <w:t xml:space="preserve"> </w:t>
      </w:r>
      <w:r>
        <w:rPr>
          <w:rFonts w:cs="David"/>
          <w:rtl w:val="true"/>
        </w:rPr>
        <w:t>בעבירות</w:t>
      </w:r>
      <w:r>
        <w:rPr>
          <w:rtl w:val="true"/>
        </w:rPr>
        <w:t xml:space="preserve"> </w:t>
      </w:r>
      <w:r>
        <w:rPr>
          <w:rFonts w:cs="David"/>
          <w:rtl w:val="true"/>
        </w:rPr>
        <w:t>כמפורט</w:t>
      </w:r>
      <w:r>
        <w:rPr>
          <w:rtl w:val="true"/>
        </w:rPr>
        <w:t xml:space="preserve"> </w:t>
      </w:r>
      <w:r>
        <w:rPr>
          <w:rFonts w:cs="David"/>
          <w:rtl w:val="true"/>
        </w:rPr>
        <w:t>לעיל</w:t>
      </w:r>
      <w:r>
        <w:rPr>
          <w:rFonts w:cs="David"/>
          <w:rtl w:val="true"/>
        </w:rPr>
        <w:t xml:space="preserve">. </w:t>
      </w:r>
      <w:r>
        <w:rPr>
          <w:rFonts w:cs="David"/>
          <w:rtl w:val="true"/>
        </w:rPr>
        <w:t>למען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הסדר</w:t>
      </w:r>
      <w:r>
        <w:rPr>
          <w:rtl w:val="true"/>
        </w:rPr>
        <w:t xml:space="preserve"> </w:t>
      </w:r>
      <w:r>
        <w:rPr>
          <w:rFonts w:cs="David"/>
          <w:rtl w:val="true"/>
        </w:rPr>
        <w:t>יצוין</w:t>
      </w:r>
      <w:r>
        <w:rPr>
          <w:rtl w:val="true"/>
        </w:rPr>
        <w:t xml:space="preserve"> </w:t>
      </w:r>
      <w:r>
        <w:rPr>
          <w:rFonts w:cs="David"/>
          <w:rtl w:val="true"/>
        </w:rPr>
        <w:t>כי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הצדדים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הודיעו</w:t>
      </w:r>
      <w:r>
        <w:rPr>
          <w:rtl w:val="true"/>
        </w:rPr>
        <w:t xml:space="preserve"> </w:t>
      </w:r>
      <w:r>
        <w:rPr>
          <w:rFonts w:cs="David"/>
          <w:rtl w:val="true"/>
        </w:rPr>
        <w:t>שכתב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האישום</w:t>
      </w:r>
      <w:r>
        <w:rPr>
          <w:rtl w:val="true"/>
        </w:rPr>
        <w:t xml:space="preserve"> </w:t>
      </w:r>
      <w:r>
        <w:rPr>
          <w:rFonts w:cs="David"/>
          <w:rtl w:val="true"/>
        </w:rPr>
        <w:t>תוקן</w:t>
      </w:r>
      <w:r>
        <w:rPr>
          <w:rtl w:val="true"/>
        </w:rPr>
        <w:t xml:space="preserve"> </w:t>
      </w:r>
      <w:r>
        <w:rPr>
          <w:rFonts w:cs="David"/>
          <w:rtl w:val="true"/>
        </w:rPr>
        <w:t>בהסכמה</w:t>
      </w:r>
      <w:r>
        <w:rPr>
          <w:rFonts w:cs="David"/>
          <w:rtl w:val="true"/>
        </w:rPr>
        <w:t xml:space="preserve">, </w:t>
      </w:r>
      <w:r>
        <w:rPr>
          <w:rFonts w:cs="David"/>
          <w:rtl w:val="true"/>
        </w:rPr>
        <w:t>ואולם</w:t>
      </w:r>
      <w:r>
        <w:rPr>
          <w:rtl w:val="true"/>
        </w:rPr>
        <w:t xml:space="preserve"> </w:t>
      </w:r>
      <w:r>
        <w:rPr>
          <w:rFonts w:cs="David"/>
          <w:rtl w:val="true"/>
        </w:rPr>
        <w:t>לא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הודע</w:t>
      </w:r>
      <w:r>
        <w:rPr>
          <w:rtl w:val="true"/>
        </w:rPr>
        <w:t xml:space="preserve"> </w:t>
      </w:r>
      <w:r>
        <w:rPr>
          <w:rFonts w:cs="David"/>
          <w:rtl w:val="true"/>
        </w:rPr>
        <w:t>לבית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המשפט</w:t>
      </w:r>
      <w:r>
        <w:rPr>
          <w:rtl w:val="true"/>
        </w:rPr>
        <w:t xml:space="preserve"> </w:t>
      </w:r>
      <w:r>
        <w:rPr>
          <w:rFonts w:cs="David"/>
          <w:rtl w:val="true"/>
        </w:rPr>
        <w:t>על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הסדר</w:t>
      </w:r>
      <w:r>
        <w:rPr>
          <w:rtl w:val="true"/>
        </w:rPr>
        <w:t xml:space="preserve"> </w:t>
      </w:r>
      <w:r>
        <w:rPr>
          <w:rFonts w:cs="David"/>
          <w:rtl w:val="true"/>
        </w:rPr>
        <w:t>טיעון</w:t>
      </w:r>
      <w:r>
        <w:rPr>
          <w:rtl w:val="true"/>
        </w:rPr>
        <w:t xml:space="preserve"> </w:t>
      </w:r>
      <w:r>
        <w:rPr>
          <w:rFonts w:cs="David"/>
          <w:rtl w:val="true"/>
        </w:rPr>
        <w:t>או</w:t>
      </w:r>
      <w:r>
        <w:rPr>
          <w:rtl w:val="true"/>
        </w:rPr>
        <w:t xml:space="preserve"> </w:t>
      </w:r>
      <w:r>
        <w:rPr>
          <w:rFonts w:cs="David"/>
          <w:rtl w:val="true"/>
        </w:rPr>
        <w:t>כל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הסדר</w:t>
      </w:r>
      <w:r>
        <w:rPr>
          <w:rtl w:val="true"/>
        </w:rPr>
        <w:t xml:space="preserve"> </w:t>
      </w:r>
      <w:r>
        <w:rPr>
          <w:rFonts w:cs="David"/>
          <w:rtl w:val="true"/>
        </w:rPr>
        <w:t>אחר</w:t>
      </w:r>
      <w:r>
        <w:rPr>
          <w:rtl w:val="true"/>
        </w:rPr>
        <w:t xml:space="preserve"> </w:t>
      </w:r>
      <w:r>
        <w:rPr>
          <w:rFonts w:cs="David"/>
          <w:rtl w:val="true"/>
        </w:rPr>
        <w:t>והודגש</w:t>
      </w:r>
      <w:r>
        <w:rPr>
          <w:rtl w:val="true"/>
        </w:rPr>
        <w:t xml:space="preserve"> </w:t>
      </w:r>
      <w:r>
        <w:rPr>
          <w:rFonts w:cs="David"/>
          <w:rtl w:val="true"/>
        </w:rPr>
        <w:t>כי</w:t>
      </w:r>
      <w:r>
        <w:rPr>
          <w:rtl w:val="true"/>
        </w:rPr>
        <w:t xml:space="preserve"> </w:t>
      </w:r>
      <w:r>
        <w:rPr>
          <w:rFonts w:cs="David"/>
          <w:rtl w:val="true"/>
        </w:rPr>
        <w:t>אין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הסכמה</w:t>
      </w:r>
      <w:r>
        <w:rPr>
          <w:rtl w:val="true"/>
        </w:rPr>
        <w:t xml:space="preserve"> </w:t>
      </w:r>
      <w:r>
        <w:rPr>
          <w:rFonts w:cs="David"/>
          <w:rtl w:val="true"/>
        </w:rPr>
        <w:t>לעניין</w:t>
      </w:r>
      <w:r>
        <w:rPr>
          <w:rtl w:val="true"/>
        </w:rPr>
        <w:t xml:space="preserve"> </w:t>
      </w:r>
      <w:r>
        <w:rPr>
          <w:rFonts w:cs="David"/>
          <w:rtl w:val="true"/>
        </w:rPr>
        <w:t>העונש</w:t>
      </w:r>
      <w:r>
        <w:rPr>
          <w:rFonts w:cs="David"/>
          <w:rtl w:val="true"/>
        </w:rPr>
        <w:t xml:space="preserve">.   </w:t>
      </w:r>
    </w:p>
    <w:p>
      <w:pPr>
        <w:pStyle w:val="Normal"/>
        <w:spacing w:lineRule="auto" w:line="360"/>
        <w:ind w:hanging="720" w:start="720" w:end="0"/>
        <w:jc w:val="both"/>
        <w:rPr>
          <w:b/>
          <w:bCs/>
          <w:u w:val="single"/>
        </w:rPr>
      </w:pPr>
      <w:r>
        <w:rPr>
          <w:b/>
          <w:bCs/>
        </w:rPr>
        <w:t>2</w:t>
      </w:r>
      <w:r>
        <w:rPr>
          <w:b/>
          <w:bCs/>
          <w:rtl w:val="true"/>
        </w:rPr>
        <w:t>.</w:t>
      </w:r>
      <w:r>
        <w:rPr>
          <w:b/>
          <w:bCs/>
          <w:rtl w:val="true"/>
        </w:rPr>
        <w:tab/>
      </w:r>
      <w:r>
        <w:rPr>
          <w:b/>
          <w:b/>
          <w:bCs/>
          <w:u w:val="single"/>
          <w:rtl w:val="true"/>
        </w:rPr>
        <w:t>הטיעון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לעונש</w:t>
      </w:r>
      <w:r>
        <w:rPr>
          <w:b/>
          <w:bCs/>
          <w:u w:val="single"/>
          <w:rtl w:val="true"/>
        </w:rPr>
        <w:t>: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טרם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הציגו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ראיותיהם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מטעם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הוגשו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כראויות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הכולל</w:t>
      </w:r>
      <w:r>
        <w:rPr>
          <w:rFonts w:cs="Times New Roman"/>
          <w:rtl w:val="true"/>
        </w:rPr>
        <w:t xml:space="preserve"> </w:t>
      </w:r>
      <w:r>
        <w:rPr/>
        <w:t>16</w:t>
      </w:r>
      <w:r>
        <w:rPr>
          <w:rtl w:val="true"/>
        </w:rPr>
        <w:t xml:space="preserve"> </w:t>
      </w:r>
      <w:r>
        <w:rPr>
          <w:rtl w:val="true"/>
        </w:rPr>
        <w:t>הרשעות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קודמות</w:t>
      </w:r>
      <w:r>
        <w:rPr>
          <w:rtl w:val="true"/>
        </w:rPr>
        <w:t xml:space="preserve">.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בהמשך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מטעם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סנעאללה</w:t>
      </w:r>
      <w:r>
        <w:rPr>
          <w:rtl w:val="true"/>
        </w:rPr>
        <w:t xml:space="preserve">, </w:t>
      </w:r>
      <w:r>
        <w:rPr>
          <w:rtl w:val="true"/>
        </w:rPr>
        <w:t>ראש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מועצת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אסד</w:t>
      </w:r>
      <w:r>
        <w:rPr>
          <w:rtl w:val="true"/>
        </w:rPr>
        <w:t xml:space="preserve">, </w:t>
      </w:r>
      <w:r>
        <w:rPr>
          <w:rtl w:val="true"/>
        </w:rPr>
        <w:t>שדיבר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משפחתו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הנורמטיבית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  <w:r>
        <w:rPr>
          <w:rtl w:val="true"/>
        </w:rPr>
        <w:t>לדבריו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לנהל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אורח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נורמטיבי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שלאחרונה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לחובות</w:t>
      </w:r>
      <w:r>
        <w:rPr>
          <w:rtl w:val="true"/>
        </w:rPr>
        <w:t xml:space="preserve">, </w:t>
      </w:r>
      <w:r>
        <w:rPr>
          <w:rtl w:val="true"/>
        </w:rPr>
        <w:t>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יודע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פרטים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הסתבכותו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הכלכלית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עו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קאסם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חטיב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סיפר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הרקע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והתלאות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שפקדו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המשפחה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המשפחה</w:t>
      </w:r>
      <w:r>
        <w:rPr>
          <w:rtl w:val="true"/>
        </w:rPr>
        <w:t xml:space="preserve">. </w:t>
      </w:r>
      <w:r>
        <w:rPr>
          <w:rtl w:val="true"/>
        </w:rPr>
        <w:t>לדבריו</w:t>
      </w:r>
      <w:r>
        <w:rPr>
          <w:rtl w:val="true"/>
        </w:rPr>
        <w:t xml:space="preserve">, </w:t>
      </w:r>
      <w:r>
        <w:rPr>
          <w:rtl w:val="true"/>
        </w:rPr>
        <w:t>ניסה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לצאת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העבריינות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בבניה</w:t>
      </w:r>
      <w:r>
        <w:rPr>
          <w:rtl w:val="true"/>
        </w:rPr>
        <w:t xml:space="preserve">,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לחובות</w:t>
      </w:r>
      <w:r>
        <w:rPr>
          <w:rtl w:val="true"/>
        </w:rPr>
        <w:t xml:space="preserve">, </w:t>
      </w:r>
      <w:r>
        <w:rPr>
          <w:rtl w:val="true"/>
        </w:rPr>
        <w:t>חובות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שמשפחתו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מודעת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אליהם</w:t>
      </w:r>
      <w:r>
        <w:rPr>
          <w:rtl w:val="true"/>
        </w:rPr>
        <w:t xml:space="preserve">. </w:t>
      </w:r>
      <w:r>
        <w:rPr>
          <w:rtl w:val="true"/>
        </w:rPr>
        <w:t>חובות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הביאו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העסקאות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.  </w:t>
      </w:r>
      <w:r>
        <w:rPr>
          <w:rtl w:val="true"/>
        </w:rPr>
        <w:t>האח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לרמוז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נמכרו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פיתה</w:t>
      </w:r>
      <w:r>
        <w:rPr>
          <w:rtl w:val="true"/>
        </w:rPr>
        <w:t xml:space="preserve">, </w:t>
      </w:r>
      <w:r>
        <w:rPr>
          <w:rtl w:val="true"/>
        </w:rPr>
        <w:t>במידה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מסוימת</w:t>
      </w:r>
      <w:r>
        <w:rPr>
          <w:rtl w:val="true"/>
        </w:rPr>
        <w:t xml:space="preserve">,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לעסקאות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ביודעו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זקוק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לכספים</w:t>
      </w:r>
      <w:r>
        <w:rPr>
          <w:rtl w:val="true"/>
        </w:rPr>
        <w:t xml:space="preserve">. </w:t>
      </w:r>
      <w:r>
        <w:rPr>
          <w:rtl w:val="true"/>
        </w:rPr>
        <w:t>אדגיש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הובאה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נאמרו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בחצי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פה</w:t>
      </w:r>
      <w:r>
        <w:rPr>
          <w:rtl w:val="true"/>
        </w:rPr>
        <w:t xml:space="preserve">, </w:t>
      </w:r>
      <w:r>
        <w:rPr>
          <w:rtl w:val="true"/>
        </w:rPr>
        <w:t>וטוב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שכך</w:t>
      </w:r>
      <w:r>
        <w:rPr>
          <w:rtl w:val="true"/>
        </w:rPr>
        <w:t xml:space="preserve">. </w:t>
      </w:r>
      <w:r>
        <w:rPr>
          <w:rtl w:val="true"/>
        </w:rPr>
        <w:t>בסיכומו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להתחשב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המשפחתיות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ובמצוקה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הכלכלית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שהובילה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העסקאות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</w:t>
      </w:r>
      <w:r>
        <w:rPr>
          <w:rtl w:val="true"/>
        </w:rPr>
        <w:t>"</w:t>
      </w:r>
      <w:r>
        <w:rPr>
          <w:rtl w:val="true"/>
        </w:rPr>
        <w:t>ל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עותרת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גבוה</w:t>
      </w:r>
      <w:r>
        <w:rPr>
          <w:rtl w:val="true"/>
        </w:rPr>
        <w:t xml:space="preserve">.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תמצית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טענותיה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</w:t>
      </w:r>
      <w:r>
        <w:rPr>
          <w:rtl w:val="true"/>
        </w:rPr>
        <w:t>"</w:t>
      </w:r>
      <w:r>
        <w:rPr>
          <w:rtl w:val="true"/>
        </w:rPr>
        <w:t>פ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כולן</w:t>
      </w:r>
      <w:r>
        <w:rPr>
          <w:rtl w:val="true"/>
        </w:rPr>
        <w:t xml:space="preserve">.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מפנה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בתופעת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ההחזקה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עמדתו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בראשית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דצמבר</w:t>
      </w:r>
      <w:r>
        <w:rPr>
          <w:rFonts w:cs="Times New Roman"/>
          <w:rtl w:val="true"/>
        </w:rPr>
        <w:t xml:space="preserve"> </w:t>
      </w:r>
      <w:r>
        <w:rPr/>
        <w:t>2011</w:t>
      </w:r>
      <w:r>
        <w:rPr>
          <w:rtl w:val="true"/>
        </w:rPr>
        <w:t xml:space="preserve">. </w:t>
      </w:r>
      <w:r>
        <w:rPr>
          <w:rtl w:val="true"/>
        </w:rPr>
        <w:t>בשים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tl w:val="true"/>
        </w:rPr>
        <w:t xml:space="preserve">, </w:t>
      </w:r>
      <w:r>
        <w:rPr>
          <w:rtl w:val="true"/>
        </w:rPr>
        <w:t>הכולל</w:t>
      </w:r>
      <w:r>
        <w:rPr>
          <w:rFonts w:cs="Times New Roman"/>
          <w:rtl w:val="true"/>
        </w:rPr>
        <w:t xml:space="preserve"> </w:t>
      </w:r>
      <w:r>
        <w:rPr/>
        <w:t>16</w:t>
      </w:r>
      <w:r>
        <w:rPr>
          <w:rtl w:val="true"/>
        </w:rPr>
        <w:t xml:space="preserve"> </w:t>
      </w:r>
      <w:r>
        <w:rPr>
          <w:rtl w:val="true"/>
        </w:rPr>
        <w:t>הרשעות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קודמות</w:t>
      </w:r>
      <w:r>
        <w:rPr>
          <w:rtl w:val="true"/>
        </w:rPr>
        <w:t xml:space="preserve">, </w:t>
      </w:r>
      <w:r>
        <w:rPr>
          <w:rtl w:val="true"/>
        </w:rPr>
        <w:t>לרבות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בגינן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עותרת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ממושך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קנס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כספי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להפחית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בתמריץ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לפסיקתו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וביסס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טיעוניו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שם</w:t>
      </w:r>
      <w:r>
        <w:rPr>
          <w:rtl w:val="true"/>
        </w:rPr>
        <w:t xml:space="preserve">. </w:t>
      </w:r>
      <w:r>
        <w:rPr>
          <w:rtl w:val="true"/>
        </w:rPr>
        <w:t>לגישתו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השוואה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לפסיקה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tl w:val="true"/>
        </w:rPr>
        <w:t xml:space="preserve">, </w:t>
      </w:r>
      <w:r>
        <w:rPr>
          <w:rtl w:val="true"/>
        </w:rPr>
        <w:t>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פחותות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בחומרתן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טוענת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להן</w:t>
      </w:r>
      <w:r>
        <w:rPr>
          <w:rtl w:val="true"/>
        </w:rPr>
        <w:t xml:space="preserve">. </w:t>
      </w:r>
      <w:r>
        <w:rPr>
          <w:rtl w:val="true"/>
        </w:rPr>
        <w:t>הסנגור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לפטור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מרשו</w:t>
      </w:r>
      <w:r>
        <w:rPr>
          <w:rtl w:val="true"/>
        </w:rPr>
        <w:t xml:space="preserve">,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בלא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כלום</w:t>
      </w:r>
      <w:r>
        <w:rPr>
          <w:rtl w:val="true"/>
        </w:rPr>
        <w:t xml:space="preserve">. </w:t>
      </w:r>
      <w:r>
        <w:rPr>
          <w:rtl w:val="true"/>
        </w:rPr>
        <w:t>אלא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שלגישתו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משווים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בסדרת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בראשית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חודש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דצמבר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שמשכה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שנתיים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לשלוש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לעניין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הסנגור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בפתח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והביע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חרטה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כנה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יליד</w:t>
      </w:r>
      <w:r>
        <w:rPr>
          <w:rFonts w:cs="Times New Roman"/>
          <w:rtl w:val="true"/>
        </w:rPr>
        <w:t xml:space="preserve"> </w:t>
      </w:r>
      <w:r>
        <w:rPr/>
        <w:t>1958</w:t>
      </w:r>
      <w:r>
        <w:rPr>
          <w:rtl w:val="true"/>
        </w:rPr>
        <w:t xml:space="preserve">, </w:t>
      </w:r>
      <w:r>
        <w:rPr>
          <w:rtl w:val="true"/>
        </w:rPr>
        <w:t>אבל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ילדים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וסב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</w:t>
      </w:r>
      <w:r>
        <w:rPr>
          <w:rtl w:val="true"/>
        </w:rPr>
        <w:t>-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נכדים</w:t>
      </w:r>
      <w:r>
        <w:rPr>
          <w:rtl w:val="true"/>
        </w:rPr>
        <w:t xml:space="preserve">, </w:t>
      </w:r>
      <w:r>
        <w:rPr>
          <w:rtl w:val="true"/>
        </w:rPr>
        <w:t>שנקלע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כבדים</w:t>
      </w:r>
      <w:r>
        <w:rPr>
          <w:rtl w:val="true"/>
        </w:rPr>
        <w:t xml:space="preserve">, </w:t>
      </w:r>
      <w:r>
        <w:rPr>
          <w:rtl w:val="true"/>
        </w:rPr>
        <w:t>חובות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שדחפו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למעשים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הפסולים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שעשה</w:t>
      </w:r>
      <w:r>
        <w:rPr>
          <w:rtl w:val="true"/>
        </w:rPr>
        <w:t xml:space="preserve">. </w:t>
      </w:r>
      <w:r>
        <w:rPr>
          <w:rtl w:val="true"/>
        </w:rPr>
        <w:t>הגם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שהסנגור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טען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tl w:val="true"/>
        </w:rPr>
        <w:t xml:space="preserve">, </w:t>
      </w:r>
      <w:r>
        <w:rPr>
          <w:rtl w:val="true"/>
        </w:rPr>
        <w:t>רמז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להתפתות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tl w:val="true"/>
        </w:rPr>
        <w:t xml:space="preserve">, </w:t>
      </w:r>
      <w:r>
        <w:rPr>
          <w:rtl w:val="true"/>
        </w:rPr>
        <w:t>וביקש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יילקח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הזכות</w:t>
      </w:r>
      <w:r>
        <w:rPr>
          <w:rtl w:val="true"/>
        </w:rPr>
        <w:t xml:space="preserve">. </w:t>
      </w:r>
      <w:r>
        <w:rPr>
          <w:rtl w:val="true"/>
        </w:rPr>
        <w:t>בסיכומו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הסנגור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מתונה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בעיקר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ההודאה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המיידית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המשתמע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מכך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720" w:end="0"/>
        <w:jc w:val="both"/>
        <w:rPr/>
      </w:pP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המיידית</w:t>
      </w:r>
      <w:r>
        <w:rPr>
          <w:rtl w:val="true"/>
        </w:rPr>
        <w:t xml:space="preserve">, </w:t>
      </w:r>
      <w:r>
        <w:rPr>
          <w:rtl w:val="true"/>
        </w:rPr>
        <w:t>לדבריו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התפתה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עקב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מצוקה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כלכלית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וצורך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לסייע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שנקלע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לחובות</w:t>
      </w:r>
      <w:r>
        <w:rPr>
          <w:rtl w:val="true"/>
        </w:rPr>
        <w:t xml:space="preserve">. </w:t>
      </w:r>
      <w:r>
        <w:rPr>
          <w:rtl w:val="true"/>
        </w:rPr>
        <w:t>לדבריו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יודע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שטעה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ושמגיע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עונש</w:t>
      </w:r>
      <w:r>
        <w:rPr>
          <w:rtl w:val="true"/>
        </w:rPr>
        <w:t xml:space="preserve">, </w:t>
      </w:r>
      <w:r>
        <w:rPr>
          <w:rtl w:val="true"/>
        </w:rPr>
        <w:t>וביקש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להחמיר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בדינו</w:t>
      </w:r>
      <w:r>
        <w:rPr>
          <w:rtl w:val="true"/>
        </w:rPr>
        <w:t xml:space="preserve">.         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</w:p>
    <w:p>
      <w:pPr>
        <w:pStyle w:val="Normal"/>
        <w:spacing w:lineRule="auto" w:line="360"/>
        <w:ind w:hanging="720" w:start="720" w:end="0"/>
        <w:jc w:val="both"/>
        <w:rPr>
          <w:b/>
          <w:bCs/>
        </w:rPr>
      </w:pPr>
      <w:r>
        <w:rPr>
          <w:b/>
          <w:bCs/>
        </w:rPr>
        <w:t>3</w:t>
      </w:r>
      <w:r>
        <w:rPr>
          <w:b/>
          <w:bCs/>
          <w:rtl w:val="true"/>
        </w:rPr>
        <w:t>.</w:t>
      </w:r>
      <w:r>
        <w:rPr>
          <w:b/>
          <w:bCs/>
          <w:rtl w:val="true"/>
        </w:rPr>
        <w:tab/>
      </w:r>
      <w:r>
        <w:rPr>
          <w:b/>
          <w:b/>
          <w:bCs/>
          <w:u w:val="single"/>
          <w:rtl w:val="true"/>
        </w:rPr>
        <w:t>שיקולי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בית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המשפט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לעניין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הענישה</w:t>
      </w:r>
      <w:r>
        <w:rPr>
          <w:b/>
          <w:bCs/>
          <w:rtl w:val="true"/>
        </w:rPr>
        <w:t>:</w:t>
      </w:r>
    </w:p>
    <w:p>
      <w:pPr>
        <w:pStyle w:val="Normal"/>
        <w:spacing w:lineRule="auto" w:line="360"/>
        <w:ind w:start="720" w:end="0"/>
        <w:jc w:val="both"/>
        <w:rPr>
          <w:b/>
          <w:bCs/>
        </w:rPr>
      </w:pP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ושתי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מכירת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אקדחים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משטרתי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הבהיר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לאחרונה</w:t>
      </w:r>
      <w:r>
        <w:rPr>
          <w:rtl w:val="true"/>
        </w:rPr>
        <w:t xml:space="preserve">, </w:t>
      </w:r>
      <w:r>
        <w:rPr>
          <w:rtl w:val="true"/>
        </w:rPr>
        <w:t>בסדרה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 xml:space="preserve">"... </w:t>
      </w:r>
      <w:r>
        <w:rPr>
          <w:b/>
          <w:b/>
          <w:bCs/>
          <w:rtl w:val="true"/>
        </w:rPr>
        <w:t>מגמתו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האחרונה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להחמיר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סוגיהן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השונים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hyperlink r:id="rId11">
        <w:r>
          <w:rPr>
            <w:rStyle w:val="Hyperlink"/>
            <w:b/>
            <w:b/>
            <w:bCs/>
            <w:rtl w:val="true"/>
          </w:rPr>
          <w:t>ע</w:t>
        </w:r>
        <w:r>
          <w:rPr>
            <w:rStyle w:val="Hyperlink"/>
            <w:b/>
            <w:bCs/>
            <w:rtl w:val="true"/>
          </w:rPr>
          <w:t>"</w:t>
        </w:r>
        <w:r>
          <w:rPr>
            <w:rStyle w:val="Hyperlink"/>
            <w:b/>
            <w:b/>
            <w:bCs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Cs/>
          </w:rPr>
          <w:t>319/11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יאסין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פורסם</w:t>
      </w:r>
      <w:r>
        <w:rPr>
          <w:b/>
          <w:bCs/>
          <w:rtl w:val="true"/>
        </w:rPr>
        <w:t xml:space="preserve">); </w:t>
      </w:r>
      <w:hyperlink r:id="rId12">
        <w:r>
          <w:rPr>
            <w:rStyle w:val="Hyperlink"/>
            <w:b/>
            <w:b/>
            <w:bCs/>
            <w:rtl w:val="true"/>
          </w:rPr>
          <w:t>ע</w:t>
        </w:r>
        <w:r>
          <w:rPr>
            <w:rStyle w:val="Hyperlink"/>
            <w:b/>
            <w:bCs/>
            <w:rtl w:val="true"/>
          </w:rPr>
          <w:t>"</w:t>
        </w:r>
        <w:r>
          <w:rPr>
            <w:rStyle w:val="Hyperlink"/>
            <w:b/>
            <w:b/>
            <w:bCs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Cs/>
          </w:rPr>
          <w:t>2251/11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נפאע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פורסם</w:t>
      </w:r>
      <w:r>
        <w:rPr>
          <w:b/>
          <w:bCs/>
          <w:rtl w:val="true"/>
        </w:rPr>
        <w:t>)</w:t>
      </w:r>
      <w:r>
        <w:rPr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להלן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עניין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נפאע</w:t>
      </w:r>
      <w:r>
        <w:rPr>
          <w:b/>
          <w:bCs/>
          <w:rtl w:val="true"/>
        </w:rPr>
        <w:t xml:space="preserve">); </w:t>
      </w:r>
      <w:hyperlink r:id="rId13">
        <w:r>
          <w:rPr>
            <w:rStyle w:val="Hyperlink"/>
            <w:b/>
            <w:b/>
            <w:bCs/>
            <w:rtl w:val="true"/>
          </w:rPr>
          <w:t>ע</w:t>
        </w:r>
        <w:r>
          <w:rPr>
            <w:rStyle w:val="Hyperlink"/>
            <w:b/>
            <w:bCs/>
            <w:rtl w:val="true"/>
          </w:rPr>
          <w:t>"</w:t>
        </w:r>
        <w:r>
          <w:rPr>
            <w:rStyle w:val="Hyperlink"/>
            <w:b/>
            <w:b/>
            <w:bCs/>
            <w:rtl w:val="true"/>
          </w:rPr>
          <w:t>פ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Cs/>
          </w:rPr>
          <w:t>6371/11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הייבי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לא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פורסם</w:t>
      </w:r>
      <w:r>
        <w:rPr>
          <w:b/>
          <w:bCs/>
          <w:rtl w:val="true"/>
        </w:rPr>
        <w:t xml:space="preserve">)). </w:t>
      </w:r>
      <w:r>
        <w:rPr>
          <w:b/>
          <w:b/>
          <w:bCs/>
          <w:rtl w:val="true"/>
        </w:rPr>
        <w:t>זאת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נוכח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מספר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המקרים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המובא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לפתחם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בתי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בכל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רחבי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הארץ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והמסוכנות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הגלומה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אלה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ובפוטנציאל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הסיכון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שאי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אפשר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לחלוק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עליו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המערער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בענייננו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יהא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מניעו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יהא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הורשע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בשתי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עבירות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של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סחר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בנשק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לפי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סעיף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144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</w:t>
      </w:r>
      <w:r>
        <w:rPr>
          <w:b/>
          <w:bCs/>
        </w:rPr>
        <w:t>2</w:t>
      </w:r>
      <w:r>
        <w:rPr>
          <w:b/>
          <w:bCs/>
          <w:rtl w:val="true"/>
        </w:rPr>
        <w:t xml:space="preserve">) </w:t>
      </w:r>
      <w:r>
        <w:rPr>
          <w:b/>
          <w:b/>
          <w:bCs/>
          <w:rtl w:val="true"/>
        </w:rPr>
        <w:t>ל</w:t>
      </w:r>
      <w:hyperlink r:id="rId14">
        <w:r>
          <w:rPr>
            <w:rStyle w:val="Hyperlink"/>
            <w:b/>
            <w:b/>
            <w:bCs/>
            <w:rtl w:val="true"/>
          </w:rPr>
          <w:t>חוק</w:t>
        </w:r>
        <w:r>
          <w:rPr>
            <w:rStyle w:val="Hyperlink"/>
            <w:rFonts w:cs="Times New Roman"/>
            <w:b/>
            <w:b/>
            <w:bCs/>
            <w:rtl w:val="true"/>
          </w:rPr>
          <w:t xml:space="preserve"> </w:t>
        </w:r>
        <w:r>
          <w:rPr>
            <w:rStyle w:val="Hyperlink"/>
            <w:b/>
            <w:b/>
            <w:bCs/>
            <w:rtl w:val="true"/>
          </w:rPr>
          <w:t>העונשין</w:t>
        </w:r>
      </w:hyperlink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התשל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>ז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–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1977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אשר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העונש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המרבי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בצידן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Cs/>
        </w:rPr>
        <w:t>15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שנות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מאסר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בנוסף</w:t>
      </w:r>
      <w:r>
        <w:rPr>
          <w:b/>
          <w:bCs/>
          <w:rtl w:val="true"/>
        </w:rPr>
        <w:t xml:space="preserve">, </w:t>
      </w:r>
      <w:r>
        <w:rPr>
          <w:b/>
          <w:b/>
          <w:bCs/>
          <w:rtl w:val="true"/>
        </w:rPr>
        <w:t>בית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משפט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הדגיש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את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החומרה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היתרה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בעבירה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זו</w:t>
      </w:r>
      <w:r>
        <w:rPr>
          <w:b/>
          <w:bCs/>
          <w:rtl w:val="true"/>
        </w:rPr>
        <w:t>:</w:t>
      </w:r>
    </w:p>
    <w:p>
      <w:pPr>
        <w:pStyle w:val="Ruller4"/>
        <w:ind w:end="0"/>
        <w:jc w:val="both"/>
        <w:rPr>
          <w:rFonts w:ascii="Times New Roman" w:hAnsi="Times New Roman" w:cs="David"/>
          <w:b/>
          <w:bCs/>
          <w:sz w:val="24"/>
          <w:szCs w:val="24"/>
        </w:rPr>
      </w:pPr>
      <w:r>
        <w:rPr>
          <w:rFonts w:cs="David" w:ascii="Times New Roman" w:hAnsi="Times New Roman"/>
          <w:b/>
          <w:bCs/>
          <w:sz w:val="24"/>
          <w:szCs w:val="24"/>
          <w:rtl w:val="true"/>
        </w:rPr>
      </w:r>
    </w:p>
    <w:p>
      <w:pPr>
        <w:pStyle w:val="Ruller5"/>
        <w:spacing w:lineRule="auto" w:line="360"/>
        <w:ind w:start="1644" w:end="1281"/>
        <w:jc w:val="both"/>
        <w:rPr>
          <w:rFonts w:ascii="Times New Roman" w:hAnsi="Times New Roman" w:cs="David"/>
          <w:b/>
          <w:bCs/>
          <w:sz w:val="24"/>
          <w:szCs w:val="24"/>
        </w:rPr>
      </w:pPr>
      <w:r>
        <w:rPr>
          <w:rFonts w:cs="David"/>
          <w:b/>
          <w:bCs/>
          <w:sz w:val="24"/>
          <w:szCs w:val="24"/>
          <w:rtl w:val="true"/>
        </w:rPr>
        <w:t>"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סחר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בלתי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חוקי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בנשק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סולל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הדרך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לפעילות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אלימה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ובלתי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חוקית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והדבר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חמור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שבעתיים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במציאות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הישראלית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בה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קיים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חשש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תמידי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כי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נשק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המוחזק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באופן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בלתי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חוקי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יתגלגל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לא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רק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לידיים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עברייניות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עניין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חמור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לעצמו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כי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אם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לידיהם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של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אלה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המבקשים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להוציא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אל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הפועל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פעילות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חבלנית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עוינת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Cs/>
          <w:sz w:val="24"/>
          <w:szCs w:val="24"/>
          <w:rtl w:val="true"/>
        </w:rPr>
        <w:t>(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ראו</w:t>
      </w:r>
      <w:r>
        <w:rPr>
          <w:rFonts w:cs="David"/>
          <w:b/>
          <w:bCs/>
          <w:sz w:val="24"/>
          <w:szCs w:val="24"/>
          <w:rtl w:val="true"/>
        </w:rPr>
        <w:t xml:space="preserve">: </w:t>
      </w:r>
      <w:hyperlink r:id="rId15">
        <w:r>
          <w:rPr>
            <w:rStyle w:val="Hyperlink"/>
            <w:rFonts w:cs="David"/>
            <w:b/>
            <w:b/>
            <w:bCs/>
            <w:sz w:val="24"/>
            <w:sz w:val="24"/>
            <w:szCs w:val="24"/>
            <w:rtl w:val="true"/>
          </w:rPr>
          <w:t>ע</w:t>
        </w:r>
        <w:r>
          <w:rPr>
            <w:rStyle w:val="Hyperlink"/>
            <w:rFonts w:cs="David"/>
            <w:b/>
            <w:bCs/>
            <w:sz w:val="24"/>
            <w:szCs w:val="24"/>
            <w:rtl w:val="true"/>
          </w:rPr>
          <w:t>"</w:t>
        </w:r>
        <w:r>
          <w:rPr>
            <w:rStyle w:val="Hyperlink"/>
            <w:rFonts w:cs="David"/>
            <w:b/>
            <w:b/>
            <w:bCs/>
            <w:sz w:val="24"/>
            <w:sz w:val="24"/>
            <w:szCs w:val="24"/>
            <w:rtl w:val="true"/>
          </w:rPr>
          <w:t>פ</w:t>
        </w:r>
        <w:r>
          <w:rPr>
            <w:rStyle w:val="Hyperlink"/>
            <w:rFonts w:eastAsia="Arial TUR;Arial" w:cs="Arial TUR;Arial"/>
            <w:b/>
            <w:b/>
            <w:bCs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David"/>
            <w:b/>
            <w:bCs/>
            <w:sz w:val="24"/>
            <w:szCs w:val="24"/>
          </w:rPr>
          <w:t>11448/03</w:t>
        </w:r>
      </w:hyperlink>
      <w:r>
        <w:rPr>
          <w:rFonts w:cs="David"/>
          <w:b/>
          <w:bCs/>
          <w:sz w:val="24"/>
          <w:szCs w:val="24"/>
          <w:rtl w:val="true"/>
        </w:rPr>
        <w:t xml:space="preserve"> </w:t>
      </w:r>
      <w:r>
        <w:rPr>
          <w:rFonts w:ascii="Times New Roman" w:hAnsi="Times New Roman" w:cs="David"/>
          <w:b/>
          <w:b/>
          <w:bCs/>
          <w:spacing w:val="0"/>
          <w:sz w:val="24"/>
          <w:sz w:val="24"/>
          <w:szCs w:val="24"/>
          <w:rtl w:val="true"/>
        </w:rPr>
        <w:t>מדינת</w:t>
      </w:r>
      <w:r>
        <w:rPr>
          <w:rFonts w:ascii="Times New Roman" w:hAnsi="Times New Roman" w:cs="Times New Roman"/>
          <w:b/>
          <w:b/>
          <w:bCs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David"/>
          <w:b/>
          <w:b/>
          <w:bCs/>
          <w:spacing w:val="0"/>
          <w:sz w:val="24"/>
          <w:sz w:val="24"/>
          <w:szCs w:val="24"/>
          <w:rtl w:val="true"/>
        </w:rPr>
        <w:t>ישראל</w:t>
      </w:r>
      <w:r>
        <w:rPr>
          <w:rFonts w:ascii="Times New Roman" w:hAnsi="Times New Roman" w:cs="Times New Roman"/>
          <w:b/>
          <w:b/>
          <w:bCs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David"/>
          <w:b/>
          <w:b/>
          <w:bCs/>
          <w:spacing w:val="0"/>
          <w:sz w:val="24"/>
          <w:sz w:val="24"/>
          <w:szCs w:val="24"/>
          <w:rtl w:val="true"/>
        </w:rPr>
        <w:t>נ</w:t>
      </w:r>
      <w:r>
        <w:rPr>
          <w:rFonts w:cs="David" w:ascii="Times New Roman" w:hAnsi="Times New Roman"/>
          <w:b/>
          <w:bCs/>
          <w:spacing w:val="0"/>
          <w:sz w:val="24"/>
          <w:szCs w:val="24"/>
          <w:rtl w:val="true"/>
        </w:rPr>
        <w:t xml:space="preserve">' </w:t>
      </w:r>
      <w:r>
        <w:rPr>
          <w:rFonts w:ascii="Times New Roman" w:hAnsi="Times New Roman" w:cs="David"/>
          <w:b/>
          <w:b/>
          <w:bCs/>
          <w:spacing w:val="0"/>
          <w:sz w:val="24"/>
          <w:sz w:val="24"/>
          <w:szCs w:val="24"/>
          <w:rtl w:val="true"/>
        </w:rPr>
        <w:t>גרבאן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Cs/>
          <w:sz w:val="24"/>
          <w:szCs w:val="24"/>
          <w:rtl w:val="true"/>
        </w:rPr>
        <w:t>(</w:t>
      </w:r>
      <w:r>
        <w:rPr>
          <w:rFonts w:cs="David"/>
          <w:b/>
          <w:bCs/>
          <w:sz w:val="24"/>
          <w:szCs w:val="24"/>
        </w:rPr>
        <w:t>29.3.2004</w:t>
      </w:r>
      <w:r>
        <w:rPr>
          <w:rFonts w:cs="David"/>
          <w:b/>
          <w:bCs/>
          <w:sz w:val="24"/>
          <w:szCs w:val="24"/>
          <w:rtl w:val="true"/>
        </w:rPr>
        <w:t xml:space="preserve">); </w:t>
      </w:r>
      <w:hyperlink r:id="rId16">
        <w:r>
          <w:rPr>
            <w:rStyle w:val="Hyperlink"/>
            <w:rFonts w:cs="David"/>
            <w:b/>
            <w:b/>
            <w:bCs/>
            <w:sz w:val="24"/>
            <w:sz w:val="24"/>
            <w:szCs w:val="24"/>
            <w:rtl w:val="true"/>
          </w:rPr>
          <w:t>ע</w:t>
        </w:r>
        <w:r>
          <w:rPr>
            <w:rStyle w:val="Hyperlink"/>
            <w:rFonts w:cs="David"/>
            <w:b/>
            <w:bCs/>
            <w:sz w:val="24"/>
            <w:szCs w:val="24"/>
            <w:rtl w:val="true"/>
          </w:rPr>
          <w:t>"</w:t>
        </w:r>
        <w:r>
          <w:rPr>
            <w:rStyle w:val="Hyperlink"/>
            <w:rFonts w:cs="David"/>
            <w:b/>
            <w:b/>
            <w:bCs/>
            <w:sz w:val="24"/>
            <w:sz w:val="24"/>
            <w:szCs w:val="24"/>
            <w:rtl w:val="true"/>
          </w:rPr>
          <w:t>פ</w:t>
        </w:r>
        <w:r>
          <w:rPr>
            <w:rStyle w:val="Hyperlink"/>
            <w:rFonts w:eastAsia="Arial TUR;Arial" w:cs="Arial TUR;Arial"/>
            <w:b/>
            <w:b/>
            <w:bCs/>
            <w:sz w:val="24"/>
            <w:sz w:val="24"/>
            <w:szCs w:val="24"/>
            <w:rtl w:val="true"/>
          </w:rPr>
          <w:t xml:space="preserve"> </w:t>
        </w:r>
        <w:r>
          <w:rPr>
            <w:rStyle w:val="Hyperlink"/>
            <w:rFonts w:cs="David"/>
            <w:b/>
            <w:bCs/>
            <w:sz w:val="24"/>
            <w:szCs w:val="24"/>
          </w:rPr>
          <w:t>5220/09</w:t>
        </w:r>
      </w:hyperlink>
      <w:r>
        <w:rPr>
          <w:rFonts w:cs="David"/>
          <w:b/>
          <w:bCs/>
          <w:sz w:val="24"/>
          <w:szCs w:val="24"/>
          <w:rtl w:val="true"/>
        </w:rPr>
        <w:t xml:space="preserve"> </w:t>
      </w:r>
      <w:r>
        <w:rPr>
          <w:rFonts w:ascii="Times New Roman" w:hAnsi="Times New Roman" w:cs="David"/>
          <w:b/>
          <w:b/>
          <w:bCs/>
          <w:spacing w:val="0"/>
          <w:sz w:val="24"/>
          <w:sz w:val="24"/>
          <w:szCs w:val="24"/>
          <w:rtl w:val="true"/>
        </w:rPr>
        <w:t>עוואודה</w:t>
      </w:r>
      <w:r>
        <w:rPr>
          <w:rFonts w:ascii="Times New Roman" w:hAnsi="Times New Roman" w:cs="Times New Roman"/>
          <w:b/>
          <w:b/>
          <w:bCs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David"/>
          <w:b/>
          <w:b/>
          <w:bCs/>
          <w:spacing w:val="0"/>
          <w:sz w:val="24"/>
          <w:sz w:val="24"/>
          <w:szCs w:val="24"/>
          <w:rtl w:val="true"/>
        </w:rPr>
        <w:t>נ</w:t>
      </w:r>
      <w:r>
        <w:rPr>
          <w:rFonts w:cs="David" w:ascii="Times New Roman" w:hAnsi="Times New Roman"/>
          <w:b/>
          <w:bCs/>
          <w:spacing w:val="0"/>
          <w:sz w:val="24"/>
          <w:szCs w:val="24"/>
          <w:rtl w:val="true"/>
        </w:rPr>
        <w:t xml:space="preserve">' </w:t>
      </w:r>
      <w:r>
        <w:rPr>
          <w:rFonts w:ascii="Times New Roman" w:hAnsi="Times New Roman" w:cs="David"/>
          <w:b/>
          <w:b/>
          <w:bCs/>
          <w:spacing w:val="0"/>
          <w:sz w:val="24"/>
          <w:sz w:val="24"/>
          <w:szCs w:val="24"/>
          <w:rtl w:val="true"/>
        </w:rPr>
        <w:t>מדינת</w:t>
      </w:r>
      <w:r>
        <w:rPr>
          <w:rFonts w:ascii="Times New Roman" w:hAnsi="Times New Roman" w:cs="Times New Roman"/>
          <w:b/>
          <w:b/>
          <w:bCs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David"/>
          <w:b/>
          <w:b/>
          <w:bCs/>
          <w:spacing w:val="0"/>
          <w:sz w:val="24"/>
          <w:sz w:val="24"/>
          <w:szCs w:val="24"/>
          <w:rtl w:val="true"/>
        </w:rPr>
        <w:t>ישראל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פסקה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י</w:t>
      </w:r>
      <w:r>
        <w:rPr>
          <w:rFonts w:cs="David"/>
          <w:b/>
          <w:bCs/>
          <w:sz w:val="24"/>
          <w:szCs w:val="24"/>
          <w:rtl w:val="true"/>
        </w:rPr>
        <w:t>', (</w:t>
      </w:r>
      <w:r>
        <w:rPr>
          <w:rFonts w:cs="David"/>
          <w:b/>
          <w:bCs/>
          <w:sz w:val="24"/>
          <w:szCs w:val="24"/>
        </w:rPr>
        <w:t>30.12.2009</w:t>
      </w:r>
      <w:r>
        <w:rPr>
          <w:rFonts w:cs="David"/>
          <w:b/>
          <w:bCs/>
          <w:sz w:val="24"/>
          <w:szCs w:val="24"/>
          <w:rtl w:val="true"/>
        </w:rPr>
        <w:t xml:space="preserve">)).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על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כן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כל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מי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שהופך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עצמו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לחוליה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במנגנון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זה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של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סחר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בלתי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חוקי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בנשק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מוחזק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כמי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שמבין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ויודע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אל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נכון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מה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עלולות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להיות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התוצאות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הנובעות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ממעשיו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ומהן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הסכנות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הנשקפות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ממעשים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אלה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לחברה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כולה</w:t>
      </w:r>
      <w:r>
        <w:rPr>
          <w:rFonts w:cs="David"/>
          <w:b/>
          <w:bCs/>
          <w:sz w:val="24"/>
          <w:szCs w:val="24"/>
          <w:rtl w:val="true"/>
        </w:rPr>
        <w:t>" (</w:t>
      </w:r>
      <w:r>
        <w:rPr>
          <w:rFonts w:ascii="Times New Roman" w:hAnsi="Times New Roman" w:cs="David"/>
          <w:b/>
          <w:b/>
          <w:bCs/>
          <w:spacing w:val="0"/>
          <w:sz w:val="24"/>
          <w:sz w:val="24"/>
          <w:szCs w:val="24"/>
          <w:rtl w:val="true"/>
        </w:rPr>
        <w:t>עניין</w:t>
      </w:r>
      <w:r>
        <w:rPr>
          <w:rFonts w:ascii="Times New Roman" w:hAnsi="Times New Roman" w:cs="Times New Roman"/>
          <w:b/>
          <w:b/>
          <w:bCs/>
          <w:spacing w:val="0"/>
          <w:sz w:val="24"/>
          <w:sz w:val="24"/>
          <w:szCs w:val="24"/>
          <w:rtl w:val="true"/>
        </w:rPr>
        <w:t xml:space="preserve"> </w:t>
      </w:r>
      <w:r>
        <w:rPr>
          <w:rFonts w:ascii="Times New Roman" w:hAnsi="Times New Roman" w:cs="David"/>
          <w:b/>
          <w:b/>
          <w:bCs/>
          <w:spacing w:val="0"/>
          <w:sz w:val="24"/>
          <w:sz w:val="24"/>
          <w:szCs w:val="24"/>
          <w:rtl w:val="true"/>
        </w:rPr>
        <w:t>נפאע</w:t>
      </w:r>
      <w:r>
        <w:rPr>
          <w:rFonts w:cs="David"/>
          <w:b/>
          <w:bCs/>
          <w:sz w:val="24"/>
          <w:szCs w:val="24"/>
          <w:rtl w:val="true"/>
        </w:rPr>
        <w:t xml:space="preserve">,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פסקה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Cs/>
          <w:sz w:val="24"/>
          <w:szCs w:val="24"/>
        </w:rPr>
        <w:t>5</w:t>
      </w:r>
      <w:r>
        <w:rPr>
          <w:rFonts w:cs="David"/>
          <w:b/>
          <w:bCs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לפסק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דינה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של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השופטת</w:t>
      </w:r>
      <w:r>
        <w:rPr>
          <w:rFonts w:eastAsia="Arial TUR;Arial" w:cs="Arial TUR;Arial"/>
          <w:b/>
          <w:b/>
          <w:bCs/>
          <w:sz w:val="24"/>
          <w:sz w:val="24"/>
          <w:szCs w:val="24"/>
          <w:rtl w:val="true"/>
        </w:rPr>
        <w:t xml:space="preserve"> </w:t>
      </w:r>
      <w:r>
        <w:rPr>
          <w:rFonts w:cs="David"/>
          <w:b/>
          <w:b/>
          <w:bCs/>
          <w:sz w:val="24"/>
          <w:sz w:val="24"/>
          <w:szCs w:val="24"/>
          <w:rtl w:val="true"/>
        </w:rPr>
        <w:t>חיות</w:t>
      </w:r>
      <w:r>
        <w:rPr>
          <w:rFonts w:cs="David"/>
          <w:b/>
          <w:bCs/>
          <w:sz w:val="24"/>
          <w:szCs w:val="24"/>
          <w:rtl w:val="true"/>
        </w:rPr>
        <w:t>).</w:t>
      </w:r>
      <w:r>
        <w:rPr>
          <w:rFonts w:cs="David" w:ascii="Times New Roman" w:hAnsi="Times New Roman"/>
          <w:b/>
          <w:bCs/>
          <w:sz w:val="24"/>
          <w:szCs w:val="24"/>
          <w:rtl w:val="true"/>
        </w:rPr>
        <w:t>"</w:t>
      </w:r>
    </w:p>
    <w:p>
      <w:pPr>
        <w:pStyle w:val="Ruller5"/>
        <w:ind w:end="1282"/>
        <w:jc w:val="both"/>
        <w:rPr>
          <w:rFonts w:ascii="Times New Roman" w:hAnsi="Times New Roman" w:cs="David"/>
          <w:b/>
          <w:bCs/>
          <w:sz w:val="24"/>
          <w:szCs w:val="24"/>
        </w:rPr>
      </w:pPr>
      <w:r>
        <w:rPr>
          <w:rFonts w:cs="David" w:ascii="Times New Roman" w:hAnsi="Times New Roman"/>
          <w:b/>
          <w:bCs/>
          <w:sz w:val="24"/>
          <w:szCs w:val="24"/>
          <w:rtl w:val="true"/>
        </w:rPr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b/>
          <w:bCs/>
          <w:rtl w:val="true"/>
        </w:rPr>
        <w:tab/>
      </w:r>
      <w:r>
        <w:rPr>
          <w:rtl w:val="true"/>
        </w:rPr>
        <w:t>[</w:t>
      </w:r>
      <w:r>
        <w:rPr>
          <w:rtl w:val="true"/>
        </w:rPr>
        <w:t>הדברים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נאמרו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hyperlink r:id="rId17">
        <w:r>
          <w:rPr>
            <w:rStyle w:val="Hyperlink"/>
            <w:rtl w:val="true"/>
          </w:rPr>
          <w:t>ע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4105/11</w:t>
        </w:r>
      </w:hyperlink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ראמז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זועבי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b/>
          <w:bCs/>
          <w:rtl w:val="true"/>
        </w:rPr>
        <w:t xml:space="preserve">, </w:t>
      </w:r>
      <w:r>
        <w:rPr>
          <w:rtl w:val="true"/>
        </w:rPr>
        <w:t>(</w:t>
      </w:r>
      <w:r>
        <w:rPr>
          <w:rtl w:val="true"/>
        </w:rPr>
        <w:t>טרם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פורסם</w:t>
      </w:r>
      <w:r>
        <w:rPr>
          <w:rtl w:val="true"/>
        </w:rPr>
        <w:t xml:space="preserve">,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25/1/11</w:t>
      </w:r>
      <w:r>
        <w:rPr>
          <w:rtl w:val="true"/>
        </w:rPr>
        <w:t>)].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יצוין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עוד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שאוזכרו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שניתנו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במועדים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סמוכים</w:t>
      </w:r>
      <w:r>
        <w:rPr>
          <w:rtl w:val="true"/>
        </w:rPr>
        <w:t xml:space="preserve">, </w:t>
      </w:r>
      <w:r>
        <w:rPr>
          <w:rtl w:val="true"/>
        </w:rPr>
        <w:t>הדגיש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tl w:val="true"/>
        </w:rPr>
        <w:t xml:space="preserve">, </w:t>
      </w:r>
      <w:r>
        <w:rPr>
          <w:rtl w:val="true"/>
        </w:rPr>
        <w:t>הדן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בערעור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הנאשמים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שמדיניות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ההחמרה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tl w:val="true"/>
        </w:rPr>
        <w:t xml:space="preserve">, </w:t>
      </w:r>
      <w:r>
        <w:rPr>
          <w:rtl w:val="true"/>
        </w:rPr>
        <w:t>בראש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ובראשונה</w:t>
      </w:r>
      <w:r>
        <w:rPr>
          <w:rtl w:val="true"/>
        </w:rPr>
        <w:t xml:space="preserve">, </w:t>
      </w:r>
      <w:r>
        <w:rPr>
          <w:rtl w:val="true"/>
        </w:rPr>
        <w:t>בפסיקת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בערכאות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הראשונות</w:t>
      </w:r>
      <w:r>
        <w:rPr>
          <w:rtl w:val="true"/>
        </w:rPr>
        <w:t xml:space="preserve">.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להתייחס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שנקבעה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שחלקם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אוזכר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בטיעוני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הצדדים</w:t>
      </w:r>
      <w:r>
        <w:rPr>
          <w:rtl w:val="true"/>
        </w:rPr>
        <w:t xml:space="preserve">. </w:t>
      </w:r>
      <w:r>
        <w:rPr>
          <w:rtl w:val="true"/>
        </w:rPr>
        <w:t>הנחיה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מתווה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דרכו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בבואו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בשני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אירועים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ומכירתו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משטרתי</w:t>
      </w:r>
      <w:r>
        <w:rPr>
          <w:rtl w:val="true"/>
        </w:rPr>
        <w:t xml:space="preserve">.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המרבי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בנסיבות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הורשע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העונש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המרבי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שיוחסו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הענישה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הקבועה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מנחה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בבואו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tl w:val="true"/>
        </w:rPr>
        <w:t xml:space="preserve">, </w:t>
      </w:r>
      <w:r>
        <w:rPr>
          <w:rtl w:val="true"/>
        </w:rPr>
        <w:t>ובשים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להנחיות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העליון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כמפורט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לעיל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לחובתו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לזקוף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המכביד</w:t>
      </w:r>
      <w:r>
        <w:rPr>
          <w:rtl w:val="true"/>
        </w:rPr>
        <w:t xml:space="preserve">, </w:t>
      </w:r>
      <w:r>
        <w:rPr>
          <w:rtl w:val="true"/>
        </w:rPr>
        <w:t>הכולל</w:t>
      </w:r>
      <w:r>
        <w:rPr>
          <w:rFonts w:cs="Times New Roman"/>
          <w:rtl w:val="true"/>
        </w:rPr>
        <w:t xml:space="preserve"> </w:t>
      </w:r>
      <w:r>
        <w:rPr/>
        <w:t>16</w:t>
      </w:r>
      <w:r>
        <w:rPr>
          <w:rtl w:val="true"/>
        </w:rPr>
        <w:t xml:space="preserve"> </w:t>
      </w:r>
      <w:r>
        <w:rPr>
          <w:rtl w:val="true"/>
        </w:rPr>
        <w:t>הרשעות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קודמות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במגוון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רכוש</w:t>
      </w:r>
      <w:r>
        <w:rPr>
          <w:rtl w:val="true"/>
        </w:rPr>
        <w:t xml:space="preserve">, </w:t>
      </w:r>
      <w:r>
        <w:rPr>
          <w:rtl w:val="true"/>
        </w:rPr>
        <w:t>אלימות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כנגד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שוטרים</w:t>
      </w:r>
      <w:r>
        <w:rPr>
          <w:rtl w:val="true"/>
        </w:rPr>
        <w:t xml:space="preserve">. </w:t>
      </w:r>
      <w:r>
        <w:rPr>
          <w:rtl w:val="true"/>
        </w:rPr>
        <w:t>בין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הקודמות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שעניינן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ריצה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חמש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. </w:t>
      </w:r>
      <w:r>
        <w:rPr>
          <w:rtl w:val="true"/>
        </w:rPr>
        <w:t>מעבר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לרישום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הובאו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מעברו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</w:t>
      </w:r>
      <w:r>
        <w:rPr>
          <w:rtl w:val="true"/>
        </w:rPr>
        <w:t>-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, </w:t>
      </w:r>
      <w:r>
        <w:rPr>
          <w:rtl w:val="true"/>
        </w:rPr>
        <w:t>כשהחמורה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שבהן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צבאי</w:t>
      </w:r>
      <w:r>
        <w:rPr>
          <w:rtl w:val="true"/>
        </w:rPr>
        <w:t xml:space="preserve">. </w:t>
      </w:r>
      <w:r>
        <w:rPr>
          <w:rtl w:val="true"/>
        </w:rPr>
        <w:t>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חוזר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ומבצע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. </w:t>
      </w:r>
      <w:r>
        <w:rPr>
          <w:rtl w:val="true"/>
        </w:rPr>
        <w:t>כמו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להתעלם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מריבוי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הרשעותיו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הקודמות</w:t>
      </w:r>
      <w:r>
        <w:rPr>
          <w:rtl w:val="true"/>
        </w:rPr>
        <w:t xml:space="preserve">, </w:t>
      </w:r>
      <w:r>
        <w:rPr>
          <w:rtl w:val="true"/>
        </w:rPr>
        <w:t>המצביעות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מדובר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נוטש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העבריינות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לאורך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.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נזקפים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לחובתו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בבואו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לגזור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דינו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להתחשב</w:t>
      </w:r>
      <w:r>
        <w:rPr>
          <w:rtl w:val="true"/>
        </w:rPr>
        <w:t xml:space="preserve">, </w:t>
      </w:r>
      <w:r>
        <w:rPr>
          <w:rtl w:val="true"/>
        </w:rPr>
        <w:t>לכף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הזכות</w:t>
      </w:r>
      <w:r>
        <w:rPr>
          <w:rtl w:val="true"/>
        </w:rPr>
        <w:t xml:space="preserve">, </w:t>
      </w:r>
      <w:r>
        <w:rPr>
          <w:rtl w:val="true"/>
        </w:rPr>
        <w:t>במצוקה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הכלכלית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שבגינה</w:t>
      </w:r>
      <w:r>
        <w:rPr>
          <w:rtl w:val="true"/>
        </w:rPr>
        <w:t xml:space="preserve">, </w:t>
      </w:r>
      <w:r>
        <w:rPr>
          <w:rtl w:val="true"/>
        </w:rPr>
        <w:t>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נטען</w:t>
      </w:r>
      <w:r>
        <w:rPr>
          <w:rtl w:val="true"/>
        </w:rPr>
        <w:t xml:space="preserve">, </w:t>
      </w:r>
      <w:r>
        <w:rPr>
          <w:rtl w:val="true"/>
        </w:rPr>
        <w:t>התפתה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העבירות</w:t>
      </w:r>
      <w:r>
        <w:rPr>
          <w:rtl w:val="true"/>
        </w:rPr>
        <w:t xml:space="preserve">. </w:t>
      </w:r>
      <w:r>
        <w:rPr>
          <w:rtl w:val="true"/>
        </w:rPr>
        <w:t>מצוקה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כלכלית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צידוק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בכלל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שעלולות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להוביל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פגיעה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ברבים</w:t>
      </w:r>
      <w:r>
        <w:rPr>
          <w:rtl w:val="true"/>
        </w:rPr>
        <w:t xml:space="preserve">, </w:t>
      </w:r>
      <w:r>
        <w:rPr>
          <w:rtl w:val="true"/>
        </w:rPr>
        <w:t>כפי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שקורה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מהפצתו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חוקי</w:t>
      </w:r>
      <w:r>
        <w:rPr>
          <w:rtl w:val="true"/>
        </w:rPr>
        <w:t xml:space="preserve">.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לגלגל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האחריות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לפתחו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בטענה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tl w:val="true"/>
        </w:rPr>
        <w:t xml:space="preserve">. </w:t>
      </w:r>
      <w:r>
        <w:rPr>
          <w:rtl w:val="true"/>
        </w:rPr>
        <w:t>הסוכן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הסמוי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בהתאם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לרשימת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יעדים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ודרכם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הגיע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לרבים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שביקשו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לסחור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עמו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בנשק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ובסמים</w:t>
      </w:r>
      <w:r>
        <w:rPr>
          <w:rtl w:val="true"/>
        </w:rPr>
        <w:t xml:space="preserve">.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פיתה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אחרים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בעניינם</w:t>
      </w:r>
      <w:r>
        <w:rPr>
          <w:rtl w:val="true"/>
        </w:rPr>
        <w:t xml:space="preserve">). </w:t>
      </w:r>
      <w:r>
        <w:rPr>
          <w:rtl w:val="true"/>
        </w:rPr>
        <w:t>בכל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מקרה</w:t>
      </w:r>
      <w:r>
        <w:rPr>
          <w:rtl w:val="true"/>
        </w:rPr>
        <w:t xml:space="preserve">, </w:t>
      </w:r>
      <w:r>
        <w:rPr>
          <w:rtl w:val="true"/>
        </w:rPr>
        <w:t>במסגרת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הובאו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ראיות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לפיתוי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הסוכן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לנקודות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start="567" w:end="0"/>
        <w:jc w:val="both"/>
        <w:rPr/>
      </w:pPr>
      <w:r>
        <w:rPr>
          <w:rtl w:val="true"/>
        </w:rPr>
        <w:t>אוסיף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עוד</w:t>
      </w:r>
      <w:r>
        <w:rPr>
          <w:rtl w:val="true"/>
        </w:rPr>
        <w:t xml:space="preserve">,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דווקא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בוחר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בביצוע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לפתור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כלכלית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שצריכה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tl w:val="true"/>
        </w:rPr>
        <w:t xml:space="preserve">, </w:t>
      </w:r>
      <w:r>
        <w:rPr>
          <w:rtl w:val="true"/>
        </w:rPr>
        <w:t>כדי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להבהיר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רכיב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כלכלי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שחוטא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יצא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נשכר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העובדה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היחידה</w:t>
      </w:r>
      <w:r>
        <w:rPr>
          <w:rtl w:val="true"/>
        </w:rPr>
        <w:t xml:space="preserve">, </w:t>
      </w:r>
      <w:r>
        <w:rPr>
          <w:rtl w:val="true"/>
        </w:rPr>
        <w:t>והמשמעותית</w:t>
      </w:r>
      <w:r>
        <w:rPr>
          <w:rtl w:val="true"/>
        </w:rPr>
        <w:t xml:space="preserve">, </w:t>
      </w:r>
      <w:r>
        <w:rPr>
          <w:rtl w:val="true"/>
        </w:rPr>
        <w:t>הנזקפת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לזכותו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tl w:val="true"/>
        </w:rPr>
        <w:t xml:space="preserve">, </w:t>
      </w:r>
      <w:r>
        <w:rPr>
          <w:rtl w:val="true"/>
        </w:rPr>
        <w:t>היא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הודאתו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בפתח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משפטו</w:t>
      </w:r>
      <w:r>
        <w:rPr>
          <w:rtl w:val="true"/>
        </w:rPr>
        <w:t xml:space="preserve">.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הוצע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הסדר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כזה</w:t>
      </w:r>
      <w:r>
        <w:rPr>
          <w:rtl w:val="true"/>
        </w:rPr>
        <w:t xml:space="preserve">. </w:t>
      </w:r>
      <w:r>
        <w:rPr>
          <w:rtl w:val="true"/>
        </w:rPr>
        <w:t>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בפתח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במיוחס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, </w:t>
      </w:r>
      <w:r>
        <w:rPr>
          <w:rtl w:val="true"/>
        </w:rPr>
        <w:t>אישר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להיענש</w:t>
      </w:r>
      <w:r>
        <w:rPr>
          <w:rtl w:val="true"/>
        </w:rPr>
        <w:t xml:space="preserve">, </w:t>
      </w:r>
      <w:r>
        <w:rPr>
          <w:rtl w:val="true"/>
        </w:rPr>
        <w:t>וביקש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רחמי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. </w:t>
      </w:r>
      <w:r>
        <w:rPr>
          <w:rtl w:val="true"/>
        </w:rPr>
        <w:t>סבור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נמנע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מלהעמיס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מערכת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התדיינות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מיותרת</w:t>
      </w:r>
      <w:r>
        <w:rPr>
          <w:rtl w:val="true"/>
        </w:rPr>
        <w:t xml:space="preserve">, </w:t>
      </w:r>
      <w:r>
        <w:rPr>
          <w:rtl w:val="true"/>
        </w:rPr>
        <w:t>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ראוי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להתחשבות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ולהקלה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בעונשו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אציין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למרבה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הצער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יוצר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לעתים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תמריץ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להאט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קצב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הדיון</w:t>
      </w:r>
      <w:r>
        <w:rPr>
          <w:rtl w:val="true"/>
        </w:rPr>
        <w:t xml:space="preserve">, </w:t>
      </w:r>
      <w:r>
        <w:rPr>
          <w:rtl w:val="true"/>
        </w:rPr>
        <w:t>להאריך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ולסרבלו</w:t>
      </w:r>
      <w:r>
        <w:rPr>
          <w:rtl w:val="true"/>
        </w:rPr>
        <w:t xml:space="preserve">. </w:t>
      </w:r>
      <w:r>
        <w:rPr>
          <w:rtl w:val="true"/>
        </w:rPr>
        <w:t>התארכות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חקירה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וחלוף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עבירה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למועד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בסיס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לטענות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הצדק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ועילה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להקלה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tl w:val="true"/>
        </w:rPr>
        <w:t xml:space="preserve">.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עצור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לתום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ההליכים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חלוף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תקופה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ממושכת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שמשפטו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הסתיים</w:t>
      </w:r>
      <w:r>
        <w:rPr>
          <w:rtl w:val="true"/>
        </w:rPr>
        <w:t xml:space="preserve">, </w:t>
      </w:r>
      <w:r>
        <w:rPr>
          <w:rtl w:val="true"/>
        </w:rPr>
        <w:t>מחזקת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סיכויו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להשתחרר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ממעצר</w:t>
      </w:r>
      <w:r>
        <w:rPr>
          <w:rtl w:val="true"/>
        </w:rPr>
        <w:t xml:space="preserve">. </w:t>
      </w:r>
      <w:r>
        <w:rPr>
          <w:rtl w:val="true"/>
        </w:rPr>
        <w:t>זיכרונם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עדים</w:t>
      </w:r>
      <w:r>
        <w:rPr>
          <w:rtl w:val="true"/>
        </w:rPr>
        <w:t xml:space="preserve">, </w:t>
      </w:r>
      <w:r>
        <w:rPr>
          <w:rtl w:val="true"/>
        </w:rPr>
        <w:t>מטבע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הדברים</w:t>
      </w:r>
      <w:r>
        <w:rPr>
          <w:rtl w:val="true"/>
        </w:rPr>
        <w:t xml:space="preserve">, </w:t>
      </w:r>
      <w:r>
        <w:rPr>
          <w:rtl w:val="true"/>
        </w:rPr>
        <w:t>מוגבל</w:t>
      </w:r>
      <w:r>
        <w:rPr>
          <w:rtl w:val="true"/>
        </w:rPr>
        <w:t xml:space="preserve">, </w:t>
      </w:r>
      <w:r>
        <w:rPr>
          <w:rtl w:val="true"/>
        </w:rPr>
        <w:t>וחלוף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הזמן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פוגם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בזיכרון</w:t>
      </w:r>
      <w:r>
        <w:rPr>
          <w:rtl w:val="true"/>
        </w:rPr>
        <w:t xml:space="preserve">. </w:t>
      </w:r>
      <w:r>
        <w:rPr>
          <w:rtl w:val="true"/>
        </w:rPr>
        <w:t>עומסים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מערכת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אכיפת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החוק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תמריץ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לסגירת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תיקים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ולחילופין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להסדרי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טיעון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מקלים</w:t>
      </w:r>
      <w:r>
        <w:rPr>
          <w:rtl w:val="true"/>
        </w:rPr>
        <w:t xml:space="preserve">.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מהווים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תמריץ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להשהיית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וסרבול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להוסיף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חיוב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באגרות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בגין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פניה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לבית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. </w:t>
      </w:r>
      <w:r>
        <w:rPr>
          <w:rtl w:val="true"/>
        </w:rPr>
        <w:t>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החלטה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ערעור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פסק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המוגש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מטיל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חיוב</w:t>
      </w:r>
      <w:r>
        <w:rPr>
          <w:rtl w:val="true"/>
        </w:rPr>
        <w:t xml:space="preserve">, </w:t>
      </w:r>
      <w:r>
        <w:rPr>
          <w:rtl w:val="true"/>
        </w:rPr>
        <w:t>וככל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שהמדינה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מערערת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סיכון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מעצם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נקיטת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ההליך</w:t>
      </w:r>
      <w:r>
        <w:rPr>
          <w:rtl w:val="true"/>
        </w:rPr>
        <w:t xml:space="preserve">. </w:t>
      </w:r>
      <w:r>
        <w:rPr>
          <w:rtl w:val="true"/>
        </w:rPr>
        <w:t>מצב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</w:t>
      </w:r>
      <w:r>
        <w:rPr>
          <w:rtl w:val="true"/>
        </w:rPr>
        <w:t>"</w:t>
      </w:r>
      <w:r>
        <w:rPr>
          <w:b/>
          <w:b/>
          <w:bCs/>
          <w:rtl w:val="true"/>
        </w:rPr>
        <w:t>הקלות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הבלתי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נסבלת</w:t>
      </w:r>
      <w:r>
        <w:rPr>
          <w:rtl w:val="true"/>
        </w:rPr>
        <w:t>" [</w:t>
      </w:r>
      <w:hyperlink r:id="rId18">
        <w:r>
          <w:rPr>
            <w:rStyle w:val="Hyperlink"/>
            <w:rtl w:val="true"/>
          </w:rPr>
          <w:t>בש</w:t>
        </w:r>
        <w:r>
          <w:rPr>
            <w:rStyle w:val="Hyperlink"/>
            <w:rtl w:val="true"/>
          </w:rPr>
          <w:t>"</w:t>
        </w:r>
        <w:r>
          <w:rPr>
            <w:rStyle w:val="Hyperlink"/>
            <w:rtl w:val="true"/>
          </w:rPr>
          <w:t>פ</w:t>
        </w:r>
        <w:r>
          <w:rPr>
            <w:rStyle w:val="Hyperlink"/>
            <w:rFonts w:cs="Times New Roman"/>
            <w:rtl w:val="true"/>
          </w:rPr>
          <w:t xml:space="preserve"> </w:t>
        </w:r>
        <w:r>
          <w:rPr>
            <w:rStyle w:val="Hyperlink"/>
          </w:rPr>
          <w:t>1900/11</w:t>
        </w:r>
      </w:hyperlink>
      <w:r>
        <w:rPr>
          <w:rtl w:val="true"/>
        </w:rPr>
        <w:t xml:space="preserve"> </w:t>
      </w:r>
      <w:r>
        <w:rPr>
          <w:b/>
          <w:b/>
          <w:bCs/>
          <w:rtl w:val="true"/>
        </w:rPr>
        <w:t>איליה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לבצ</w:t>
      </w:r>
      <w:r>
        <w:rPr>
          <w:b/>
          <w:bCs/>
          <w:rtl w:val="true"/>
        </w:rPr>
        <w:t>'</w:t>
      </w:r>
      <w:r>
        <w:rPr>
          <w:b/>
          <w:b/>
          <w:bCs/>
          <w:rtl w:val="true"/>
        </w:rPr>
        <w:t>נקו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נ</w:t>
      </w:r>
      <w:r>
        <w:rPr>
          <w:b/>
          <w:bCs/>
          <w:rtl w:val="true"/>
        </w:rPr>
        <w:t xml:space="preserve">' </w:t>
      </w:r>
      <w:r>
        <w:rPr>
          <w:b/>
          <w:b/>
          <w:bCs/>
          <w:rtl w:val="true"/>
        </w:rPr>
        <w:t>מדינת</w:t>
      </w:r>
      <w:r>
        <w:rPr>
          <w:rFonts w:cs="Times New Roman"/>
          <w:b/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ישראל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טרם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פורסמה</w:t>
      </w:r>
      <w:r>
        <w:rPr>
          <w:rtl w:val="true"/>
        </w:rPr>
        <w:t xml:space="preserve">. </w:t>
      </w:r>
      <w:r>
        <w:rPr>
          <w:rtl w:val="true"/>
        </w:rPr>
        <w:t>ניתנה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ביום</w:t>
      </w:r>
      <w:r>
        <w:rPr>
          <w:rFonts w:cs="Times New Roman"/>
          <w:rtl w:val="true"/>
        </w:rPr>
        <w:t xml:space="preserve"> </w:t>
      </w:r>
      <w:r>
        <w:rPr/>
        <w:t>8.3.11</w:t>
      </w:r>
      <w:r>
        <w:rPr>
          <w:rtl w:val="true"/>
        </w:rPr>
        <w:t xml:space="preserve">)] </w:t>
      </w:r>
      <w:r>
        <w:rPr>
          <w:rtl w:val="true"/>
        </w:rPr>
        <w:t>שבנקיטת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הליכי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סרק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מעודדים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נקיטת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קו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הגנה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ובחירת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דרך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בניהול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ההליך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שתכליתם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העיקרית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בהכבדה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המאשימה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ועל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המשפט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tl w:val="true"/>
        </w:rPr>
        <w:tab/>
      </w:r>
      <w:r>
        <w:rPr>
          <w:rtl w:val="true"/>
        </w:rPr>
        <w:t>מטעם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כאשר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מודה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בפתח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משפטו</w:t>
      </w:r>
      <w:r>
        <w:rPr>
          <w:rtl w:val="true"/>
        </w:rPr>
        <w:t xml:space="preserve">, </w:t>
      </w:r>
      <w:r>
        <w:rPr>
          <w:rtl w:val="true"/>
        </w:rPr>
        <w:t>בלא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שהובטחה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טובת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הנאה</w:t>
      </w:r>
      <w:r>
        <w:rPr>
          <w:rtl w:val="true"/>
        </w:rPr>
        <w:t xml:space="preserve">, </w:t>
      </w:r>
      <w:r>
        <w:rPr>
          <w:rtl w:val="true"/>
        </w:rPr>
        <w:t>תוך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מכיר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בחומרת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מעשיו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ומבקש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להתחרט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להביא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הדבר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בחשבון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זכות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וליתן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לכך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ביטוי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משמעותי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בענישה</w:t>
      </w:r>
      <w:r>
        <w:rPr>
          <w:rtl w:val="true"/>
        </w:rPr>
        <w:t xml:space="preserve">. </w:t>
      </w:r>
      <w:r>
        <w:rPr>
          <w:rtl w:val="true"/>
        </w:rPr>
        <w:t>נתון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הוא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אמנם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היחידי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שפועל</w:t>
      </w:r>
      <w:r>
        <w:rPr>
          <w:rtl w:val="true"/>
        </w:rPr>
        <w:t xml:space="preserve">, </w:t>
      </w:r>
      <w:r>
        <w:rPr>
          <w:rtl w:val="true"/>
        </w:rPr>
        <w:t>במקרה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לזכותו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הנאשם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ואולם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סבור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אני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יש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ליתן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לו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משקל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של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ממש</w:t>
      </w:r>
      <w:r>
        <w:rPr>
          <w:rtl w:val="true"/>
        </w:rPr>
        <w:t xml:space="preserve">.  </w:t>
      </w:r>
    </w:p>
    <w:p>
      <w:pPr>
        <w:pStyle w:val="Normal"/>
        <w:spacing w:lineRule="auto" w:line="360"/>
        <w:ind w:hanging="567" w:start="567" w:end="0"/>
        <w:jc w:val="both"/>
        <w:rPr/>
      </w:pPr>
      <w:r>
        <w:rPr>
          <w:rFonts w:cs="Times New Roman"/>
          <w:rtl w:val="true"/>
        </w:rPr>
        <w:t xml:space="preserve">      </w:t>
      </w:r>
    </w:p>
    <w:p>
      <w:pPr>
        <w:pStyle w:val="Normal"/>
        <w:spacing w:lineRule="auto" w:line="360"/>
        <w:ind w:hanging="720" w:start="720" w:end="0"/>
        <w:jc w:val="both"/>
        <w:rPr/>
      </w:pPr>
      <w:r>
        <w:rPr>
          <w:b/>
          <w:bCs/>
        </w:rPr>
        <w:t>4</w:t>
      </w:r>
      <w:r>
        <w:rPr>
          <w:b/>
          <w:bCs/>
          <w:rtl w:val="true"/>
        </w:rPr>
        <w:t>.</w:t>
      </w:r>
      <w:r>
        <w:rPr>
          <w:b/>
          <w:bCs/>
          <w:rtl w:val="true"/>
        </w:rPr>
        <w:tab/>
      </w:r>
      <w:r>
        <w:rPr>
          <w:b/>
          <w:b/>
          <w:bCs/>
          <w:u w:val="single"/>
          <w:rtl w:val="true"/>
        </w:rPr>
        <w:t>סיכום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הענישה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וגזר</w:t>
      </w:r>
      <w:r>
        <w:rPr>
          <w:rFonts w:cs="Times New Roman"/>
          <w:b/>
          <w:b/>
          <w:bCs/>
          <w:u w:val="single"/>
          <w:rtl w:val="true"/>
        </w:rPr>
        <w:t xml:space="preserve"> </w:t>
      </w:r>
      <w:r>
        <w:rPr>
          <w:b/>
          <w:b/>
          <w:bCs/>
          <w:u w:val="single"/>
          <w:rtl w:val="true"/>
        </w:rPr>
        <w:t>הדין</w:t>
      </w:r>
      <w:r>
        <w:rPr>
          <w:b/>
          <w:bCs/>
          <w:rtl w:val="true"/>
        </w:rPr>
        <w:t>:</w:t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</w:rPr>
      </w:pPr>
      <w:r>
        <w:rPr>
          <w:rFonts w:ascii="Arial" w:hAnsi="Arial" w:cs="Arial"/>
          <w:rtl w:val="true"/>
        </w:rPr>
        <w:t>בסיכומו של דבר</w:t>
      </w:r>
      <w:r>
        <w:rPr>
          <w:rFonts w:cs="Arial" w:ascii="Arial" w:hAnsi="Arial"/>
          <w:rtl w:val="true"/>
        </w:rPr>
        <w:t xml:space="preserve">, </w:t>
      </w:r>
      <w:r>
        <w:rPr>
          <w:rFonts w:ascii="Arial" w:hAnsi="Arial" w:cs="Arial"/>
          <w:rtl w:val="true"/>
        </w:rPr>
        <w:t>בשים לב לכל האמור לעיל</w:t>
      </w:r>
      <w:r>
        <w:rPr>
          <w:rFonts w:cs="Arial" w:ascii="Arial" w:hAnsi="Arial"/>
          <w:rtl w:val="true"/>
        </w:rPr>
        <w:t xml:space="preserve">, </w:t>
      </w:r>
      <w:r>
        <w:rPr>
          <w:rFonts w:ascii="Arial" w:hAnsi="Arial" w:cs="Arial"/>
          <w:rtl w:val="true"/>
        </w:rPr>
        <w:t>ולאחר ששקלתי את טיעוני הצדדים ואת כל הנסיבות</w:t>
      </w:r>
      <w:r>
        <w:rPr>
          <w:rFonts w:cs="Arial" w:ascii="Arial" w:hAnsi="Arial"/>
          <w:rtl w:val="true"/>
        </w:rPr>
        <w:t xml:space="preserve">, </w:t>
      </w:r>
      <w:r>
        <w:rPr>
          <w:rFonts w:ascii="Arial" w:hAnsi="Arial" w:cs="Arial"/>
          <w:rtl w:val="true"/>
        </w:rPr>
        <w:t>אני גוזר את דינו של הנאשם כדלקמן</w:t>
      </w:r>
      <w:r>
        <w:rPr>
          <w:rFonts w:cs="Arial" w:ascii="Arial" w:hAnsi="Arial"/>
          <w:rtl w:val="true"/>
        </w:rPr>
        <w:t>:</w:t>
      </w:r>
    </w:p>
    <w:p>
      <w:pPr>
        <w:pStyle w:val="Normal"/>
        <w:spacing w:lineRule="auto" w:line="360"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</w:rPr>
      </w:pPr>
      <w:r>
        <w:rPr>
          <w:rFonts w:ascii="Arial" w:hAnsi="Arial" w:cs="Arial"/>
          <w:rtl w:val="true"/>
        </w:rPr>
        <w:t xml:space="preserve">אני גוזר על הנאשם </w:t>
      </w:r>
      <w:r>
        <w:rPr>
          <w:rFonts w:cs="Arial" w:ascii="Arial" w:hAnsi="Arial"/>
        </w:rPr>
        <w:t>72</w:t>
      </w:r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rtl w:val="true"/>
        </w:rPr>
        <w:t>חודשי מאסר</w:t>
      </w:r>
      <w:r>
        <w:rPr>
          <w:rFonts w:cs="Arial" w:ascii="Arial" w:hAnsi="Arial"/>
          <w:rtl w:val="true"/>
        </w:rPr>
        <w:t xml:space="preserve">, </w:t>
      </w:r>
      <w:r>
        <w:rPr>
          <w:rFonts w:ascii="Arial" w:hAnsi="Arial" w:cs="Arial"/>
          <w:rtl w:val="true"/>
        </w:rPr>
        <w:t xml:space="preserve">מהם </w:t>
      </w:r>
      <w:r>
        <w:rPr>
          <w:rFonts w:cs="Arial" w:ascii="Arial" w:hAnsi="Arial"/>
        </w:rPr>
        <w:t>54</w:t>
      </w:r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rtl w:val="true"/>
        </w:rPr>
        <w:t>חודשי מאסר לריצוי בפועל ו</w:t>
      </w:r>
      <w:r>
        <w:rPr>
          <w:rFonts w:cs="Arial" w:ascii="Arial" w:hAnsi="Arial"/>
          <w:rtl w:val="true"/>
        </w:rPr>
        <w:t>-</w:t>
      </w:r>
      <w:r>
        <w:rPr>
          <w:rFonts w:cs="Arial" w:ascii="Arial" w:hAnsi="Arial"/>
        </w:rPr>
        <w:t>18</w:t>
      </w:r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rtl w:val="true"/>
        </w:rPr>
        <w:t>חודשי מאסר על תנאי</w:t>
      </w:r>
      <w:r>
        <w:rPr>
          <w:rFonts w:cs="Arial" w:ascii="Arial" w:hAnsi="Arial"/>
          <w:rtl w:val="true"/>
        </w:rPr>
        <w:t xml:space="preserve">. </w:t>
      </w:r>
      <w:r>
        <w:rPr>
          <w:rFonts w:ascii="Arial" w:hAnsi="Arial" w:cs="Arial"/>
          <w:rtl w:val="true"/>
        </w:rPr>
        <w:t>התנאי הוא שהנאשם לא יעבור העבירות בהן הורשע וכן עבירות בנשק בתוך שלוש שנים</w:t>
      </w:r>
      <w:r>
        <w:rPr>
          <w:rFonts w:cs="Arial" w:ascii="Arial" w:hAnsi="Arial"/>
          <w:rtl w:val="true"/>
        </w:rPr>
        <w:t xml:space="preserve">. </w:t>
      </w:r>
    </w:p>
    <w:p>
      <w:pPr>
        <w:pStyle w:val="Normal"/>
        <w:spacing w:lineRule="auto" w:line="360"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spacing w:lineRule="auto" w:line="360"/>
        <w:ind w:firstLine="720" w:end="0"/>
        <w:jc w:val="star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/>
          <w:bCs/>
          <w:rtl w:val="true"/>
        </w:rPr>
        <w:t>סה</w:t>
      </w:r>
      <w:r>
        <w:rPr>
          <w:rFonts w:cs="Arial" w:ascii="Arial" w:hAnsi="Arial"/>
          <w:b/>
          <w:bCs/>
          <w:rtl w:val="true"/>
        </w:rPr>
        <w:t>"</w:t>
      </w:r>
      <w:r>
        <w:rPr>
          <w:rFonts w:ascii="Arial" w:hAnsi="Arial" w:cs="Arial"/>
          <w:b/>
          <w:b/>
          <w:bCs/>
          <w:rtl w:val="true"/>
        </w:rPr>
        <w:t xml:space="preserve">כ ירצה הנאשם </w:t>
      </w:r>
      <w:r>
        <w:rPr>
          <w:rFonts w:cs="Arial" w:ascii="Arial" w:hAnsi="Arial"/>
          <w:b/>
          <w:bCs/>
        </w:rPr>
        <w:t>54</w:t>
      </w:r>
      <w:r>
        <w:rPr>
          <w:rFonts w:cs="Arial" w:ascii="Arial" w:hAnsi="Arial"/>
          <w:b/>
          <w:bCs/>
          <w:rtl w:val="true"/>
        </w:rPr>
        <w:t xml:space="preserve"> </w:t>
      </w:r>
      <w:r>
        <w:rPr>
          <w:rFonts w:ascii="Arial" w:hAnsi="Arial" w:cs="Arial"/>
          <w:b/>
          <w:b/>
          <w:bCs/>
          <w:rtl w:val="true"/>
        </w:rPr>
        <w:t xml:space="preserve">חודשי מאסר שמניינם מיום </w:t>
      </w:r>
      <w:r>
        <w:rPr>
          <w:rFonts w:cs="Arial" w:ascii="Arial" w:hAnsi="Arial"/>
          <w:b/>
          <w:bCs/>
        </w:rPr>
        <w:t>7/12/11</w:t>
      </w:r>
      <w:r>
        <w:rPr>
          <w:rFonts w:cs="Arial" w:ascii="Arial" w:hAnsi="Arial"/>
          <w:b/>
          <w:bCs/>
          <w:rtl w:val="true"/>
        </w:rPr>
        <w:t xml:space="preserve">, </w:t>
      </w:r>
      <w:r>
        <w:rPr>
          <w:rFonts w:ascii="Arial" w:hAnsi="Arial" w:cs="Arial"/>
          <w:b/>
          <w:b/>
          <w:bCs/>
          <w:rtl w:val="true"/>
        </w:rPr>
        <w:t>מועד מעצרו</w:t>
      </w:r>
      <w:r>
        <w:rPr>
          <w:rFonts w:cs="Arial" w:ascii="Arial" w:hAnsi="Arial"/>
          <w:b/>
          <w:bCs/>
          <w:rtl w:val="true"/>
        </w:rPr>
        <w:t xml:space="preserve">. </w:t>
      </w:r>
    </w:p>
    <w:p>
      <w:pPr>
        <w:pStyle w:val="Normal"/>
        <w:spacing w:lineRule="auto" w:line="360"/>
        <w:ind w:end="0"/>
        <w:jc w:val="start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</w:rPr>
      </w:pPr>
      <w:r>
        <w:rPr>
          <w:rFonts w:ascii="Arial" w:hAnsi="Arial" w:cs="Arial"/>
          <w:rtl w:val="true"/>
        </w:rPr>
        <w:t xml:space="preserve">אני גוזר על הנאשם קנס כספי בסכום של </w:t>
      </w:r>
      <w:r>
        <w:rPr>
          <w:rFonts w:cs="Arial" w:ascii="Arial" w:hAnsi="Arial"/>
        </w:rPr>
        <w:t>40,000</w:t>
      </w:r>
      <w:r>
        <w:rPr>
          <w:rFonts w:cs="Arial" w:ascii="Arial" w:hAnsi="Arial"/>
          <w:rtl w:val="true"/>
        </w:rPr>
        <w:t xml:space="preserve"> ₪, </w:t>
      </w:r>
      <w:r>
        <w:rPr>
          <w:rFonts w:ascii="Arial" w:hAnsi="Arial" w:cs="Arial"/>
          <w:rtl w:val="true"/>
        </w:rPr>
        <w:t>סכום הנגזר משווי העסקאות שביצע</w:t>
      </w:r>
      <w:r>
        <w:rPr>
          <w:rFonts w:cs="Arial" w:ascii="Arial" w:hAnsi="Arial"/>
          <w:rtl w:val="true"/>
        </w:rPr>
        <w:t xml:space="preserve">. </w:t>
      </w:r>
      <w:r>
        <w:rPr>
          <w:rFonts w:ascii="Arial" w:hAnsi="Arial" w:cs="Arial"/>
          <w:rtl w:val="true"/>
        </w:rPr>
        <w:t xml:space="preserve">סכום זה ישולם עד לא יאוחר מיום </w:t>
      </w:r>
      <w:r>
        <w:rPr>
          <w:rFonts w:cs="Arial" w:ascii="Arial" w:hAnsi="Arial"/>
        </w:rPr>
        <w:t>1/7/12</w:t>
      </w:r>
      <w:r>
        <w:rPr>
          <w:rFonts w:cs="Arial" w:ascii="Arial" w:hAnsi="Arial"/>
          <w:rtl w:val="true"/>
        </w:rPr>
        <w:t xml:space="preserve">, </w:t>
      </w:r>
      <w:r>
        <w:rPr>
          <w:rFonts w:ascii="Arial" w:hAnsi="Arial" w:cs="Arial"/>
          <w:rtl w:val="true"/>
        </w:rPr>
        <w:t xml:space="preserve">שאם לא כן ירצה הנאשם </w:t>
      </w:r>
      <w:r>
        <w:rPr>
          <w:rFonts w:cs="Arial" w:ascii="Arial" w:hAnsi="Arial"/>
        </w:rPr>
        <w:t>12</w:t>
      </w:r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rtl w:val="true"/>
        </w:rPr>
        <w:t>חודשי מאסר שיתווספו לכל מאסר אחר אותו ירצה הנאשם</w:t>
      </w:r>
      <w:r>
        <w:rPr>
          <w:rFonts w:cs="Arial" w:ascii="Arial" w:hAnsi="Arial"/>
          <w:rtl w:val="true"/>
        </w:rPr>
        <w:t xml:space="preserve">.   </w:t>
      </w:r>
    </w:p>
    <w:p>
      <w:pPr>
        <w:pStyle w:val="Normal"/>
        <w:spacing w:lineRule="auto" w:line="360"/>
        <w:ind w:end="0"/>
        <w:jc w:val="start"/>
        <w:rPr>
          <w:rFonts w:ascii="Arial" w:hAnsi="Arial" w:cs="Arial"/>
        </w:rPr>
      </w:pPr>
      <w:r>
        <w:rPr>
          <w:rFonts w:cs="Arial" w:ascii="Arial" w:hAnsi="Arial"/>
          <w:rtl w:val="true"/>
        </w:rPr>
      </w:r>
    </w:p>
    <w:p>
      <w:pPr>
        <w:pStyle w:val="Normal"/>
        <w:spacing w:lineRule="auto" w:line="360"/>
        <w:ind w:start="720" w:end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/>
          <w:bCs/>
          <w:rtl w:val="true"/>
        </w:rPr>
        <w:t>אדגיש כי אם לא היה מדובר במקרה של הודאה מיידית בפתח המשפט</w:t>
      </w:r>
      <w:r>
        <w:rPr>
          <w:rFonts w:cs="Arial" w:ascii="Arial" w:hAnsi="Arial"/>
          <w:b/>
          <w:bCs/>
          <w:rtl w:val="true"/>
        </w:rPr>
        <w:t xml:space="preserve">, </w:t>
      </w:r>
      <w:r>
        <w:rPr>
          <w:rFonts w:ascii="Arial" w:hAnsi="Arial" w:cs="Arial"/>
          <w:b/>
          <w:b/>
          <w:bCs/>
          <w:rtl w:val="true"/>
        </w:rPr>
        <w:t>היה עונשו של הנאשם חמור בהרבה מזה שנגזר כעת</w:t>
      </w:r>
      <w:r>
        <w:rPr>
          <w:rFonts w:cs="Arial" w:ascii="Arial" w:hAnsi="Arial"/>
          <w:b/>
          <w:bCs/>
          <w:rtl w:val="true"/>
        </w:rPr>
        <w:t xml:space="preserve">. </w:t>
      </w:r>
    </w:p>
    <w:p>
      <w:pPr>
        <w:pStyle w:val="Normal"/>
        <w:spacing w:lineRule="auto" w:line="360"/>
        <w:ind w:start="720" w:end="0"/>
        <w:jc w:val="start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rtl w:val="true"/>
        </w:rPr>
      </w:r>
    </w:p>
    <w:p>
      <w:pPr>
        <w:pStyle w:val="Normal"/>
        <w:spacing w:lineRule="auto" w:line="360"/>
        <w:ind w:start="720" w:end="0"/>
        <w:jc w:val="start"/>
        <w:rPr>
          <w:rFonts w:ascii="Arial" w:hAnsi="Arial" w:cs="Arial"/>
        </w:rPr>
      </w:pPr>
      <w:r>
        <w:rPr>
          <w:rFonts w:ascii="Arial" w:hAnsi="Arial" w:cs="Arial"/>
          <w:rtl w:val="true"/>
        </w:rPr>
        <w:t xml:space="preserve">הוסברה לנאשם זכותו לערער לבית המשפט העליון בתוך </w:t>
      </w:r>
      <w:r>
        <w:rPr>
          <w:rFonts w:cs="Arial" w:ascii="Arial" w:hAnsi="Arial"/>
        </w:rPr>
        <w:t>45</w:t>
      </w:r>
      <w:r>
        <w:rPr>
          <w:rFonts w:cs="Arial" w:ascii="Arial" w:hAnsi="Arial"/>
          <w:rtl w:val="true"/>
        </w:rPr>
        <w:t xml:space="preserve"> </w:t>
      </w:r>
      <w:r>
        <w:rPr>
          <w:rFonts w:ascii="Arial" w:hAnsi="Arial" w:cs="Arial"/>
          <w:rtl w:val="true"/>
        </w:rPr>
        <w:t>ימים מהיום</w:t>
      </w:r>
      <w:r>
        <w:rPr>
          <w:rFonts w:cs="Arial" w:ascii="Arial" w:hAnsi="Arial"/>
          <w:rtl w:val="true"/>
        </w:rPr>
        <w:t xml:space="preserve">. </w:t>
      </w:r>
    </w:p>
    <w:p>
      <w:pPr>
        <w:pStyle w:val="Normal"/>
        <w:spacing w:lineRule="auto" w:line="360"/>
        <w:ind w:end="0"/>
        <w:jc w:val="start"/>
        <w:rPr>
          <w:rFonts w:ascii="Arial" w:hAnsi="Arial" w:cs="Arial"/>
          <w:color w:val="FFFFFF"/>
          <w:sz w:val="2"/>
          <w:szCs w:val="2"/>
        </w:rPr>
      </w:pPr>
      <w:r>
        <w:rPr>
          <w:rFonts w:cs="Arial" w:ascii="Arial" w:hAnsi="Arial"/>
          <w:color w:val="FFFFFF"/>
          <w:sz w:val="2"/>
          <w:szCs w:val="2"/>
          <w:rtl w:val="true"/>
        </w:rPr>
      </w:r>
    </w:p>
    <w:p>
      <w:pPr>
        <w:pStyle w:val="Normal"/>
        <w:spacing w:lineRule="auto" w:line="360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Normal"/>
        <w:keepNext w:val="true"/>
        <w:spacing w:lineRule="auto" w:line="360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cs="David" w:ascii="David" w:hAnsi="David"/>
          <w:color w:val="000000"/>
          <w:sz w:val="22"/>
          <w:szCs w:val="22"/>
          <w:rtl w:val="true"/>
        </w:rPr>
      </w:r>
    </w:p>
    <w:p>
      <w:pPr>
        <w:pStyle w:val="Normal"/>
        <w:keepNext w:val="true"/>
        <w:spacing w:lineRule="auto" w:line="360"/>
        <w:ind w:end="0"/>
        <w:jc w:val="start"/>
        <w:rPr>
          <w:rFonts w:ascii="David" w:hAnsi="David" w:cs="David"/>
          <w:color w:val="000000"/>
          <w:sz w:val="22"/>
          <w:szCs w:val="22"/>
        </w:rPr>
      </w:pPr>
      <w:r>
        <w:rPr>
          <w:rFonts w:ascii="David" w:hAnsi="David"/>
          <w:color w:val="000000"/>
          <w:sz w:val="22"/>
          <w:sz w:val="22"/>
          <w:szCs w:val="22"/>
          <w:rtl w:val="true"/>
        </w:rPr>
        <w:t xml:space="preserve">רון שפירא </w:t>
      </w:r>
      <w:r>
        <w:rPr>
          <w:rFonts w:cs="David" w:ascii="David" w:hAnsi="David"/>
          <w:color w:val="000000"/>
          <w:sz w:val="22"/>
          <w:szCs w:val="22"/>
        </w:rPr>
        <w:t>54678313</w:t>
      </w:r>
    </w:p>
    <w:p>
      <w:pPr>
        <w:pStyle w:val="Normal"/>
        <w:spacing w:lineRule="auto" w:line="360"/>
        <w:ind w:end="0"/>
        <w:jc w:val="start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54678313</w:t>
      </w:r>
    </w:p>
    <w:tbl>
      <w:tblPr>
        <w:bidiVisual w:val="true"/>
        <w:tblW w:w="283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4"/>
      </w:tblGrid>
      <w:tr>
        <w:trPr/>
        <w:tc>
          <w:tcPr>
            <w:tcW w:w="2834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ind w:end="0"/>
              <w:jc w:val="center"/>
              <w:rPr>
                <w:rFonts w:ascii="Courier New" w:hAnsi="Courier New" w:cs="Courier New"/>
                <w:b/>
                <w:bCs/>
              </w:rPr>
            </w:pPr>
            <w:r>
              <w:rPr>
                <w:rtl w:val="true"/>
              </w:rPr>
              <w:t>ניתן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היום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שבט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תשע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ב</w:t>
            </w:r>
            <w:r>
              <w:rPr>
                <w:rtl w:val="true"/>
              </w:rPr>
              <w:t xml:space="preserve">, </w:t>
            </w:r>
            <w:r>
              <w:rPr/>
              <w:t>06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>פברואר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/>
              <w:t>2012</w:t>
            </w:r>
            <w:r>
              <w:rPr>
                <w:rtl w:val="true"/>
              </w:rPr>
              <w:t xml:space="preserve">, </w:t>
            </w:r>
            <w:r>
              <w:rPr>
                <w:rtl w:val="true"/>
              </w:rPr>
              <w:t>במעמד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הצדדים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ובאי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כוחם</w:t>
            </w:r>
            <w:r>
              <w:rPr>
                <w:rtl w:val="true"/>
              </w:rPr>
              <w:t xml:space="preserve">. </w:t>
            </w:r>
          </w:p>
        </w:tc>
      </w:tr>
      <w:tr>
        <w:trPr/>
        <w:tc>
          <w:tcPr>
            <w:tcW w:w="2834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b/>
                <w:bCs/>
                <w:sz w:val="28"/>
                <w:lang w:val="en-IL" w:eastAsia="en-IL"/>
              </w:rPr>
            </w:pPr>
            <w:r>
              <w:rPr>
                <w:b/>
                <w:b/>
                <w:bCs/>
                <w:sz w:val="28"/>
                <w:sz w:val="28"/>
                <w:rtl w:val="true"/>
              </w:rPr>
              <w:t>ר</w:t>
            </w:r>
            <w:r>
              <w:rPr>
                <w:b/>
                <w:bCs/>
                <w:sz w:val="28"/>
                <w:rtl w:val="true"/>
              </w:rPr>
              <w:t xml:space="preserve">'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שפירא</w:t>
            </w:r>
            <w:r>
              <w:rPr>
                <w:b/>
                <w:bCs/>
                <w:sz w:val="28"/>
                <w:rtl w:val="true"/>
              </w:rPr>
              <w:t xml:space="preserve">, </w:t>
            </w:r>
            <w:r>
              <w:rPr>
                <w:b/>
                <w:b/>
                <w:bCs/>
                <w:sz w:val="28"/>
                <w:sz w:val="28"/>
                <w:rtl w:val="true"/>
              </w:rPr>
              <w:t>שופט</w:t>
            </w:r>
          </w:p>
        </w:tc>
      </w:tr>
    </w:tbl>
    <w:p>
      <w:pPr>
        <w:pStyle w:val="Normal"/>
        <w:ind w:end="0"/>
        <w:jc w:val="start"/>
        <w:rPr>
          <w:color w:val="000000"/>
        </w:rPr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00"/>
          <w:rtl w:val="true"/>
        </w:rPr>
        <w:t>בעניין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עריכה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ושינויים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במסמכי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פסיקה</w:t>
      </w:r>
      <w:r>
        <w:rPr>
          <w:color w:val="000000"/>
          <w:rtl w:val="true"/>
        </w:rPr>
        <w:t xml:space="preserve">, </w:t>
      </w:r>
      <w:r>
        <w:rPr>
          <w:color w:val="000000"/>
          <w:rtl w:val="true"/>
        </w:rPr>
        <w:t>חקיקה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ועוד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באתר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נבו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–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הקש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כאן</w:t>
      </w:r>
    </w:p>
    <w:p>
      <w:pPr>
        <w:pStyle w:val="Normal"/>
        <w:ind w:end="0"/>
        <w:jc w:val="center"/>
        <w:rPr>
          <w:color w:val="0000FF"/>
          <w:u w:val="single"/>
        </w:rPr>
      </w:pPr>
      <w:r>
        <w:rPr>
          <w:color w:val="0000FF"/>
          <w:u w:val="single"/>
          <w:rtl w:val="true"/>
        </w:rPr>
      </w:r>
    </w:p>
    <w:sectPr>
      <w:headerReference w:type="default" r:id="rId19"/>
      <w:footerReference w:type="default" r:id="rId20"/>
      <w:type w:val="nextPage"/>
      <w:pgSz w:w="11906" w:h="16838"/>
      <w:pgMar w:left="1701" w:right="1701" w:gutter="0" w:header="187" w:top="1701" w:footer="720" w:bottom="1077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David">
    <w:charset w:val="b1" w:characterSet="windows-1255"/>
    <w:family w:val="swiss"/>
    <w:pitch w:val="variable"/>
  </w:font>
  <w:font w:name="FrankRuehl">
    <w:charset w:val="b1" w:characterSet="windows-1255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7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תפ </w:t>
    </w:r>
    <w:r>
      <w:rPr>
        <w:rFonts w:cs="David" w:ascii="David" w:hAnsi="David"/>
        <w:color w:val="000000"/>
        <w:sz w:val="22"/>
        <w:szCs w:val="22"/>
        <w:rtl w:val="true"/>
      </w:rPr>
      <w:t>(</w:t>
    </w:r>
    <w:r>
      <w:rPr>
        <w:rFonts w:ascii="David" w:hAnsi="David"/>
        <w:color w:val="000000"/>
        <w:sz w:val="22"/>
        <w:sz w:val="22"/>
        <w:szCs w:val="22"/>
        <w:rtl w:val="true"/>
      </w:rPr>
      <w:t>חי</w:t>
    </w:r>
    <w:r>
      <w:rPr>
        <w:rFonts w:cs="David" w:ascii="David" w:hAnsi="David"/>
        <w:color w:val="000000"/>
        <w:sz w:val="22"/>
        <w:szCs w:val="22"/>
        <w:rtl w:val="true"/>
      </w:rPr>
      <w:t xml:space="preserve">') </w:t>
    </w:r>
    <w:r>
      <w:rPr>
        <w:rFonts w:cs="David" w:ascii="David" w:hAnsi="David"/>
        <w:color w:val="000000"/>
        <w:sz w:val="22"/>
        <w:szCs w:val="22"/>
      </w:rPr>
      <w:t>30145-12-11</w:t>
    </w:r>
    <w:r>
      <w:rPr>
        <w:rFonts w:cs="David" w:ascii="David" w:hAnsi="David"/>
        <w:color w:val="000000"/>
        <w:sz w:val="22"/>
        <w:szCs w:val="22"/>
        <w:rtl w:val="true"/>
      </w:rPr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אמירהם ח</w:t>
    </w:r>
    <w:r>
      <w:rPr>
        <w:rFonts w:cs="David" w:ascii="David" w:hAnsi="David"/>
        <w:color w:val="000000"/>
        <w:sz w:val="22"/>
        <w:szCs w:val="22"/>
        <w:rtl w:val="true"/>
      </w:rPr>
      <w:t>'</w:t>
    </w:r>
    <w:r>
      <w:rPr>
        <w:rFonts w:ascii="David" w:hAnsi="David"/>
        <w:color w:val="000000"/>
        <w:sz w:val="22"/>
        <w:sz w:val="22"/>
        <w:szCs w:val="22"/>
        <w:rtl w:val="true"/>
      </w:rPr>
      <w:t>טיב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normal-h">
    <w:name w:val="normal-h"/>
    <w:basedOn w:val="DefaultParagraphFont"/>
    <w:qFormat/>
    <w:rPr/>
  </w:style>
  <w:style w:type="character" w:styleId="LineNumber">
    <w:name w:val="lin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normal-p">
    <w:name w:val="normal-p"/>
    <w:basedOn w:val="Normal"/>
    <w:qFormat/>
    <w:pPr>
      <w:bidi w:val="0"/>
      <w:spacing w:before="280" w:after="280"/>
    </w:pPr>
    <w:rPr>
      <w:rFonts w:cs="Times New Roman"/>
    </w:rPr>
  </w:style>
  <w:style w:type="paragraph" w:styleId="Ruller4">
    <w:name w:val="Ruller4"/>
    <w:basedOn w:val="Normal"/>
    <w:qFormat/>
    <w:pPr>
      <w:overflowPunct w:val="false"/>
      <w:autoSpaceDE w:val="false"/>
      <w:spacing w:lineRule="auto" w:line="36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overflowPunct w:val="false"/>
      <w:autoSpaceDE w:val="false"/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law/70301" TargetMode="External"/><Relationship Id="rId3" Type="http://schemas.openxmlformats.org/officeDocument/2006/relationships/hyperlink" Target="http://www.nevo.co.il/law/70301/144.a" TargetMode="External"/><Relationship Id="rId4" Type="http://schemas.openxmlformats.org/officeDocument/2006/relationships/hyperlink" Target="http://www.nevo.co.il/law/70301/144.b2" TargetMode="External"/><Relationship Id="rId5" Type="http://schemas.openxmlformats.org/officeDocument/2006/relationships/hyperlink" Target="http://www.nevo.co.il/law/70301/144.c" TargetMode="External"/><Relationship Id="rId6" Type="http://schemas.openxmlformats.org/officeDocument/2006/relationships/hyperlink" Target="http://www.nevo.co.il/law/70301/144.a" TargetMode="External"/><Relationship Id="rId7" Type="http://schemas.openxmlformats.org/officeDocument/2006/relationships/hyperlink" Target="http://www.nevo.co.il/law/70301/144.c" TargetMode="External"/><Relationship Id="rId8" Type="http://schemas.openxmlformats.org/officeDocument/2006/relationships/hyperlink" Target="http://www.nevo.co.il/law/70301" TargetMode="External"/><Relationship Id="rId9" Type="http://schemas.openxmlformats.org/officeDocument/2006/relationships/hyperlink" Target="http://www.nevo.co.il/law/70301/144.b2" TargetMode="External"/><Relationship Id="rId10" Type="http://schemas.openxmlformats.org/officeDocument/2006/relationships/hyperlink" Target="http://www.nevo.co.il/law/70301/144.c" TargetMode="External"/><Relationship Id="rId11" Type="http://schemas.openxmlformats.org/officeDocument/2006/relationships/hyperlink" Target="http://www.nevo.co.il/case/5699080" TargetMode="External"/><Relationship Id="rId12" Type="http://schemas.openxmlformats.org/officeDocument/2006/relationships/hyperlink" Target="http://www.nevo.co.il/case/5821327" TargetMode="External"/><Relationship Id="rId13" Type="http://schemas.openxmlformats.org/officeDocument/2006/relationships/hyperlink" Target="http://www.nevo.co.il/case/5594385" TargetMode="External"/><Relationship Id="rId14" Type="http://schemas.openxmlformats.org/officeDocument/2006/relationships/hyperlink" Target="http://www.nevo.co.il/law/70301" TargetMode="External"/><Relationship Id="rId15" Type="http://schemas.openxmlformats.org/officeDocument/2006/relationships/hyperlink" Target="http://www.nevo.co.il/case/6180713" TargetMode="External"/><Relationship Id="rId16" Type="http://schemas.openxmlformats.org/officeDocument/2006/relationships/hyperlink" Target="http://www.nevo.co.il/case/6000182" TargetMode="External"/><Relationship Id="rId17" Type="http://schemas.openxmlformats.org/officeDocument/2006/relationships/hyperlink" Target="http://www.nevo.co.il/case/5866720" TargetMode="External"/><Relationship Id="rId18" Type="http://schemas.openxmlformats.org/officeDocument/2006/relationships/hyperlink" Target="http://www.nevo.co.il/case/5799080" TargetMode="External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2016-03-27T14:40:00Z</dcterms:created>
  <dc:creator> </dc:creator>
  <dc:description/>
  <cp:keywords/>
  <dc:language>en-IL</dc:language>
  <cp:lastModifiedBy>run</cp:lastModifiedBy>
  <dcterms:modified xsi:type="dcterms:W3CDTF">2016-03-27T14:40:00Z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מדינת ישראל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אמירהם ח'טיב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5699080;5821327;5594385;6180713;6000182;5866720;5799080</vt:lpwstr>
  </property>
  <property fmtid="{D5CDD505-2E9C-101B-9397-08002B2CF9AE}" pid="9" name="CITY">
    <vt:lpwstr>חי'</vt:lpwstr>
  </property>
  <property fmtid="{D5CDD505-2E9C-101B-9397-08002B2CF9AE}" pid="10" name="DATE">
    <vt:lpwstr>20120206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רון שפירא</vt:lpwstr>
  </property>
  <property fmtid="{D5CDD505-2E9C-101B-9397-08002B2CF9AE}" pid="14" name="LAWLISTTMP1">
    <vt:lpwstr>70301/144.a;144.c:2;144.b2</vt:lpwstr>
  </property>
  <property fmtid="{D5CDD505-2E9C-101B-9397-08002B2CF9AE}" pid="15" name="LAWYER">
    <vt:lpwstr/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>30145</vt:lpwstr>
  </property>
  <property fmtid="{D5CDD505-2E9C-101B-9397-08002B2CF9AE}" pid="22" name="NEWPARTB">
    <vt:lpwstr>12</vt:lpwstr>
  </property>
  <property fmtid="{D5CDD505-2E9C-101B-9397-08002B2CF9AE}" pid="23" name="NEWPARTC">
    <vt:lpwstr>11</vt:lpwstr>
  </property>
  <property fmtid="{D5CDD505-2E9C-101B-9397-08002B2CF9AE}" pid="24" name="NEWPROC">
    <vt:lpwstr>תפ</vt:lpwstr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/>
  </property>
  <property fmtid="{D5CDD505-2E9C-101B-9397-08002B2CF9AE}" pid="29" name="PROCNUM">
    <vt:lpwstr/>
  </property>
  <property fmtid="{D5CDD505-2E9C-101B-9397-08002B2CF9AE}" pid="30" name="PROCYEAR">
    <vt:lpwstr/>
  </property>
  <property fmtid="{D5CDD505-2E9C-101B-9397-08002B2CF9AE}" pid="31" name="PSAKDIN">
    <vt:lpwstr>גזר-דין</vt:lpwstr>
  </property>
  <property fmtid="{D5CDD505-2E9C-101B-9397-08002B2CF9AE}" pid="32" name="TYPE">
    <vt:lpwstr>2</vt:lpwstr>
  </property>
  <property fmtid="{D5CDD505-2E9C-101B-9397-08002B2CF9AE}" pid="33" name="TYPE_ABS_DATE">
    <vt:lpwstr>390020120206</vt:lpwstr>
  </property>
  <property fmtid="{D5CDD505-2E9C-101B-9397-08002B2CF9AE}" pid="34" name="TYPE_N_DATE">
    <vt:lpwstr>39020120206</vt:lpwstr>
  </property>
  <property fmtid="{D5CDD505-2E9C-101B-9397-08002B2CF9AE}" pid="35" name="VOLUME">
    <vt:lpwstr/>
  </property>
  <property fmtid="{D5CDD505-2E9C-101B-9397-08002B2CF9AE}" pid="36" name="WORDNUMPAGES">
    <vt:lpwstr>5</vt:lpwstr>
  </property>
</Properties>
</file>