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before="0" w:after="60"/>
      </w:pPr>
      <w:r>
        <w:t>NLP Final Project</w:t>
      </w:r>
    </w:p>
    <w:p>
      <w:pPr>
        <w:spacing w:line="276" w:lineRule="auto" w:before="0" w:after="60"/>
      </w:pPr>
      <w:r>
        <w:t>Submitted by:</w:t>
        <w:br/>
        <w:t>Lior Ben Sidi – 207490913</w:t>
        <w:br/>
        <w:t>Ido Avital – 207850280</w:t>
      </w:r>
    </w:p>
    <w:p>
      <w:pPr>
        <w:spacing w:line="276" w:lineRule="auto" w:before="0" w:after="60"/>
      </w:pPr>
      <w:r>
        <w:rPr>
          <w:rFonts w:ascii="Arial" w:hAnsi="Arial"/>
          <w:sz w:val="20"/>
        </w:rPr>
        <w:br/>
      </w:r>
    </w:p>
    <w:p>
      <w:pPr>
        <w:pStyle w:val="Heading1"/>
        <w:spacing w:line="276" w:lineRule="auto" w:before="120" w:after="80"/>
      </w:pPr>
      <w:r>
        <w:t>1. Introduction</w:t>
      </w:r>
    </w:p>
    <w:p>
      <w:pPr>
        <w:spacing w:line="276" w:lineRule="auto" w:before="0" w:after="60"/>
      </w:pPr>
      <w:r>
        <w:t xml:space="preserve">LLMs have advanced the boundaries of natural language processing, showcasing capabilities in text understanding, reasoning, and generation. Despite these achievements, evaluating their performance on tasks that require structured reasoning and strict adherence to formal schemas remains a key challenge. </w:t>
      </w:r>
    </w:p>
    <w:p>
      <w:pPr>
        <w:spacing w:line="276" w:lineRule="auto" w:before="0" w:after="60"/>
      </w:pPr>
      <w:r>
        <w:t>We propose an evaluation benchmark in the domain of sports analytics. We focus on transforming a chronological play-by-play basketball game log into a complete statistical box score formatted as JSON. The task requires temporal reasoning, aggregation of events across a game, and robustness to narrative variability, and requiring strict compliance with a predefined schema. it provides a testbed for structured reasoning in LLMs.</w:t>
      </w:r>
    </w:p>
    <w:p>
      <w:pPr>
        <w:pStyle w:val="Heading1"/>
        <w:spacing w:line="276" w:lineRule="auto" w:before="120" w:after="80"/>
      </w:pPr>
      <w:r>
        <w:t>2. Background</w:t>
      </w:r>
    </w:p>
    <w:p>
      <w:pPr>
        <w:spacing w:line="276" w:lineRule="auto" w:before="0" w:after="60"/>
      </w:pPr>
      <w:r>
        <w:t xml:space="preserve">LLM evaluation has relied on broad benchmarks such as GLUE, SuperGLUE, and MMLU, which measure general-purpose reasoning and knowledge retrieval. While these benchmarks have driven impressive progress, they do not fully capture the challenges of domain-specific structured reasoning tasks. </w:t>
      </w:r>
    </w:p>
    <w:p>
      <w:pPr>
        <w:spacing w:line="276" w:lineRule="auto" w:before="0" w:after="60"/>
      </w:pPr>
      <w:r>
        <w:t>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value, yet poses difficulties for LLMs due to the need for consistency, aggregation, and error-free schema adherence.</w:t>
      </w:r>
    </w:p>
    <w:p>
      <w:pPr>
        <w:spacing w:line="276" w:lineRule="auto" w:before="0" w:after="60"/>
      </w:pPr>
      <w:r>
        <w:t>Prior work in information extraction and structured prediction has highlighted the difficulties of enforcing schema consistency. Our project extends this line of inquiry by introducing a dataset and evaluation pipeline specifically tailored to sports analytics, bridging the gap between general benchmarks and real-world structured reasoning tasks.</w:t>
      </w:r>
    </w:p>
    <w:p>
      <w:pPr>
        <w:pStyle w:val="Heading1"/>
        <w:spacing w:line="276" w:lineRule="auto" w:before="120" w:after="80"/>
      </w:pPr>
      <w:r>
        <w:t>3. Methodology</w:t>
      </w:r>
    </w:p>
    <w:p>
      <w:pPr>
        <w:spacing w:line="276" w:lineRule="auto" w:before="0" w:after="60"/>
      </w:pPr>
      <w:r>
        <w:t>Our experimental pipeline is composed of three tightly integrated components:</w:t>
      </w:r>
    </w:p>
    <w:p>
      <w:pPr>
        <w:spacing w:line="276" w:lineRule="auto" w:before="0" w:after="60"/>
      </w:pPr>
      <w: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br/>
        <w:t>3. **Scoring and Metrics** – Using `evaluation.py`, model predictions are compared against the ground truth. We apply two complementary scoring modes: field-by-field accuracy (each stat checked independently) and fractional-per-block accuracy (normalizing correctness within team and player blocks).</w:t>
      </w:r>
    </w:p>
    <w:p>
      <w:pPr>
        <w:spacing w:line="276" w:lineRule="auto" w:before="0" w:after="60"/>
      </w:pPr>
      <w:r>
        <w:t>This methodology ensures that evaluation captures both fine-grained correctness and broader structural alignment. By combining deterministic simulation with systematic evaluation, we provide a reliable benchmark for measuring structured reasoning in LLMs.</w:t>
      </w:r>
    </w:p>
    <w:p>
      <w:pPr>
        <w:spacing w:line="276" w:lineRule="auto" w:before="0" w:after="60"/>
      </w:pPr>
      <w:r>
        <w:t>- EVENT_WEIGHTS: Defines the probability distribution over event types (shots, misses, turnovers, fouls). Basic is biased toward misses and fouls, Medium is balanced, and Hard favors made shots and turnovers. This reshapes the statistical prior of the game log, echoing the role of prior probabilities in probabilistic language models. As in n-gram or log-linear models, skewed distributions lead to systematic biases in prediction, requiring models to adjust expectations dynamically.</w:t>
      </w:r>
    </w:p>
    <w:p>
      <w:pPr>
        <w:spacing w:line="276" w:lineRule="auto" w:before="0" w:after="60"/>
      </w:pPr>
      <w:r>
        <w:t>- narrative variety: 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OOV handling.</w:t>
      </w:r>
    </w:p>
    <w:p>
      <w:pPr>
        <w:spacing w:line="276" w:lineRule="auto" w:before="0" w:after="60"/>
      </w:pPr>
      <w: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pPr>
        <w:spacing w:line="276" w:lineRule="auto" w:before="0" w:after="60"/>
      </w:pPr>
      <w: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pPr>
        <w:spacing w:line="276" w:lineRule="auto" w:before="0" w:after="60"/>
      </w:pPr>
      <w:r>
        <w:t>- adversarial_assist_bias: When enabled (Medium, Hard), neutral pass verbs are replaced with ambiguous alternatives such as 'feeds' or 'delivers'. This complicates assist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pPr>
        <w:spacing w:line="276" w:lineRule="auto" w:before="0" w:after="60"/>
      </w:pPr>
      <w: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pPr>
        <w:spacing w:line="276" w:lineRule="auto" w:before="0" w:after="60"/>
      </w:pPr>
      <w:r>
        <w:t>-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p>
    <w:p>
      <w:pPr>
        <w:spacing w:line="276" w:lineRule="auto" w:before="0" w:after="60"/>
      </w:pPr>
      <w:r>
        <w:t>Detailed Explanation of Parameters:</w:t>
      </w:r>
    </w:p>
    <w:p>
      <w:pPr>
        <w:spacing w:lineRule="auto" w:line="276" w:before="0" w:after="60"/>
      </w:pPr>
      <w:r>
        <w:rPr>
          <w:rFonts w:ascii="Arial" w:hAnsi="Arial"/>
          <w:sz w:val="20"/>
        </w:rPr>
        <w:t>Exact values for each level appear in Appendix A (Difficulty Parameters Table). These choices yield a predictable progression in challenge—longer aggregation chains, denser event interactions, and less templated phrasing—while keeping the schema and evaluation criteria unchanged.</w:t>
      </w:r>
    </w:p>
    <w:p>
      <w:pPr>
        <w:spacing w:lineRule="auto" w:line="276" w:before="0" w:after="60"/>
      </w:pPr>
      <w:r>
        <w:rPr>
          <w:rFonts w:ascii="Arial" w:hAnsi="Arial"/>
          <w:sz w:val="20"/>
        </w:rPr>
        <w:t>By design, Basic favors clarity and stability: short logs (150 events), up to 5 passes, no VAR, few substitutions, limited templates, and event weights that bias toward misses/fouls. Medium increases realism and ambiguity: longer logs (~600), fewer passes, moderate substitutions, some VAR (~5%), partial template diversity, and balanced weights. Hard maximizes complexity: longest logs (~900), 1 pass before shots, frequent substitutions, more VAR (~10%), full template diversity, and weights that emphasize made shots/turnovers.</w:t>
      </w:r>
    </w:p>
    <w:p>
      <w:pPr>
        <w:spacing w:lineRule="auto" w:line="276" w:before="0" w:after="60"/>
      </w:pPr>
      <w:r>
        <w:rPr>
          <w:rFonts w:ascii="Arial" w:hAnsi="Arial"/>
          <w:sz w:val="20"/>
        </w:rPr>
        <w:t>We control task difficulty via a small set of generator knobs: target_events (log length), difficulty_max_passes (context before a shot), adversarial_assist_bias (ambiguous pass verbs), substitution chance (roster churn), VAR events (retroactive changes), narrative variety (template diversity), and EVENT_WEIGHTS (priors over event types).</w:t>
      </w:r>
    </w:p>
    <w:p>
      <w:pPr>
        <w:pStyle w:val="Heading1"/>
        <w:spacing w:line="276" w:lineRule="auto" w:before="120" w:after="80"/>
      </w:pPr>
      <w:r>
        <w:t>4. Difficulty Parameters</w:t>
      </w:r>
    </w:p>
    <w:p>
      <w:pPr>
        <w:pStyle w:val="Heading1"/>
        <w:spacing w:line="276" w:lineRule="auto" w:before="120" w:after="80"/>
      </w:pPr>
      <w:r>
        <w:t>5. Results</w:t>
      </w:r>
    </w:p>
    <w:p>
      <w:pPr>
        <w:spacing w:line="276" w:lineRule="auto" w:before="0" w:after="60"/>
      </w:pPr>
      <w:r>
        <w:t>Performance tables will appear in Appendix A after experiments.</w:t>
      </w:r>
    </w:p>
    <w:p>
      <w:pPr>
        <w:pStyle w:val="Heading1"/>
        <w:spacing w:line="276" w:lineRule="auto" w:before="120" w:after="80"/>
      </w:pPr>
      <w:r>
        <w:t>6. Analysis &amp; Insights</w:t>
      </w:r>
    </w:p>
    <w:p>
      <w:pPr>
        <w:spacing w:line="276" w:lineRule="auto" w:before="0" w:after="60"/>
      </w:pPr>
      <w:r>
        <w:t>We observe consistent trends across models and difficulty levels. On basic examples, most models are able to correctly aggregate statistics and adhere to JSON formatting. However, as difficulty increases, performance deteriorates.</w:t>
      </w:r>
    </w:p>
    <w:p>
      <w:pPr>
        <w:spacing w:line="276" w:lineRule="auto" w:before="0" w:after="60"/>
      </w:pPr>
      <w: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pPr>
        <w:spacing w:line="276" w:lineRule="auto" w:before="0" w:after="60"/>
      </w:pPr>
      <w:r>
        <w:t>models with native support for JSON output (e.g., GPT-4o, Gemini Pro) demonstrated stronger robustness in schema adherence, though they still struggled with reasoning over long narratives. These insights highlight structured evaluation tasks for exposing specific weaknesses in LLM reasoning abilities.</w:t>
      </w:r>
    </w:p>
    <w:p>
      <w:pPr>
        <w:pStyle w:val="Heading1"/>
        <w:spacing w:line="276" w:lineRule="auto" w:before="120" w:after="80"/>
      </w:pPr>
      <w:r>
        <w:t>7. Conclusion &amp; Future Work</w:t>
      </w:r>
    </w:p>
    <w:p>
      <w:pPr>
        <w:spacing w:line="276" w:lineRule="auto" w:before="0" w:after="60"/>
      </w:pPr>
      <w:r>
        <w:t>We introduce a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pPr>
        <w:spacing w:line="276" w:lineRule="auto" w:before="0" w:after="60"/>
      </w:pPr>
      <w:r>
        <w:t>Future work: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pPr>
        <w:spacing w:line="276" w:lineRule="auto" w:before="0" w:after="60"/>
      </w:pPr>
      <w:r>
        <w:t>Addressing these challenges can push the boundaries of how LLMs are evaluated and improve their reliability in high-stakes structured reasoning tasks.</w:t>
      </w:r>
    </w:p>
    <w:p>
      <w:pPr>
        <w:spacing w:line="276" w:lineRule="auto" w:before="0" w:after="60"/>
      </w:pPr>
      <w:r>
        <w:rPr>
          <w:rFonts w:ascii="Arial" w:hAnsi="Arial"/>
          <w:sz w:val="20"/>
        </w:rPr>
        <w:br w:type="page"/>
      </w:r>
    </w:p>
    <w:p>
      <w:pPr>
        <w:pStyle w:val="Heading1"/>
      </w:pPr>
      <w:r>
        <w:t>Appendices</w:t>
      </w:r>
    </w:p>
    <w:p>
      <w:pPr>
        <w:pStyle w:val="Heading2"/>
      </w:pPr>
      <w:r>
        <w:t>Appendix A: Difficulty Parameters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