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Zero-Shot Retrieval Config Inventory</w:t>
      </w:r>
    </w:p>
    <w:p>
      <w:pPr>
        <w:pStyle w:val="Subtitle"/>
      </w:pPr>
      <w:r>
        <w:t>Decision aid for pruning the experiment grid before filling metrics or rerunning configs.</w:t>
      </w:r>
    </w:p>
    <w:p>
      <w:pPr>
        <w:pStyle w:val="BodyText"/>
      </w:pPr>
      <w:r>
        <w:t>Matrix source: docs/zero_shot_full_tracking_matrix.csv. Current inventory: 31 retrieval models, 5 summary generators, 4 generator prompt variants, and 4 high-level corpus layouts.</w:t>
      </w:r>
    </w:p>
    <w:p>
      <w:pPr>
        <w:pStyle w:val="Heading1"/>
        <w:keepNext/>
      </w:pPr>
      <w:r>
        <w:t>Retrieval / Embedding Models</w:t>
      </w:r>
    </w:p>
    <w:p>
      <w:pPr>
        <w:pStyle w:val="BodyText"/>
      </w:pPr>
      <w:r>
        <w:t>Each model appears on its own line as: alias - model id.</w:t>
      </w:r>
    </w:p>
    <w:p>
      <w:pPr>
        <w:pStyle w:val="BodyText"/>
      </w:pPr>
      <w:r>
        <w:t>1. Linq-Embed-Mistral - Linq-AI-Research/Linq-Embed-Mistral</w:t>
      </w:r>
    </w:p>
    <w:p>
      <w:pPr>
        <w:pStyle w:val="BodyText"/>
      </w:pPr>
      <w:r>
        <w:t>2. Qwen3-Embedding-8B - Qwen/Qwen3-Embedding-8B</w:t>
      </w:r>
    </w:p>
    <w:p>
      <w:pPr>
        <w:pStyle w:val="BodyText"/>
      </w:pPr>
      <w:r>
        <w:t>3. Qwen3-Embedding-4B - Qwen/Qwen3-Embedding-4B</w:t>
      </w:r>
    </w:p>
    <w:p>
      <w:pPr>
        <w:pStyle w:val="BodyText"/>
      </w:pPr>
      <w:r>
        <w:t>4. Qwen3-Embedding-0.6B - Qwen/Qwen3-Embedding-0.6B</w:t>
      </w:r>
    </w:p>
    <w:p>
      <w:pPr>
        <w:pStyle w:val="BodyText"/>
      </w:pPr>
      <w:r>
        <w:t>5. GTE-Qwen2-7B - Alibaba-NLP/gte-Qwen2-7B-instruct</w:t>
      </w:r>
    </w:p>
    <w:p>
      <w:pPr>
        <w:pStyle w:val="BodyText"/>
      </w:pPr>
      <w:r>
        <w:t>6. GTE-Qwen2-1.5B - Alibaba-NLP/gte-Qwen2-1.5B-instruct</w:t>
      </w:r>
    </w:p>
    <w:p>
      <w:pPr>
        <w:pStyle w:val="BodyText"/>
      </w:pPr>
      <w:r>
        <w:t>7. BGE-en-ICL - BAAI/bge-en-icl</w:t>
      </w:r>
    </w:p>
    <w:p>
      <w:pPr>
        <w:pStyle w:val="BodyText"/>
      </w:pPr>
      <w:r>
        <w:t>8. BGE-M3 - BAAI/bge-m3</w:t>
      </w:r>
    </w:p>
    <w:p>
      <w:pPr>
        <w:pStyle w:val="BodyText"/>
      </w:pPr>
      <w:r>
        <w:t>9. BGE-large-en-v1.5 - BAAI/bge-large-en-v1.5</w:t>
      </w:r>
    </w:p>
    <w:p>
      <w:pPr>
        <w:pStyle w:val="BodyText"/>
      </w:pPr>
      <w:r>
        <w:t>10. BGE-base-en-v1.5 - BAAI/bge-base-en-v1.5</w:t>
      </w:r>
    </w:p>
    <w:p>
      <w:pPr>
        <w:pStyle w:val="BodyText"/>
      </w:pPr>
      <w:r>
        <w:t>11. E5-mistral-7b - intfloat/e5-mistral-7b-instruct</w:t>
      </w:r>
    </w:p>
    <w:p>
      <w:pPr>
        <w:pStyle w:val="BodyText"/>
      </w:pPr>
      <w:r>
        <w:t>12. E5-large-v2 - intfloat/e5-large-v2</w:t>
      </w:r>
    </w:p>
    <w:p>
      <w:pPr>
        <w:pStyle w:val="BodyText"/>
      </w:pPr>
      <w:r>
        <w:t>13. E5-base-v2 - intfloat/e5-base-v2</w:t>
      </w:r>
    </w:p>
    <w:p>
      <w:pPr>
        <w:pStyle w:val="BodyText"/>
      </w:pPr>
      <w:r>
        <w:t>14. Multilingual-E5-large-instruct - intfloat/multilingual-e5-large-instruct</w:t>
      </w:r>
    </w:p>
    <w:p>
      <w:pPr>
        <w:pStyle w:val="BodyText"/>
      </w:pPr>
      <w:r>
        <w:t>15. Multilingual-E5-large - intfloat/multilingual-e5-large</w:t>
      </w:r>
    </w:p>
    <w:p>
      <w:pPr>
        <w:pStyle w:val="BodyText"/>
      </w:pPr>
      <w:r>
        <w:t>16. Instructor-xl - hkunlp/instructor-xl</w:t>
      </w:r>
    </w:p>
    <w:p>
      <w:pPr>
        <w:pStyle w:val="BodyText"/>
      </w:pPr>
      <w:r>
        <w:t>17. Instructor-base - hkunlp/instructor-base</w:t>
      </w:r>
    </w:p>
    <w:p>
      <w:pPr>
        <w:pStyle w:val="BodyText"/>
      </w:pPr>
      <w:r>
        <w:t>18. Nomic-Embed-v2-MoE - nomic-ai/nomic-embed-text-v2-moe</w:t>
      </w:r>
    </w:p>
    <w:p>
      <w:pPr>
        <w:pStyle w:val="BodyText"/>
      </w:pPr>
      <w:r>
        <w:t>19. NV-Embed-v2 - nvidia/NV-Embed-v2</w:t>
      </w:r>
    </w:p>
    <w:p>
      <w:pPr>
        <w:pStyle w:val="BodyText"/>
      </w:pPr>
      <w:r>
        <w:t>20. Llama-Embed-Nemotron-8B - nvidia/llama-embed-nemotron-8b</w:t>
      </w:r>
    </w:p>
    <w:p>
      <w:pPr>
        <w:pStyle w:val="BodyText"/>
      </w:pPr>
      <w:r>
        <w:t>21. GritLM-7B - GritLM/GritLM-7B</w:t>
      </w:r>
    </w:p>
    <w:p>
      <w:pPr>
        <w:pStyle w:val="BodyText"/>
      </w:pPr>
      <w:r>
        <w:t>22. EmbeddingGemma-300M - google/embeddinggemma-300m</w:t>
      </w:r>
    </w:p>
    <w:p>
      <w:pPr>
        <w:pStyle w:val="BodyText"/>
      </w:pPr>
      <w:r>
        <w:t>23. KaLM-Gemma3-12B - tencent/KaLM-Embedding-Gemma3-12B-2511</w:t>
      </w:r>
    </w:p>
    <w:p>
      <w:pPr>
        <w:pStyle w:val="BodyText"/>
      </w:pPr>
      <w:r>
        <w:t>24. SFR-Embedding-Mistral - Salesforce/SFR-Embedding-Mistral</w:t>
      </w:r>
    </w:p>
    <w:p>
      <w:pPr>
        <w:pStyle w:val="BodyText"/>
      </w:pPr>
      <w:r>
        <w:t>25. Stella-1.5B - NovaSearch/stella_en_1.5B_v5</w:t>
      </w:r>
    </w:p>
    <w:p>
      <w:pPr>
        <w:pStyle w:val="BodyText"/>
      </w:pPr>
      <w:r>
        <w:t>26. Lychee-Embed - vec-ai/lychee-embed</w:t>
      </w:r>
    </w:p>
    <w:p>
      <w:pPr>
        <w:pStyle w:val="BodyText"/>
      </w:pPr>
      <w:r>
        <w:t>27. TART-dual-contriever - orionweller/tart-dual-contriever-msmarco</w:t>
      </w:r>
    </w:p>
    <w:p>
      <w:pPr>
        <w:pStyle w:val="BodyText"/>
      </w:pPr>
      <w:r>
        <w:t>28. DRAMA-1B - facebook/drama-1b</w:t>
      </w:r>
    </w:p>
    <w:p>
      <w:pPr>
        <w:pStyle w:val="BodyText"/>
      </w:pPr>
      <w:r>
        <w:t>29. Contriever - facebook/contriever</w:t>
      </w:r>
    </w:p>
    <w:p>
      <w:pPr>
        <w:pStyle w:val="BodyText"/>
      </w:pPr>
      <w:r>
        <w:t>30. all-mpnet-base-v2 - sentence-transformers/all-mpnet-base-v2</w:t>
      </w:r>
    </w:p>
    <w:p>
      <w:pPr>
        <w:pStyle w:val="BodyText"/>
      </w:pPr>
      <w:r>
        <w:t>31. all-MiniLM-L6-v2 - sentence-transformers/all-MiniLM-L6-v2</w:t>
      </w:r>
    </w:p>
    <w:p>
      <w:r>
        <w:br w:type="page"/>
      </w:r>
    </w:p>
    <w:p>
      <w:pPr>
        <w:pStyle w:val="Heading1"/>
        <w:keepNext/>
      </w:pPr>
      <w:r>
        <w:t>Summary Generators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840"/>
      </w:tblGrid>
      <w:tr>
        <w:tc>
          <w:tcPr>
            <w:tcW w:w="24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Generator alias</w:t>
            </w:r>
          </w:p>
        </w:tc>
        <w:tc>
          <w:tcPr>
            <w:tcW w:w="684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Model id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gemini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gemini-3-flash-preview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gemma4-E2B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google/gemma-4-E2B-it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gemma4-E4B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google/gemma-4-E4B-it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gemma4-26B-A4B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google/gemma-4-26B-A4B-it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gemma4-31B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google/gemma-4-31B-it</w:t>
            </w:r>
          </w:p>
        </w:tc>
      </w:tr>
    </w:tbl>
    <w:p>
      <w:pPr>
        <w:pStyle w:val="Heading1"/>
        <w:keepNext/>
      </w:pPr>
      <w:r>
        <w:t>Generator Prompt Variants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840"/>
      </w:tblGrid>
      <w:tr>
        <w:tc>
          <w:tcPr>
            <w:tcW w:w="24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Prompt variant</w:t>
            </w:r>
          </w:p>
        </w:tc>
        <w:tc>
          <w:tcPr>
            <w:tcW w:w="684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Prompt description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direct_moral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Extract the fable's moral lesson as one concise sentence. Used inside summary layouts as `{direct_moral}`.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cot_proverb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Reason step by step, then output only the final proverb/maxim. Used inside summary layouts as `{cot_proverb}`.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conceptual_abstract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Reason step by step, then output only the abstract moral principle as one sentence. Used inside summary layouts as `{conceptual_abstract}`.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proverb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>State the moral as a concise proverb or maxim. Used inside summary layouts as `{proverb}`.</w:t>
            </w:r>
          </w:p>
        </w:tc>
      </w:tr>
    </w:tbl>
    <w:p>
      <w:pPr>
        <w:pStyle w:val="Heading1"/>
        <w:keepNext/>
      </w:pPr>
      <w:r>
        <w:t>Corpus Layouts</w:t>
      </w:r>
    </w:p>
    <w:p>
      <w:pPr>
        <w:pStyle w:val="BodyText"/>
      </w:pPr>
      <w:r>
        <w:t>These are layout families only. The concrete summary text is selected by the generator prompt variant above.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3800"/>
        <w:gridCol w:w="3460"/>
      </w:tblGrid>
      <w:tr>
        <w:tc>
          <w:tcPr>
            <w:tcW w:w="21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Layout</w:t>
            </w:r>
          </w:p>
        </w:tc>
        <w:tc>
          <w:tcPr>
            <w:tcW w:w="38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Description</w:t>
            </w:r>
          </w:p>
        </w:tc>
        <w:tc>
          <w:tcPr>
            <w:tcW w:w="346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Template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>raw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</w:pPr>
            <w:r>
              <w:t>Raw fable text only; no generated summary.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>{fable}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>summary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</w:pPr>
            <w:r>
              <w:t>Generated summary only. The placeholder is one of the four generator prompt variants.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>{summary}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>fable+summary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</w:pPr>
            <w:r>
              <w:t>Fable text first, followed by the generated summary.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>{fable}\n\nMoral summary: {summary}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>summary+fable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</w:pPr>
            <w:r>
              <w:t>Generated summary first, followed by the fable text.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>Moral summary: {summary}\n\n{fable}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Recommended Run Plan</w:t>
      </w:r>
    </w:p>
    <w:p>
      <w:pPr>
        <w:pStyle w:val="BodyText"/>
      </w:pPr>
      <w:r>
        <w:t>Use the full CSV as the universe, but run a staged shortlist first. One run means one model/instruction/corpus configuration evaluation.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600"/>
        <w:gridCol w:w="2100"/>
        <w:gridCol w:w="1900"/>
        <w:gridCol w:w="760"/>
        <w:gridCol w:w="1400"/>
      </w:tblGrid>
      <w:tr>
        <w:tc>
          <w:tcPr>
            <w:tcW w:w="16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Stage</w:t>
            </w:r>
          </w:p>
        </w:tc>
        <w:tc>
          <w:tcPr>
            <w:tcW w:w="16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Models</w:t>
            </w:r>
          </w:p>
        </w:tc>
        <w:tc>
          <w:tcPr>
            <w:tcW w:w="21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Configs</w:t>
            </w:r>
          </w:p>
        </w:tc>
        <w:tc>
          <w:tcPr>
            <w:tcW w:w="19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Instructions</w:t>
            </w:r>
          </w:p>
        </w:tc>
        <w:tc>
          <w:tcPr>
            <w:tcW w:w="76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Runs</w:t>
            </w:r>
          </w:p>
        </w:tc>
        <w:tc>
          <w:tcPr>
            <w:tcW w:w="14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Decision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ableText"/>
            </w:pPr>
            <w:r>
              <w:t>Stage 1: Raw Model/Instruction Sweep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>All 31 retrieval models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raw only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>All relevant instructions: no_instr, general, moral_specific, plus default when meaningful</w:t>
            </w:r>
          </w:p>
        </w:tc>
        <w:tc>
          <w:tcPr>
            <w:tcW w:w="760" w:type="dxa"/>
            <w:vAlign w:val="center"/>
          </w:tcPr>
          <w:p>
            <w:pPr>
              <w:pStyle w:val="TableText"/>
            </w:pPr>
            <w:r>
              <w:t>106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>Pick the best instruction per model before spending on summary configs.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ableText"/>
            </w:pPr>
            <w:r>
              <w:t>Stage 2: Gemini Corpus Layout Sweep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>All 31 retrieval models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gemini only; 4 prompts x 3 summary layouts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>Best instruction from Stage 1 only</w:t>
            </w:r>
          </w:p>
        </w:tc>
        <w:tc>
          <w:tcPr>
            <w:tcW w:w="760" w:type="dxa"/>
            <w:vAlign w:val="center"/>
          </w:tcPr>
          <w:p>
            <w:pPr>
              <w:pStyle w:val="TableText"/>
            </w:pPr>
            <w:r>
              <w:t>372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>Measure prompt/layout effects with one stable generator across every model.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ableText"/>
            </w:pPr>
            <w:r>
              <w:t>Stage 3: Deep Generator Comparison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>Linq-Embed-Mistral and Qwen3-Embedding-8B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5 generators x 4 prompts x 3 summary layouts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>Best instruction only</w:t>
            </w:r>
          </w:p>
        </w:tc>
        <w:tc>
          <w:tcPr>
            <w:tcW w:w="760" w:type="dxa"/>
            <w:vAlign w:val="center"/>
          </w:tcPr>
          <w:p>
            <w:pPr>
              <w:pStyle w:val="TableText"/>
            </w:pPr>
            <w:r>
              <w:t>120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>Compare Gemini vs all Gemma 4 generators on the two most important models.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ableText"/>
            </w:pPr>
            <w:r>
              <w:t>Core total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>-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-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>-</w:t>
            </w:r>
          </w:p>
        </w:tc>
        <w:tc>
          <w:tcPr>
            <w:tcW w:w="760" w:type="dxa"/>
            <w:vAlign w:val="center"/>
          </w:tcPr>
          <w:p>
            <w:pPr>
              <w:pStyle w:val="TableText"/>
            </w:pPr>
            <w:r>
              <w:t>598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>Total planned evaluations before final confirmation/reranking decisions.</w:t>
            </w:r>
          </w:p>
        </w:tc>
      </w:tr>
    </w:tbl>
    <w:p>
      <w:pPr>
        <w:pStyle w:val="Heading1"/>
        <w:keepNext/>
      </w:pPr>
      <w:r>
        <w:t>Decision Gates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>
        <w:tc>
          <w:tcPr>
            <w:tcW w:w="180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Gate</w:t>
            </w:r>
          </w:p>
        </w:tc>
        <w:tc>
          <w:tcPr>
            <w:tcW w:w="7560" w:type="dxa"/>
            <w:shd w:fill="E8EEF5"/>
            <w:vAlign w:val="center"/>
          </w:tcPr>
          <w:p>
            <w:pPr>
              <w:pStyle w:val="TableHeader"/>
            </w:pPr>
            <w:r>
              <w:rPr>
                <w:b/>
              </w:rPr>
              <w:t>Action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>After Stage 1</w:t>
            </w:r>
          </w:p>
        </w:tc>
        <w:tc>
          <w:tcPr>
            <w:tcW w:w="7560" w:type="dxa"/>
            <w:vAlign w:val="center"/>
          </w:tcPr>
          <w:p>
            <w:pPr>
              <w:pStyle w:val="TableText"/>
            </w:pPr>
            <w:r>
              <w:t>Select best instruction per model; keep general and moral_specific for Linq/Qwen if close.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>After Stage 2</w:t>
            </w:r>
          </w:p>
        </w:tc>
        <w:tc>
          <w:tcPr>
            <w:tcW w:w="7560" w:type="dxa"/>
            <w:vAlign w:val="center"/>
          </w:tcPr>
          <w:p>
            <w:pPr>
              <w:pStyle w:val="TableText"/>
            </w:pPr>
            <w:r>
              <w:t>Choose the best 1-2 layouts and prompt variants; identify the top model family.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>After Stage 3</w:t>
            </w:r>
          </w:p>
        </w:tc>
        <w:tc>
          <w:tcPr>
            <w:tcW w:w="7560" w:type="dxa"/>
            <w:vAlign w:val="center"/>
          </w:tcPr>
          <w:p>
            <w:pPr>
              <w:pStyle w:val="TableText"/>
            </w:pPr>
            <w:r>
              <w:t>Pick final configs for paper reporting and clustered-data confirmation.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>Final confirmation</w:t>
            </w:r>
          </w:p>
        </w:tc>
        <w:tc>
          <w:tcPr>
            <w:tcW w:w="7560" w:type="dxa"/>
            <w:vAlign w:val="center"/>
          </w:tcPr>
          <w:p>
            <w:pPr>
              <w:pStyle w:val="TableText"/>
            </w:pPr>
            <w:r>
              <w:t>Run or recalculate only winning configs on the final clustered data, depending on whether rankings are already saved.</w:t>
            </w:r>
          </w:p>
        </w:tc>
      </w:tr>
    </w:tbl>
    <w:p>
      <w:pPr>
        <w:pStyle w:val="BodyText"/>
      </w:pPr>
      <w:r>
        <w:t>The core plan totals 598 evaluations: 106 raw/instruction runs, 372 Gemini layout/prompt runs, and 120 deep generator-comparison runs for Linq and Qwen3-Embedding-8B.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Subtitle"/>
    <w:qFormat/>
    <w:pPr>
      <w:spacing w:after="200"/>
    </w:pPr>
    <w:rPr>
      <w:rFonts w:ascii="Calibri" w:hAnsi="Calibri"/>
      <w:b/>
      <w:color w:val="1F4D78"/>
      <w:sz w:val="36"/>
    </w:rPr>
  </w:style>
  <w:style w:type="paragraph" w:styleId="Subtitle">
    <w:name w:val="Subtitle"/>
    <w:basedOn w:val="Normal"/>
    <w:next w:val="BodyText"/>
    <w:qFormat/>
    <w:pPr>
      <w:spacing w:after="220"/>
    </w:pPr>
    <w:rPr>
      <w:rFonts w:ascii="Calibri" w:hAnsi="Calibri"/>
      <w:color w:val="666666"/>
      <w:sz w:val="22"/>
    </w:rPr>
  </w:style>
  <w:style w:type="paragraph" w:styleId="Heading1">
    <w:name w:val="heading 1"/>
    <w:basedOn w:val="Normal"/>
    <w:next w:val="BodyText"/>
    <w:qFormat/>
    <w:pPr>
      <w:keepNext/>
      <w:spacing w:before="360" w:after="200"/>
    </w:pPr>
    <w:rPr>
      <w:rFonts w:ascii="Calibri" w:hAnsi="Calibri"/>
      <w:b/>
      <w:color w:val="2E74B5"/>
      <w:sz w:val="32"/>
    </w:rPr>
  </w:style>
  <w:style w:type="paragraph" w:styleId="BodyText">
    <w:name w:val="Body Text"/>
    <w:basedOn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ableText">
    <w:name w:val="Table Text"/>
    <w:basedOn w:val="Normal"/>
    <w:pPr>
      <w:spacing w:after="0" w:line="260" w:lineRule="auto"/>
    </w:pPr>
    <w:rPr>
      <w:rFonts w:ascii="Calibri" w:hAnsi="Calibri"/>
      <w:sz w:val="18"/>
    </w:rPr>
  </w:style>
  <w:style w:type="paragraph" w:styleId="TableHeader">
    <w:name w:val="Table Header"/>
    <w:basedOn w:val="TableText"/>
    <w:pPr>
      <w:spacing w:after="0" w:line="260" w:lineRule="auto"/>
    </w:pPr>
    <w:rPr>
      <w:rFonts w:ascii="Calibri" w:hAnsi="Calibri"/>
      <w:b/>
      <w:color w:val="1F4D78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Zero-Shot Retrieval Config Inventory</dc:title>
  <dc:creator>Codex</dc:creator>
  <cp:lastModifiedBy>Codex</cp:lastModifiedBy>
</cp:coreProperties>
</file>