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52"/>
          <w:szCs w:val="52"/>
          <w:lang w:val="en-US" w:eastAsia="zh-CN"/>
        </w:rPr>
        <w:t xml:space="preserve">      汇亚大厦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楼栋介绍：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建筑面积：约125568.51㎡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楼体结构：框架钢筋混凝土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建筑高度：200㎡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楼层数量：地上42层；地下4层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标准层面积：3422/3573/3829平米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使用率：70％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柱间距：9米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进深（走廊至幕墙）：11-14米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层高：4.35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楼板承重：300Kg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净高： 2.8米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冷却水：24小时冷却水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空调系统：v av全空气变风量系统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新风净化：新风量40m3/h.人中高效过滤pm2.5；高压微雾加湿系统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电力配置：10kv双回路供电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备用发电机：预留一部独立柴油发电机。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电梯品牌及分区：通力/高中低三个电梯分区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电梯系统及数量：每个区域 8部客梯 ，另有转换梯2部，货梯兼消防2部，每部客梯1.8T ，标准载客为 24 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停车位：1800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运营商：中国联通、电信移动 中国联通、电信移动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16号线：丽泽站500米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周边配套：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酒店：六号国际温泉酒店、石家庄商务酒店、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药店：国平康大药店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餐饮：沙县小吃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大堂层高 : 11.5 m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大堂空间 : 850米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门禁系统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接待区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层高 : 4.35m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净高：2.8m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楼板承重 : 300kg/sqm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交付状态：吊顶、网络地板、网络地板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4个VSAT 天线基础预留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楼层具有公用茶水间，预留2KW插座及要求提供洗涤热水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LEED金级预认证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25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253</Characters>
  <Paragraphs>19</Paragraphs>
  <TotalTime>30</TotalTime>
  <ScaleCrop>false</ScaleCrop>
  <LinksUpToDate>false</LinksUpToDate>
  <CharactersWithSpaces>265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2018-04-23T07:06:00Z</dcterms:created>
  <dc:creator>自心难控1386388268</dc:creator>
  <cp:lastModifiedBy>自心难控1386388268</cp:lastModifiedBy>
  <dcterms:modified xsi:type="dcterms:W3CDTF">2018-04-23T07:45:53Z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