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6168B0" w:rsidRPr="006168B0" w:rsidRDefault="006168B0" w:rsidP="006168B0">
          <w:pPr>
            <w:rPr>
              <w:lang w:eastAsia="ru-RU"/>
            </w:rPr>
          </w:pPr>
        </w:p>
        <w:p w:rsidR="00EC4327" w:rsidRDefault="003960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D7D"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62989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C4327">
              <w:rPr>
                <w:noProof/>
                <w:webHidden/>
              </w:rPr>
              <w:tab/>
            </w:r>
            <w:r w:rsidR="00EC4327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_Toc40462989 \h </w:instrText>
            </w:r>
            <w:r w:rsidR="00EC4327">
              <w:rPr>
                <w:noProof/>
                <w:webHidden/>
              </w:rPr>
            </w:r>
            <w:r w:rsidR="00EC4327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1</w:t>
            </w:r>
            <w:r w:rsidR="00EC4327">
              <w:rPr>
                <w:noProof/>
                <w:webHidden/>
              </w:rPr>
              <w:fldChar w:fldCharType="end"/>
            </w:r>
          </w:hyperlink>
        </w:p>
        <w:p w:rsidR="00EC4327" w:rsidRDefault="00093F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0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C4327">
              <w:rPr>
                <w:noProof/>
                <w:webHidden/>
              </w:rPr>
              <w:tab/>
            </w:r>
            <w:r w:rsidR="00EC4327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_Toc40462990 \h </w:instrText>
            </w:r>
            <w:r w:rsidR="00EC4327">
              <w:rPr>
                <w:noProof/>
                <w:webHidden/>
              </w:rPr>
            </w:r>
            <w:r w:rsidR="00EC4327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2</w:t>
            </w:r>
            <w:r w:rsidR="00EC4327">
              <w:rPr>
                <w:noProof/>
                <w:webHidden/>
              </w:rPr>
              <w:fldChar w:fldCharType="end"/>
            </w:r>
          </w:hyperlink>
        </w:p>
        <w:p w:rsidR="00EC4327" w:rsidRDefault="00093F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1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C4327">
              <w:rPr>
                <w:noProof/>
                <w:webHidden/>
              </w:rPr>
              <w:tab/>
            </w:r>
            <w:r w:rsidR="00EC4327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_Toc40462991 \h </w:instrText>
            </w:r>
            <w:r w:rsidR="00EC4327">
              <w:rPr>
                <w:noProof/>
                <w:webHidden/>
              </w:rPr>
            </w:r>
            <w:r w:rsidR="00EC4327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4</w:t>
            </w:r>
            <w:r w:rsidR="00EC4327">
              <w:rPr>
                <w:noProof/>
                <w:webHidden/>
              </w:rPr>
              <w:fldChar w:fldCharType="end"/>
            </w:r>
          </w:hyperlink>
        </w:p>
        <w:p w:rsidR="00EC4327" w:rsidRDefault="00093F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2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C4327">
              <w:rPr>
                <w:noProof/>
                <w:webHidden/>
              </w:rPr>
              <w:tab/>
            </w:r>
            <w:r w:rsidR="00EC4327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_Toc40462992 \h </w:instrText>
            </w:r>
            <w:r w:rsidR="00EC4327">
              <w:rPr>
                <w:noProof/>
                <w:webHidden/>
              </w:rPr>
            </w:r>
            <w:r w:rsidR="00EC4327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7</w:t>
            </w:r>
            <w:r w:rsidR="00EC4327">
              <w:rPr>
                <w:noProof/>
                <w:webHidden/>
              </w:rPr>
              <w:fldChar w:fldCharType="end"/>
            </w:r>
          </w:hyperlink>
        </w:p>
        <w:p w:rsidR="00A57D7D" w:rsidRDefault="003960B1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7E4230">
            <w:rPr>
              <w:b/>
              <w:bCs/>
            </w:rPr>
            <w:t xml:space="preserve"> </w:t>
          </w:r>
        </w:p>
      </w:sdtContent>
    </w:sdt>
    <w:p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0462989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0"/>
    </w:p>
    <w:p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</w:t>
      </w:r>
      <w:proofErr w:type="spellStart"/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Фентанилом</w:t>
      </w:r>
      <w:proofErr w:type="spellEnd"/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Цепочка генотипа представляет собой совокупность из 13 видов генов. </w:t>
      </w:r>
    </w:p>
    <w:p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093F17" w:rsidTr="001B5AC2">
        <w:tc>
          <w:tcPr>
            <w:tcW w:w="2943" w:type="dxa"/>
          </w:tcPr>
          <w:p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</w:t>
            </w:r>
            <w:proofErr w:type="spellStart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обусловл</w:t>
            </w:r>
            <w:proofErr w:type="spellEnd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</w:t>
            </w:r>
            <w:proofErr w:type="spellEnd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</w:t>
            </w:r>
            <w:proofErr w:type="spellEnd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0, </w:t>
            </w:r>
            <w:proofErr w:type="spellStart"/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proofErr w:type="spellEnd"/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proofErr w:type="spellEnd"/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констипации</w:t>
      </w:r>
      <w:proofErr w:type="spellEnd"/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spellEnd"/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spellEnd"/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седации</w:t>
      </w:r>
      <w:proofErr w:type="spellEnd"/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proofErr w:type="spellEnd"/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0462990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5E57E3" wp14:editId="405E9D1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proofErr w:type="spellEnd"/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462991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информативных признаков с помощью генетического алгоритма (ГА)</w:t>
      </w:r>
      <w:bookmarkEnd w:id="2"/>
    </w:p>
    <w:p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:rsidR="00BC15C8" w:rsidRPr="004E0110" w:rsidRDefault="00272E5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299" distR="114299" simplePos="0" relativeHeight="251694592" behindDoc="0" locked="0" layoutInCell="1" allowOverlap="1" wp14:anchorId="08BE7932" wp14:editId="0E3C18DB">
                      <wp:simplePos x="0" y="0"/>
                      <wp:positionH relativeFrom="column">
                        <wp:posOffset>3576954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57150" b="67945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0C7618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" strokecolor="#9bbb59 [3206]" strokeweight="3pt">
                      <v:stroke endarrow="block"/>
                      <v:shadow on="t" color="black" opacity="22937f" origin=",.5" offset="0,.63889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299" distR="114299" simplePos="0" relativeHeight="251692544" behindDoc="0" locked="0" layoutInCell="1" allowOverlap="1" wp14:anchorId="32924B0C" wp14:editId="3155DBC2">
                      <wp:simplePos x="0" y="0"/>
                      <wp:positionH relativeFrom="column">
                        <wp:posOffset>1286509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57150" b="6794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151A58A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" strokecolor="#9bbb59 [3206]" strokeweight="3pt">
                      <v:stroke endarrow="block"/>
                      <v:shadow on="t" color="black" opacity="22937f" origin=",.5" offset="0,.63889mm"/>
                      <o:lock v:ext="edit" shapetype="f"/>
                    </v:shape>
                  </w:pict>
                </mc:Fallback>
              </mc:AlternateContent>
            </w:r>
          </w:p>
          <w:p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Матрица ошибок (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Confusion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matrix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F1 −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</w:t>
      </w:r>
      <w:proofErr w:type="spellStart"/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Scikit-learn</w:t>
      </w:r>
      <w:proofErr w:type="spellEnd"/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» (</w:t>
      </w:r>
      <w:proofErr w:type="spellStart"/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871CBA" w:rsidRPr="00871CBA" w:rsidRDefault="00093F17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Логистическая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регрессия (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Коллектив деревьев решений методом градиентного </w:t>
      </w:r>
      <w:proofErr w:type="spellStart"/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бустинга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proofErr w:type="spellEnd"/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Samples</w:t>
      </w:r>
      <w:proofErr w:type="spellEnd"/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proofErr w:type="spellEnd"/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DC777F" wp14:editId="35E10AB2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определения исхода (показатель – </w:t>
      </w:r>
      <w:proofErr w:type="spellStart"/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proofErr w:type="spellEnd"/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62992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элитизм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50 прогонам 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proofErr w:type="spellEnd"/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моделью: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отобранных значимых признаков в результате работы алгоритма;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F17BF4" w:rsidRPr="00777D0B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340C" w:rsidRPr="007E4230" w:rsidRDefault="00F17BF4" w:rsidP="001F50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модели DTC, GBC, SVC решают п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оставленную задачу с точностью равной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1 и используют при этом всего один признак.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 – доза морфина. 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Поэтому, такая модель не является полезной. Для исключения этого эффекта убе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рем из выборки признак «Доза морфина» (результаты представлены в задаче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представленные в таблицах 4 и 5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proofErr w:type="spellStart"/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</w:tr>
      <w:tr w:rsidR="001D2F4D" w:rsidRPr="00175D11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B68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:rsidR="004F4C06" w:rsidRDefault="004F4C06" w:rsidP="004F4C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значимости признаков, полученных лучшей моделью 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</w:t>
      </w:r>
      <w:r w:rsidRPr="004F4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перестановок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>. Метод перестановок представляет собой последовательное взятие каждого признака и перемешивание его значений в рамках столбца. Затем смотрится на сколько это перемешивание повлияло на выход.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A0427A">
            <wp:extent cx="4023360" cy="258309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95" cy="2589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5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Табл. 6.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422"/>
        <w:gridCol w:w="1583"/>
      </w:tblGrid>
      <w:tr w:rsidR="004F4C06" w:rsidRPr="006D412C" w:rsidTr="004F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Метод</w:t>
            </w:r>
          </w:p>
        </w:tc>
        <w:tc>
          <w:tcPr>
            <w:tcW w:w="3422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583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important_mean</w:t>
            </w:r>
            <w:proofErr w:type="spellEnd"/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0,2287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Эритроциты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0,1766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0,0639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0,0515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0,0355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0,0301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0,0207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Лимфоциты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0,0132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ммса0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ХБСстарт</w:t>
            </w:r>
            <w:proofErr w:type="spellEnd"/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0,0094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эког</w:t>
            </w:r>
            <w:proofErr w:type="spellEnd"/>
            <w:r w:rsidRPr="006D412C">
              <w:rPr>
                <w:rFonts w:ascii="Times New Roman" w:hAnsi="Times New Roman" w:cs="Times New Roman"/>
                <w:sz w:val="20"/>
                <w:szCs w:val="20"/>
              </w:rPr>
              <w:t xml:space="preserve"> 6_bin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0,0081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0,0061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rs1800795_GG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0,0044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локализация_1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0,0043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гемоглобин6м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0,0027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rs1799971_AA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 xml:space="preserve">патогенетический вариант </w:t>
            </w:r>
            <w:proofErr w:type="spellStart"/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боли_bin</w:t>
            </w:r>
            <w:proofErr w:type="spellEnd"/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коморбидность</w:t>
            </w:r>
            <w:proofErr w:type="spellEnd"/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желтуха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0,0009</w:t>
            </w:r>
          </w:p>
        </w:tc>
      </w:tr>
    </w:tbl>
    <w:p w:rsidR="004F4C06" w:rsidRPr="006F3E03" w:rsidRDefault="004F4C06" w:rsidP="004F4C0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Наибольший вклад в точность модели обеспечивают признаки АСТ0, Эритроциты 0, скф6, АСТ6, Тромбоциты 6, Общий белок 6, Тромбоциты 0, Лимфоциты 0,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ммса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При многократных прогонах алгоритма, часть признаков: АСТ0, Эритроциты 0 включаются в модель на каждом прогоне, а остальная часть признаков в разных сочетаниях. В среднем модель использует около 6 признаков. </w:t>
      </w:r>
    </w:p>
    <w:p w:rsidR="00272E58" w:rsidRDefault="00272E58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представленные в таблицах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 и 8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В качестве входа использовался весь набор из 57 признаков. В качестве выхода использовалось бинарное значение показателя появления НПР в виде </w:t>
      </w:r>
      <w:proofErr w:type="spellStart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констипации</w:t>
      </w:r>
      <w:proofErr w:type="spellEnd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72E58" w:rsidRPr="00272E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272E58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F90" w:rsidRDefault="00272E58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8</w:t>
      </w:r>
      <w:r w:rsidR="00E37331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7E4230" w:rsidRDefault="007E4230" w:rsidP="007E42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моде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лей, представленные в таблицах 7 и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разбить на три группы.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использованы в качестве результирующих.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Как и в предыдущей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снова дали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Pr="00272E58" w:rsidRDefault="00272E58" w:rsidP="00272E5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Проведем анализ значимости признаков отдельно для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proofErr w:type="gramStart"/>
      <w:r w:rsidRP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8B1822E">
            <wp:extent cx="5067300" cy="3335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18" cy="333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6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>DTC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№3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9. Значимость признаков, отобранных </w:t>
      </w:r>
      <w:r w:rsidRPr="00C3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1"/>
        <w:tblW w:w="5894" w:type="dxa"/>
        <w:jc w:val="center"/>
        <w:tblLook w:val="04A0" w:firstRow="1" w:lastRow="0" w:firstColumn="1" w:lastColumn="0" w:noHBand="0" w:noVBand="1"/>
      </w:tblPr>
      <w:tblGrid>
        <w:gridCol w:w="976"/>
        <w:gridCol w:w="3379"/>
        <w:gridCol w:w="1583"/>
      </w:tblGrid>
      <w:tr w:rsidR="00272E58" w:rsidRPr="00B218FD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D01A2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="00272E58"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0,296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0,0836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0,0797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0,0584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название </w:t>
            </w: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операции_bin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</w:t>
            </w: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обусловл.слабость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патогенетический вариант </w:t>
            </w:r>
            <w:proofErr w:type="spellStart"/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боли_bin</w:t>
            </w:r>
            <w:proofErr w:type="spellEnd"/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вклад в точности модели обеспечивает признак АСТ0. В среднем модель использует около 7 признаков. Другие признаки встречаются в разных сочетаниях. При этом перечень признаков достаточно широкий. Влияние признаков с уровнем 0.009 и ниже можно считать незначительным (случайным).</w:t>
      </w:r>
    </w:p>
    <w:p w:rsidR="00D01A21" w:rsidRDefault="00D01A21" w:rsidP="00272E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22E2DEA" wp14:editId="50A445CB">
            <wp:extent cx="4876800" cy="33612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1" cy="3367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7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</w:t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D01A21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10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272E58"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144" w:type="dxa"/>
        <w:jc w:val="center"/>
        <w:tblLook w:val="04A0" w:firstRow="1" w:lastRow="0" w:firstColumn="1" w:lastColumn="0" w:noHBand="0" w:noVBand="1"/>
      </w:tblPr>
      <w:tblGrid>
        <w:gridCol w:w="976"/>
        <w:gridCol w:w="3399"/>
        <w:gridCol w:w="1583"/>
      </w:tblGrid>
      <w:tr w:rsidR="00272E58" w:rsidRPr="004A5C4C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0,1214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0,0801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0,0301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0,0274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название </w:t>
            </w:r>
            <w:proofErr w:type="spellStart"/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операции_bin</w:t>
            </w:r>
            <w:proofErr w:type="spellEnd"/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2E58" w:rsidRPr="001B6200" w:rsidRDefault="00272E58" w:rsidP="00D01A2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Наибольшее влияние на точность модели оказывают признаки АСТ0 и скф0. Кроме этого, значимое влияние оказывают признаки: Гемоглобин 0, Общий белок 6, АСТ6, Тромбоциты 6, Лейкоциты 6, название операции, амилаза 0, Возраст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модель использует около 4 признаков. Разброс признаков достаточно малый – на 50 прогонах модель использует всего 14 признаков. </w:t>
      </w:r>
    </w:p>
    <w:p w:rsidR="00272E58" w:rsidRPr="00293F90" w:rsidRDefault="00272E58" w:rsidP="00272E58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Default="00D01A2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01A21" w:rsidRPr="00D01A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D01A21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93F17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4560" w:rsidRPr="00DF4560" w:rsidRDefault="00DF4560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67B" w:rsidRDefault="00D01A2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12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28,92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16,46</w:t>
            </w:r>
          </w:p>
        </w:tc>
        <w:tc>
          <w:tcPr>
            <w:tcW w:w="750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34,88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11,4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</w:t>
            </w:r>
          </w:p>
        </w:tc>
        <w:tc>
          <w:tcPr>
            <w:tcW w:w="805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29,66</w:t>
            </w:r>
          </w:p>
        </w:tc>
        <w:tc>
          <w:tcPr>
            <w:tcW w:w="661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</w:t>
            </w:r>
          </w:p>
        </w:tc>
      </w:tr>
      <w:tr w:rsidR="0009067B" w:rsidRPr="00175D11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Pr="00DF4560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решения задачи №4 так же можно группировать. Наилучшей моделью здесь является LR. Она дает достаточно высокую точность и статистически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 отличается от всех остальных (табл. 12</w:t>
      </w: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Хорошее решение так же дают модели DTC, GBC, MLPC. Эти модели значимо отличаются от всех остальных и не значимо отличаются между собой. Следующая группа моделей это RFC, KNC. При этом KNC снова использует меньше всех признаков. </w:t>
      </w:r>
    </w:p>
    <w:p w:rsidR="00D01A21" w:rsidRPr="00D01A21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LSVC и SVC. В качестве результирующей модели принимается LR.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Проведем оценку значимости признаков, полученных лучшей моделью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№4.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0E9CE8C">
            <wp:extent cx="5944235" cy="4243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24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8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13.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D01A21" w:rsidRDefault="00D01A21" w:rsidP="00D01A2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D01A21" w:rsidRPr="00DB34EF" w:rsidTr="00D0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  <w:proofErr w:type="spellEnd"/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0,1692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0,0881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0,0824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0,0494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0,0252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0,0124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  <w:proofErr w:type="spellEnd"/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0,0063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  <w:proofErr w:type="spellEnd"/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0,0044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  <w:proofErr w:type="spellEnd"/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</w:t>
            </w:r>
            <w:proofErr w:type="spellEnd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6_bin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патогенетический вариант </w:t>
            </w:r>
            <w:proofErr w:type="spellStart"/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боли_bin</w:t>
            </w:r>
            <w:proofErr w:type="spellEnd"/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локализация_4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01A21" w:rsidRPr="00C01B8F" w:rsidRDefault="00D01A2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Наибольшую значимость в точность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вкладывает признак АСТ6. 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существенное влияние оказывают те же признаки, что и в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Лейкоциты 6, амилаза 0, Возраст, но есть и существенные расхождения. </w:t>
      </w:r>
      <w:r w:rsidRPr="0009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связано с разными принципами работы моделей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работает на агрегирование признаков. При этом признаки могут компенсировать друг друга в итоговой сумме.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на декомпозицию признаков и разделение пространства на подпространства. Этим объясняется в том числе больший разброс признаков 45 признаков с ненулев</w:t>
      </w:r>
      <w:r w:rsidR="00B56441">
        <w:rPr>
          <w:rFonts w:ascii="Times New Roman" w:hAnsi="Times New Roman" w:cs="Times New Roman"/>
          <w:color w:val="000000" w:themeColor="text1"/>
          <w:sz w:val="24"/>
          <w:szCs w:val="24"/>
        </w:rPr>
        <w:t>ой значимостью на 50 прогонах.</w:t>
      </w:r>
    </w:p>
    <w:p w:rsidR="00D01A21" w:rsidRDefault="00D01A2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B56441" w:rsidRDefault="00B5644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:rsidR="004B5235" w:rsidRPr="00615169" w:rsidRDefault="004B5235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B01ABF" w:rsidRDefault="004B0787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B56441" w:rsidRDefault="00B56441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этой задаче наилучшим образом показывает себя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разброс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BAB3ADD">
            <wp:extent cx="3715039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78" cy="2780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441" w:rsidRPr="00DB34EF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B56441" w:rsidRP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B56441" w:rsidRPr="00A0695B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951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B56441" w:rsidRPr="000845C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0,1168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0,0623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0,0601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0,0472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0,0367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  <w:proofErr w:type="spellEnd"/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</w:t>
            </w:r>
            <w:proofErr w:type="spellEnd"/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0,0131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0,0078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название </w:t>
            </w:r>
            <w:proofErr w:type="spellStart"/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операции_bin</w:t>
            </w:r>
            <w:proofErr w:type="spellEnd"/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0,0034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патогенетический вариант </w:t>
            </w:r>
            <w:proofErr w:type="spellStart"/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боли_bin</w:t>
            </w:r>
            <w:proofErr w:type="spellEnd"/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</w:tbl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Pr="00B56441" w:rsidRDefault="00B5644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Наибольший вклад в точность модели обеспечивает признак rs5275_AA. В отличие от предыдущих задач в этой задачи существенное влияние на точность оказывает влияние генотип человека. При этом в среднем модель использует 5 пр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изнаков в различном сочетании.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6441" w:rsidRDefault="00B5644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результаты решения задачи №6,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 xml:space="preserve">бинарное значение показателя появления НПР в виде </w:t>
      </w:r>
      <w:proofErr w:type="spellStart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седации</w:t>
      </w:r>
      <w:proofErr w:type="spellEnd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.</w:t>
      </w:r>
    </w:p>
    <w:p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:rsidR="00C53497" w:rsidRPr="00FB7823" w:rsidRDefault="00C53497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DD427C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18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:rsidTr="00DD4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46" w:type="dxa"/>
            <w:gridSpan w:val="16"/>
            <w:tcBorders>
              <w:left w:val="single" w:sz="18" w:space="0" w:color="auto"/>
            </w:tcBorders>
          </w:tcPr>
          <w:p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:rsidTr="00DD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:rsidTr="00DD427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8 признаков, 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использована в качестве вспомогательной модели. Наихудшую точность дают ансамблевые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89B3A82">
            <wp:extent cx="3627120" cy="26817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6" cy="2683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920" w:rsidRPr="000845CB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E17920" w:rsidRP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17920" w:rsidRDefault="00DD427C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19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E17920" w:rsidRPr="00A0695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0,3433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0,0779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0,0696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</w:t>
            </w:r>
            <w:proofErr w:type="spellEnd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локализация_5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патогенетический вариант </w:t>
            </w: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боли_bin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</w:t>
            </w: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обусловл.слабость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Pr="00DB63CD" w:rsidRDefault="00E17920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задач, в данной задачи есть один доминирующий признак обеспечивающий точность модели: </w:t>
      </w:r>
      <w:r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:rsidR="004B0787" w:rsidRDefault="00DD427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22B677">
            <wp:extent cx="4899660" cy="2979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82" cy="298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Pr="000845CB" w:rsidRDefault="004B0787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4B0787" w:rsidRPr="004B0787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Pr="006F3E03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794" w:type="dxa"/>
        <w:jc w:val="center"/>
        <w:tblLook w:val="04A0" w:firstRow="1" w:lastRow="0" w:firstColumn="1" w:lastColumn="0" w:noHBand="0" w:noVBand="1"/>
      </w:tblPr>
      <w:tblGrid>
        <w:gridCol w:w="976"/>
        <w:gridCol w:w="2376"/>
        <w:gridCol w:w="1583"/>
      </w:tblGrid>
      <w:tr w:rsidR="00E17920" w:rsidRPr="00A0695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0,2563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  <w:proofErr w:type="spellEnd"/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</w:t>
            </w:r>
            <w:proofErr w:type="spellEnd"/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Pr="009E227D" w:rsidRDefault="004B0787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 этой модели так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 подавляющее влияние на точность модели оказывает признак: </w:t>
      </w:r>
      <w:r w:rsidR="00E17920"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При этом модель 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SVC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использует меньше признаков и с меньшим разбросом (7 признаков против 13). </w:t>
      </w:r>
    </w:p>
    <w:p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 w:rsidRP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DD427C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4" w:name="_GoBack"/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  <w:bookmarkEnd w:id="4"/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639" w:rsidRPr="007E4230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Именно эта модель принимается результирующей для данной задачи. </w:t>
      </w:r>
    </w:p>
    <w:p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146C" w:rsidRDefault="00DD427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22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:rsidR="004B0787" w:rsidRDefault="004B0787" w:rsidP="00DD427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23B3F04">
            <wp:extent cx="4709160" cy="279148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4" cy="279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p w:rsidR="004B0787" w:rsidRPr="00A0695B" w:rsidRDefault="004B0787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800" w:type="dxa"/>
        <w:jc w:val="center"/>
        <w:tblLook w:val="04A0" w:firstRow="1" w:lastRow="0" w:firstColumn="1" w:lastColumn="0" w:noHBand="0" w:noVBand="1"/>
      </w:tblPr>
      <w:tblGrid>
        <w:gridCol w:w="976"/>
        <w:gridCol w:w="2382"/>
        <w:gridCol w:w="1583"/>
      </w:tblGrid>
      <w:tr w:rsidR="00A0695B" w:rsidRPr="00A0695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  <w:proofErr w:type="spellEnd"/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0,3699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0,2549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0,0611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0,0438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</w:tbl>
    <w:p w:rsidR="00AA5249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0695B" w:rsidRPr="004B0787" w:rsidRDefault="00AA5249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задач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наибольшее влияние оказывают признаки: СТАДИЯ_3, общий белок 6. 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используют 5 признаков в разных сочетаниях. При этом модель использует всего 9 признаков на 50 прогонах. </w:t>
      </w:r>
    </w:p>
    <w:sectPr w:rsidR="00A0695B" w:rsidRPr="004B0787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219D5"/>
    <w:rsid w:val="0003531E"/>
    <w:rsid w:val="00044327"/>
    <w:rsid w:val="000677A7"/>
    <w:rsid w:val="000834F8"/>
    <w:rsid w:val="00083FC0"/>
    <w:rsid w:val="000845CB"/>
    <w:rsid w:val="00085716"/>
    <w:rsid w:val="0009067B"/>
    <w:rsid w:val="00093F17"/>
    <w:rsid w:val="00095A3C"/>
    <w:rsid w:val="000A46F0"/>
    <w:rsid w:val="000C02E9"/>
    <w:rsid w:val="000D0A21"/>
    <w:rsid w:val="000D11F8"/>
    <w:rsid w:val="000D51BC"/>
    <w:rsid w:val="000F260C"/>
    <w:rsid w:val="001175A3"/>
    <w:rsid w:val="00130B6E"/>
    <w:rsid w:val="0014478A"/>
    <w:rsid w:val="00152235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1FAA"/>
    <w:rsid w:val="001B2624"/>
    <w:rsid w:val="001B500F"/>
    <w:rsid w:val="001B5AC2"/>
    <w:rsid w:val="001B6200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31C3"/>
    <w:rsid w:val="00237191"/>
    <w:rsid w:val="0026283F"/>
    <w:rsid w:val="00262C58"/>
    <w:rsid w:val="00263871"/>
    <w:rsid w:val="00266CD2"/>
    <w:rsid w:val="00272E58"/>
    <w:rsid w:val="00287CF5"/>
    <w:rsid w:val="0029229B"/>
    <w:rsid w:val="00293F90"/>
    <w:rsid w:val="002A175A"/>
    <w:rsid w:val="002A3E54"/>
    <w:rsid w:val="002B14B5"/>
    <w:rsid w:val="002E0247"/>
    <w:rsid w:val="002F21D1"/>
    <w:rsid w:val="002F3022"/>
    <w:rsid w:val="00306ACD"/>
    <w:rsid w:val="0031049F"/>
    <w:rsid w:val="0032055D"/>
    <w:rsid w:val="003473A5"/>
    <w:rsid w:val="00356B2A"/>
    <w:rsid w:val="00375838"/>
    <w:rsid w:val="003875CB"/>
    <w:rsid w:val="00395B79"/>
    <w:rsid w:val="003960B1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65DA6"/>
    <w:rsid w:val="00477B67"/>
    <w:rsid w:val="00486F1D"/>
    <w:rsid w:val="004A5C4C"/>
    <w:rsid w:val="004B0787"/>
    <w:rsid w:val="004B5235"/>
    <w:rsid w:val="004C65DB"/>
    <w:rsid w:val="004C6955"/>
    <w:rsid w:val="004E0110"/>
    <w:rsid w:val="004F037D"/>
    <w:rsid w:val="004F0E24"/>
    <w:rsid w:val="004F4C06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5D62"/>
    <w:rsid w:val="006717AC"/>
    <w:rsid w:val="00673179"/>
    <w:rsid w:val="006A7071"/>
    <w:rsid w:val="006B3443"/>
    <w:rsid w:val="006B5F17"/>
    <w:rsid w:val="006B7675"/>
    <w:rsid w:val="006C4905"/>
    <w:rsid w:val="006D2D62"/>
    <w:rsid w:val="006D412C"/>
    <w:rsid w:val="006E15A8"/>
    <w:rsid w:val="006E1831"/>
    <w:rsid w:val="006E2310"/>
    <w:rsid w:val="006F3E03"/>
    <w:rsid w:val="007037E7"/>
    <w:rsid w:val="00703D87"/>
    <w:rsid w:val="007163E4"/>
    <w:rsid w:val="00753460"/>
    <w:rsid w:val="00763205"/>
    <w:rsid w:val="00777D0B"/>
    <w:rsid w:val="00780F8B"/>
    <w:rsid w:val="00794061"/>
    <w:rsid w:val="007945CA"/>
    <w:rsid w:val="007A22DB"/>
    <w:rsid w:val="007A72BC"/>
    <w:rsid w:val="007E4230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A76E8"/>
    <w:rsid w:val="009B2766"/>
    <w:rsid w:val="009B2CA0"/>
    <w:rsid w:val="009C0D2E"/>
    <w:rsid w:val="009C6B2B"/>
    <w:rsid w:val="009D2E9E"/>
    <w:rsid w:val="009D7ED9"/>
    <w:rsid w:val="009E12EC"/>
    <w:rsid w:val="009E19CD"/>
    <w:rsid w:val="009E227D"/>
    <w:rsid w:val="009E273F"/>
    <w:rsid w:val="009F04DE"/>
    <w:rsid w:val="00A0695B"/>
    <w:rsid w:val="00A140CD"/>
    <w:rsid w:val="00A35411"/>
    <w:rsid w:val="00A465E4"/>
    <w:rsid w:val="00A57D7D"/>
    <w:rsid w:val="00A62E4B"/>
    <w:rsid w:val="00AA5249"/>
    <w:rsid w:val="00AA55E0"/>
    <w:rsid w:val="00AB22E4"/>
    <w:rsid w:val="00B01ABF"/>
    <w:rsid w:val="00B218FD"/>
    <w:rsid w:val="00B250AA"/>
    <w:rsid w:val="00B46CF4"/>
    <w:rsid w:val="00B559BF"/>
    <w:rsid w:val="00B56441"/>
    <w:rsid w:val="00B8193D"/>
    <w:rsid w:val="00BA09A0"/>
    <w:rsid w:val="00BB3332"/>
    <w:rsid w:val="00BB5687"/>
    <w:rsid w:val="00BC15C8"/>
    <w:rsid w:val="00BD3843"/>
    <w:rsid w:val="00BE0187"/>
    <w:rsid w:val="00BE4D7F"/>
    <w:rsid w:val="00BE5B28"/>
    <w:rsid w:val="00BF41CD"/>
    <w:rsid w:val="00BF4C3E"/>
    <w:rsid w:val="00C01B8F"/>
    <w:rsid w:val="00C04413"/>
    <w:rsid w:val="00C23F0E"/>
    <w:rsid w:val="00C314F0"/>
    <w:rsid w:val="00C3174D"/>
    <w:rsid w:val="00C46800"/>
    <w:rsid w:val="00C53497"/>
    <w:rsid w:val="00C65340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1A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B34EF"/>
    <w:rsid w:val="00DB63CD"/>
    <w:rsid w:val="00DC57AF"/>
    <w:rsid w:val="00DD0A69"/>
    <w:rsid w:val="00DD244A"/>
    <w:rsid w:val="00DD29BB"/>
    <w:rsid w:val="00DD427C"/>
    <w:rsid w:val="00DF2204"/>
    <w:rsid w:val="00DF4560"/>
    <w:rsid w:val="00DF7D29"/>
    <w:rsid w:val="00E17920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4327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67FD"/>
    <w:rsid w:val="00F87E28"/>
    <w:rsid w:val="00F9340C"/>
    <w:rsid w:val="00F96C6A"/>
    <w:rsid w:val="00F9784A"/>
    <w:rsid w:val="00FA3FA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E4AF-413B-4C5A-8503-C50474B6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25</Pages>
  <Words>6015</Words>
  <Characters>34289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Леонид</cp:lastModifiedBy>
  <cp:revision>8</cp:revision>
  <dcterms:created xsi:type="dcterms:W3CDTF">2020-05-15T12:05:00Z</dcterms:created>
  <dcterms:modified xsi:type="dcterms:W3CDTF">2020-05-18T14:00:00Z</dcterms:modified>
</cp:coreProperties>
</file>