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novelagent-参考作品分析与辅助创作-prd"/>
    <w:p>
      <w:pPr>
        <w:pStyle w:val="Heading1"/>
      </w:pPr>
      <w:r>
        <w:rPr>
          <w:rFonts w:ascii="Calibri" w:hAnsi="Calibri" w:eastAsia="黑体" w:cs="Calibri"/>
        </w:rPr>
        <w:t xml:space="preserve">NovelAgent 参考作品分析与辅助创作 PRD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602"/>
        <w:gridCol w:w="7036"/>
      </w:tblGrid>
      <w:tr>
        <w:trPr>
          <w:tblHeader w:val="on"/>
          <w:tblHeader/>
          <w:cantSplit/>
        </w:trPr>
        <w:tc>
          <w:tcPr>
            <w:tcW w:type="dxa" w:w="2602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文档信息</w:t>
            </w:r>
          </w:p>
        </w:tc>
        <w:tc>
          <w:tcPr>
            <w:tcW w:type="dxa" w:w="703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版本与状态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V1.0 · 待跨职能评审，非已批准研发排期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日期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2026-10-27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适用产品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NovelAgent Web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目标版本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MVP 私测 → 灰度 → 正式发布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评审对象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产品、设计、前后端、算法、测试、数据、运营及隐私与内容治理负责人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责任分配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产品牵头；各职能负责人姓名在立项评审时填写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变更记录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V1.0：基于现有仓库补齐需求、业务规则、验收、评测、成本和发布方案</w:t>
            </w:r>
          </w:p>
        </w:tc>
      </w:tr>
    </w:tbl>
    <w:bookmarkStart w:id="20" w:name="Xcd3e66fbd3057a4b3bc588dcf6167998375a89a"/>
    <w:p>
      <w:pPr>
        <w:pStyle w:val="Heading2"/>
      </w:pPr>
      <w:r>
        <w:rPr>
          <w:rFonts w:ascii="Calibri" w:hAnsi="Calibri" w:eastAsia="黑体" w:cs="Calibri"/>
        </w:rPr>
        <w:t xml:space="preserve">1 评审摘要与决策建议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建议为 NovelAgent 新增“参考创作”工作台，支持上传书籍或文章，拆解结构、故事走向和文风，将经用户确认的分析转成新大纲及短文或样章，并导入已有创作模块。核心价值是缩短从参考阅读到独立创作的路径，提高方法复用和草稿可用性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推荐有条件立项：先验证“分析可信、方法可迁移、草稿有用”三个假设，再扩大投入。MVP 同时覆盖故事类书籍拆解和单篇文章分析；长书分析采用异步任务，生成限于新大纲和单篇文章或单章样稿。非虚构整书深度拆解、多作品融合、整本小说连续生成和平台自动采集暂缓。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本次评审需明确：①是否认可主用户与范围；②是否接受服务端异步分析依赖；③试测成本预算与模型选择；④授权、留存和删除规则；⑤质量门槛与灰度负责人。文内配额、性能和转化目标均为建议值，不代表现网能力或行业基准。</w:t>
      </w:r>
    </w:p>
    <w:bookmarkEnd w:id="20"/>
    <w:bookmarkStart w:id="24" w:name="Xfc5d20ff0f80ce9389b90887ff2d39031eff858"/>
    <w:p>
      <w:pPr>
        <w:pStyle w:val="Heading2"/>
      </w:pPr>
      <w:r>
        <w:rPr>
          <w:rFonts w:ascii="Calibri" w:hAnsi="Calibri" w:eastAsia="黑体" w:cs="Calibri"/>
        </w:rPr>
        <w:t xml:space="preserve">2 背景与现有产品约束</w:t>
      </w:r>
    </w:p>
    <w:bookmarkStart w:id="21" w:name="X58acac78800853aab58789808206f17f0ca89cf"/>
    <w:p>
      <w:pPr>
        <w:pStyle w:val="Heading3"/>
      </w:pPr>
      <w:r>
        <w:rPr>
          <w:rFonts w:ascii="Calibri" w:hAnsi="Calibri" w:eastAsia="黑体" w:cs="Calibri"/>
        </w:rPr>
        <w:t xml:space="preserve">2.1 需求来源与待验证问题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需求来自用户提出的“上传一本书，拆解大纲、故事走向和文风，用于仿写；同时支持爆款文章分析”。目前缺少用户访谈、行为基线及付费验证，不以竞品存在推导需求规模。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目标问题：通用对话结果难核验；长书容易遗漏跨章关系；分析结束后仍需用户自行转写创作要求；参考设定与自己的作品混在一起；一次性生成长文的质量和成本不稳定。</w:t>
      </w:r>
    </w:p>
    <w:bookmarkEnd w:id="21"/>
    <w:bookmarkStart w:id="22" w:name="Xbecdca59b76958d2a1e4672fa264122046f9485"/>
    <w:p>
      <w:pPr>
        <w:pStyle w:val="Heading3"/>
      </w:pPr>
      <w:r>
        <w:rPr>
          <w:rFonts w:ascii="Calibri" w:hAnsi="Calibri" w:eastAsia="黑体" w:cs="Calibri"/>
        </w:rPr>
        <w:t xml:space="preserve">2.2 仓库能力核对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以下为当前代码与项目文档观察，不代表线上服务可用性验证。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已有模块或约束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依据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本功能接入要求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书架与大纲、章节、人物、世界观、设置导航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Sidebar.tsx、types/index.ts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新增无需先选小说的“参考创作”入口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Novel、Chapter、Character、WorldSetting、PlotCard、Foreshadowing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backend/prisma/schema.prisma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参考资料单独归属用户；新稿确认导入后才关联目标 Novel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结构化回复可自动写入创作面板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docs/AI_SYNC_AND_STREAMING.md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分析报告不走创作内容自动同步，引用中的标签不得触发写入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中断或截断内容保留，未正常完成不自动同步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同上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延续“部分结果可看、不可冒充成功”的规则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本地面板写入不等于云端保存成功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同上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导入明确区分本地已保存、云端待同步、云端失败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当前生成存在目标字数解析与验收缺口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同上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新功能增加独立长度验收；不得把既有缺口视为已解决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模型服务由前端发起请求，支持多协议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services/modelService.ts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可恢复的长书任务需新增服务端执行、凭据与模型路由方案，不直接复用浏览器长连接充当后台任务</w:t>
            </w:r>
          </w:p>
        </w:tc>
      </w:tr>
    </w:tbl>
    <w:bookmarkEnd w:id="22"/>
    <w:bookmarkStart w:id="23" w:name="X95648a89772dff0f109178e9d38e46cf2f4b051"/>
    <w:p>
      <w:pPr>
        <w:pStyle w:val="Heading3"/>
      </w:pPr>
      <w:r>
        <w:rPr>
          <w:rFonts w:ascii="Calibri" w:hAnsi="Calibri" w:eastAsia="黑体" w:cs="Calibri"/>
        </w:rPr>
        <w:t xml:space="preserve">2.3 竞品与可行性证据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调研方式为官方公开资料与产品介绍核对，未进行付费端到端实测。功能介绍证明已有实现路径，不证明本项目的效果、速度或商业回报。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参考产品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可核对能力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对应设计结论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Sudowrite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Import Novel 可依据书稿填充 Story Bible；Style 控制语气、用词与句式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故事资料提取与文风参数分开保存，再应用于创作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Novelcrafter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Codex 管理人物、地点与设定，追踪提及与变化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长篇需要实体和事件的跨章节维护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Jasper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Brand Voice 从样本分析语气、风格与特征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文风沉淀为可编辑卡片，而非不可调整的标签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Google Notebook 类产品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根据上传来源回答并提供引用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核心分析结论必须能返回来源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来源与核对日期见第 19 节。差异化假设：中文故事分析、可核验依据以及与现有写作面板的闭环，可能比孤立的摘要和一键改写更有价值，需用第 15 节实验验证。</w:t>
      </w:r>
    </w:p>
    <w:bookmarkEnd w:id="23"/>
    <w:bookmarkEnd w:id="24"/>
    <w:bookmarkStart w:id="27" w:name="Xb083132d83d669de93f034fe8dd5bd83e4cd59d"/>
    <w:p>
      <w:pPr>
        <w:pStyle w:val="Heading2"/>
      </w:pPr>
      <w:r>
        <w:rPr>
          <w:rFonts w:ascii="Calibri" w:hAnsi="Calibri" w:eastAsia="黑体" w:cs="Calibri"/>
        </w:rPr>
        <w:t xml:space="preserve">3 用户与任务场景</w:t>
      </w:r>
    </w:p>
    <w:bookmarkStart w:id="25" w:name="X9ace27cccc85414afd36169c7aa7871fa2055de"/>
    <w:p>
      <w:pPr>
        <w:pStyle w:val="Heading3"/>
      </w:pPr>
      <w:r>
        <w:rPr>
          <w:rFonts w:ascii="Calibri" w:hAnsi="Calibri" w:eastAsia="黑体" w:cs="Calibri"/>
        </w:rPr>
        <w:t xml:space="preserve">3.1 用户优先级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人群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典型任务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优先级与价值判断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有稳定写作任务的小说或短篇作者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看懂参考书的冲突与节奏，设计自己的新故事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主用户；与 NovelAgent 现有能力契合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公众号、知乎等文章作者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从一篇参考文提取结构和表达方法，换选题创作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次用户；验证高频短任务价值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编辑、MCN 和品牌团队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多作品对比、统一风格与协作审稿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后续；组织权限和协作不进入 MVP</w:t>
            </w:r>
          </w:p>
        </w:tc>
      </w:tr>
    </w:tbl>
    <w:bookmarkEnd w:id="25"/>
    <w:bookmarkStart w:id="26" w:name="X1ae431963b4a56fe9eb924cf49fdbfdc7d6ecd6"/>
    <w:p>
      <w:pPr>
        <w:pStyle w:val="Heading3"/>
      </w:pPr>
      <w:r>
        <w:rPr>
          <w:rFonts w:ascii="Calibri" w:hAnsi="Calibri" w:eastAsia="黑体" w:cs="Calibri"/>
        </w:rPr>
        <w:t xml:space="preserve">3.2 用户故事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US-01：作为小说作者，我上传长书后，希望看到分章大纲、主线与人物变化，并能核验关键转折的原文。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US-02：作为文章作者，我粘贴参考文后，希望知道开头、段落和结尾各承担什么功能，并将结构应用到新选题。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US-03：作为创作者，我希望只借鉴自己选择的句式、节奏或结构，更换人物、事件和素材，得到可继续编辑的新稿。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US-04：作为已有 NovelAgent 用户，我希望将确认后的新创作导入指定作品，参考书的角色和世界观不会未经确认写入我的作品。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US-05：作为长任务用户，我离开页面、断网或任务失败后，希望知道完成范围、费用和恢复方式。</w:t>
      </w:r>
    </w:p>
    <w:bookmarkEnd w:id="26"/>
    <w:bookmarkEnd w:id="27"/>
    <w:bookmarkStart w:id="31" w:name="X27130ae12a35c1ea383a2a65307b70f69dac982"/>
    <w:p>
      <w:pPr>
        <w:pStyle w:val="Heading2"/>
      </w:pPr>
      <w:r>
        <w:rPr>
          <w:rFonts w:ascii="Calibri" w:hAnsi="Calibri" w:eastAsia="黑体" w:cs="Calibri"/>
        </w:rPr>
        <w:t xml:space="preserve">4 目标与范围</w:t>
      </w:r>
    </w:p>
    <w:bookmarkStart w:id="28" w:name="Xf3fbcba152c9eadea3e27b1abfe1d2f2c5cc1c0"/>
    <w:p>
      <w:pPr>
        <w:pStyle w:val="Heading3"/>
      </w:pPr>
      <w:r>
        <w:rPr>
          <w:rFonts w:ascii="Calibri" w:hAnsi="Calibri" w:eastAsia="黑体" w:cs="Calibri"/>
        </w:rPr>
        <w:t xml:space="preserve">4.1 目标与非目标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产品目标：提高参考分析到有效创作的转化；降低完成同等质量初稿的时间；形成可复用的方法卡和文风卡。业务目标：验证复用与付费意愿，识别可承受的单次成功成本。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非目标：预测或保证爆款；保证全网原创；绕过电子书 DRM；自动发布；首版生成整本小说；构建公共盗版书库。图片封面、视频、音频及扫描件分析均不进入首版。</w:t>
      </w:r>
    </w:p>
    <w:bookmarkEnd w:id="28"/>
    <w:bookmarkStart w:id="29" w:name="X6a206c72fd7e3bc3987a61b484a8de1cd3e4734"/>
    <w:p>
      <w:pPr>
        <w:pStyle w:val="Heading3"/>
      </w:pPr>
      <w:r>
        <w:rPr>
          <w:rFonts w:ascii="Calibri" w:hAnsi="Calibri" w:eastAsia="黑体" w:cs="Calibri"/>
        </w:rPr>
        <w:t xml:space="preserve">4.2 版本范围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1253"/>
        <w:gridCol w:w="3566"/>
        <w:gridCol w:w="1638"/>
        <w:gridCol w:w="3180"/>
      </w:tblGrid>
      <w:tr>
        <w:trPr>
          <w:tblHeader w:val="on"/>
          <w:tblHeader/>
          <w:cantSplit/>
        </w:trPr>
        <w:tc>
          <w:tcPr>
            <w:tcW w:type="dxa" w:w="1253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编号</w:t>
            </w:r>
          </w:p>
        </w:tc>
        <w:tc>
          <w:tcPr>
            <w:tcW w:type="dxa" w:w="356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能力</w:t>
            </w:r>
          </w:p>
        </w:tc>
        <w:tc>
          <w:tcPr>
            <w:tcW w:type="dxa" w:w="1638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MVP</w:t>
            </w:r>
          </w:p>
        </w:tc>
        <w:tc>
          <w:tcPr>
            <w:tcW w:type="dxa" w:w="318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后续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R01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TXT、DOCX、文字型 PDF、直接粘贴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是，中文优先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EPUB、OCR、URL 解析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R02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章节识别、范围确认与解析异常提示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批量资料管理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R03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故事类全书与分章结构、人物、事件分析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非虚构整书专项分析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R04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单篇文章结构与吸引力分析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跨篇对比、跨平台表现分析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R05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文风卡、方法卡、原文定位、用户修订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多来源融合与团队共享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R06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新创作简报、大纲、短文或样章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整本分章连续创作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R07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导入 NovelAgent、DOCX 与 Markdown 导出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发布与效果回流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R08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手填传播指标、描述性表现分析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是，可跳过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授权平台数据连接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R09</w:t>
            </w:r>
          </w:p>
        </w:tc>
        <w:tc>
          <w:tcPr>
            <w:tcW w:type="dxa" w:w="356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异步任务、取消恢复、额度账本、删除</w:t>
            </w:r>
          </w:p>
        </w:tc>
        <w:tc>
          <w:tcPr>
            <w:tcW w:type="dxa" w:w="1638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是</w:t>
            </w:r>
          </w:p>
        </w:tc>
        <w:tc>
          <w:tcPr>
            <w:tcW w:type="dxa" w:w="318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组织级管理</w:t>
            </w:r>
          </w:p>
        </w:tc>
      </w:tr>
    </w:tbl>
    <w:bookmarkEnd w:id="29"/>
    <w:bookmarkStart w:id="30" w:name="X3877252dbfb0995042ad20176a29d04e3c15e0b"/>
    <w:p>
      <w:pPr>
        <w:pStyle w:val="Heading3"/>
      </w:pPr>
      <w:r>
        <w:rPr>
          <w:rFonts w:ascii="Calibri" w:hAnsi="Calibri" w:eastAsia="黑体" w:cs="Calibri"/>
        </w:rPr>
        <w:t xml:space="preserve">4.3 建议配额与计数口径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私测暂定单文件不超过 20 MiB、书籍正文不超过 30 万计数字符、文章不超过 2 万；每用户最多 1 个执行任务和 2 个排队任务。超过上限在分析前拦截，允许选择章节，不静默截断。正式配额根据压测与成本评审调整。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输入计数字符定义为 Unicode 码点中非空白字符数；不含目录、页眉页脚等已识别噪声。输入配额不等于模型 token 数。生成长度按正文非空白字符统计，不含标题、说明和结构化标签；UI 明示此口径，英文同样按字符计。</w:t>
      </w:r>
    </w:p>
    <w:bookmarkEnd w:id="30"/>
    <w:bookmarkEnd w:id="31"/>
    <w:bookmarkStart w:id="32" w:name="X17be01877425b225527025db8b79dd5aa503e07"/>
    <w:p>
      <w:pPr>
        <w:pStyle w:val="Heading2"/>
      </w:pPr>
      <w:r>
        <w:rPr>
          <w:rFonts w:ascii="Calibri" w:hAnsi="Calibri" w:eastAsia="黑体" w:cs="Calibri"/>
        </w:rPr>
        <w:t xml:space="preserve">5 信息架构与关键交互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“参考创作”是用户级资料空间，独立于当前选中的小说。列表显示标题、类型、处理范围、任务状态、更新时间和删除入口。详情包含原文、分析、文风、创作四个页签。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桌面端使用“章节／原文—分析或新稿—依据与参数”三栏；窄屏使用页签切换，保留任务状态与主要操作。原文引用支持键盘聚焦与返回阅读位置，状态不只用颜色表达。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主流程：导入资料 → 检查解析与范围 → 查看预估消耗并开始分析 → 核验或修正 → 选择方法和文风 → 填写新创作简报 → 确认新大纲 → 生成短文或样章 → 编辑／导出／导入作品。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界面状态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用户可见信息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操作规则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空列表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支持格式、上限、示例资料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上传或粘贴，不要求先建小说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待确认解析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目录、字数、异常段落与覆盖范围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调整边界、排除目录、确认分析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排队／处理中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当前阶段、已处理章节／总章数、可离开提示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取消；不显示虚假固定倒计时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部分完成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已完成与失败章节、费用和影响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看部分结果、重试失败章节；报告带范围标记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分析完成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版本、处理范围与依据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修订分析、保存卡片、开始新创作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新稿未达要求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实际长度、目标范围、截断原因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编辑、补写或保留；不显示可直接导入的成功态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云端同步失败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本地保存结果与云端错误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重试同步，不能重复创建章节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来源已删除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历史结论和引用不可访问说明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禁止继续检索；独立新稿仍可编辑</w:t>
            </w:r>
          </w:p>
        </w:tc>
      </w:tr>
    </w:tbl>
    <w:bookmarkEnd w:id="32"/>
    <w:bookmarkStart w:id="39" w:name="X7e978cd3d9c434062a60b3ccdd6d4ff42f6ad1f"/>
    <w:p>
      <w:pPr>
        <w:pStyle w:val="Heading2"/>
      </w:pPr>
      <w:r>
        <w:rPr>
          <w:rFonts w:ascii="Calibri" w:hAnsi="Calibri" w:eastAsia="黑体" w:cs="Calibri"/>
        </w:rPr>
        <w:t xml:space="preserve">6 功能需求与业务规则</w:t>
      </w:r>
    </w:p>
    <w:bookmarkStart w:id="33" w:name="X354e39ad84a24a8cc02aa6a386d692df42314f3"/>
    <w:p>
      <w:pPr>
        <w:pStyle w:val="Heading3"/>
      </w:pPr>
      <w:r>
        <w:rPr>
          <w:rFonts w:ascii="Calibri" w:hAnsi="Calibri" w:eastAsia="黑体" w:cs="Calibri"/>
        </w:rPr>
        <w:t xml:space="preserve">6.1 R01 至 R02 导入与解析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支持拖拽、文件选择与粘贴；校验扩展名、MIME、文件签名、大小和解压后体积，拒绝宏执行、嵌入脚本及加密文件。TXT 自动识别常见编码，失败时让用户选择编码或重传。PDF 无可提取文本时明确提示首版不支持扫描件。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解析结果保留文档版本、章节顺序、段落标识、原始页码（若有）与文本偏移。DOCX 不承诺跨设备固定页码，以章节和段落定位。章节识别采用标题层级和模式匹配，用户可合并、拆分、重命名或排除内容。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同用户同内容哈希上传时提示复用已有解析或创建独立副本，不跨用户暴露是否存在相同文件。确认范围后冻结 source_version；后续修正生成新版本，旧分析不自动变成新版本分析。</w:t>
      </w:r>
    </w:p>
    <w:bookmarkEnd w:id="33"/>
    <w:bookmarkStart w:id="34" w:name="Xaab0daf9c1d2628c596bd5e8c75481923294560"/>
    <w:p>
      <w:pPr>
        <w:pStyle w:val="Heading3"/>
      </w:pPr>
      <w:r>
        <w:rPr>
          <w:rFonts w:ascii="Calibri" w:hAnsi="Calibri" w:eastAsia="黑体" w:cs="Calibri"/>
        </w:rPr>
        <w:t xml:space="preserve">6.2 R03 故事类书籍分析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分析模块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必须输出的字段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判断约束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全局概览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一句话梗概、主题、主线、阶段结构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区分文本事实与主题解释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分章大纲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目标、关键事件、冲突、转折、章末悬念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覆盖所选全部章节；无关维度可标不适用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故事走向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展示顺序、故事时间、事件因果、关键转折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倒叙和插叙不混成事实时间线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人物弧线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目标、阻力、动机、选择、关系与变化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别名合并可修订；不把推测当明确心理事实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伏笔回收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埋设位置、回收位置、关联解释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没有回收证据时标待验证，不强行配对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节奏与方法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冲突密度、信息释放、可迁移方法及适用条件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曲线为解释性判断，不包装成客观标准分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全局归纳基于全部已完成章节的结构化结果。漏章时只能生成“所选范围／部分范围分析”，不得声称完整全书结论。每个关键转折、人物关系和伏笔结论至少绑定一条可定位依据；跨章结论绑定多处依据。</w:t>
      </w:r>
    </w:p>
    <w:bookmarkEnd w:id="34"/>
    <w:bookmarkStart w:id="35" w:name="X7588b4a24b2341aa0a8d04fe00cc50e679db5b4"/>
    <w:p>
      <w:pPr>
        <w:pStyle w:val="Heading3"/>
      </w:pPr>
      <w:r>
        <w:rPr>
          <w:rFonts w:ascii="Calibri" w:hAnsi="Calibri" w:eastAsia="黑体" w:cs="Calibri"/>
        </w:rPr>
        <w:t xml:space="preserve">6.3 R04 与 R08 文章分析及传播表现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文章分析包含目标受众、选题价值、标题承诺与正文兑现、开头钩子、逐段功能、论证链、情绪变化、结尾行动引导、可迁移结构及不适用条件。广告性内容另标转化目的；不根据正文推断真实成交或读者人口属性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无数据时报告名为“内容吸引力分析”，不输出爆款概率或“火的原因”。用户可手填平台、发布时间、统计时间、曝光、阅读、点赞、收藏、评论、分享和账号粉丝量；原始值、录入来源与时间一起保存。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缺失值与 0 区分；数值非负，发布时间不晚于统计时间。阅读大于曝光等情况先提示口径可能不同，由用户确认，不擅自修正。曝光缺失或为 0 时不计算曝光互动率。点赞、收藏、评论、分享之和除以曝光只能命名“每次曝光互动次数”，可能超过 100%，不可解释为去重用户比例。没有同平台同口径的基准，不输出优于同类结论。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传播报告分“观察到的表现”“内容机制假设”“下次验证建议”。单篇高互动不能证明某种句式导致传播；MVP 不提供因果归因。</w:t>
      </w:r>
    </w:p>
    <w:bookmarkEnd w:id="35"/>
    <w:bookmarkStart w:id="36" w:name="X847bccd3f0777340aab44fd0a95a343e644e35f"/>
    <w:p>
      <w:pPr>
        <w:pStyle w:val="Heading3"/>
      </w:pPr>
      <w:r>
        <w:rPr>
          <w:rFonts w:ascii="Calibri" w:hAnsi="Calibri" w:eastAsia="黑体" w:cs="Calibri"/>
        </w:rPr>
        <w:t xml:space="preserve">6.4 R05 证据卡与文风卡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证据卡字段：结论、事实／解释类别、source_version、chapter_id、paragraph_id、start/end 偏移、最小必要短引文、解释、用户修订状态。置信度使用“依据充分／依据有限／待验证”，不是模型自报的概率。用户修改结论保留模型原版及修订版本，不修改原文。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文风卡提取句长分布、段落长度、口语程度、视角、对话与描写比例、情绪强度、修辞、节奏和禁用表达。可计算特征由程序统计，主观特征注明解释依据。前中后段分层采样，展示覆盖章节与样本量；只选一章时只声称该章风格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卡片可以编辑、重命名和复用，按版本绑定创作。生成采用用户选中的通用语言特征，不提供特定在世作者的精确复刻承诺；用户自有或获授权的风格样本可用于一致性辅助。方法卡描述抽象结构、功能、适用场景及迁移建议，避免复制整条具体情节链。</w:t>
      </w:r>
    </w:p>
    <w:bookmarkEnd w:id="36"/>
    <w:bookmarkStart w:id="37" w:name="Xa5a88f4dec3011d43f3afc86cb8c8c94a128fc5"/>
    <w:p>
      <w:pPr>
        <w:pStyle w:val="Heading3"/>
      </w:pPr>
      <w:r>
        <w:rPr>
          <w:rFonts w:ascii="Calibri" w:hAnsi="Calibri" w:eastAsia="黑体" w:cs="Calibri"/>
        </w:rPr>
        <w:t xml:space="preserve">6.5 R06 创作简报与生成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简报必填新主题／故事设定、目标读者、产物类型、目标长度；可选平台、素材、人物、禁用项及文风特征。提供“借鉴结构”“应用文风”“同时使用”三个选择，并展示会传入生成的字段。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先生成可编辑新大纲。故事检查新人物、背景、目标、冲突和事件因果；文章检查新观点、论据需求与段落功能。用户确认后才生成正文。事实型内容缺证据时使用明确占位符或请求补充，不能编造采访、数字和引用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长度范围：短文 500～5000 计数字符，样章 1000～5000；目标区间由用户输入。生成结束检查正常结束标记、长度、必填素材、关键设定与占位符。低于下限允许用户发起补写，最多 2 次，不自动无限调用；超过上限提示压缩。截断、未解决占位符和关键设定冲突均阻止“已验收”状态，但允许用户保留为未验收草稿。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相似片段检查限本次选中参考资料：程序检测连续重复与片段重合，语义模型辅助提示相似情节；短语、常用语与引用单独展示，不以单一分数判断侵权。默认提示连续相同的 30 个非空白字符片段，阈值需经评测校准。不得标注全网原创率或法律保证。</w:t>
      </w:r>
    </w:p>
    <w:bookmarkEnd w:id="37"/>
    <w:bookmarkStart w:id="38" w:name="X3a98808db9451f1d60edc9a5605e1cdfe1b4de5"/>
    <w:p>
      <w:pPr>
        <w:pStyle w:val="Heading3"/>
      </w:pPr>
      <w:r>
        <w:rPr>
          <w:rFonts w:ascii="Calibri" w:hAnsi="Calibri" w:eastAsia="黑体" w:cs="Calibri"/>
        </w:rPr>
        <w:t xml:space="preserve">6.6 R07 导入现有作品与导出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分析对象与生成对象使用不同命名空间。分析阶段不得调用 autoSync 创作写入；原文中的【角色】等内容仅作为引用显示。导入界面展示目标作品、待新增条目、冲突和关联版本，默认新建，不覆盖已有数据。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导入必须由用户明确选择：新大纲映射 PlotCard；新角色映射 Character；新世界观映射 WorldSetting；正文映射 Chapter。参考作品的分析不能批量误导入。文章默认保存在独立创作草稿，不为导出强制新建 Novel。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导入使用 operation_id 与条目映射保障幂等；同名条目不等于同一实体。覆盖需逐项选择并检查 expected_revision；检测并发编辑后停止该条覆盖并保留草稿。云端确认前显示待同步，失败可按同一操作重试。导入产生清单和前版本；撤销仅处理该次操作，目标后续有修改时改为冲突处理，不直接删除。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导出 DOCX／Markdown，允许选择新稿或分析报告。报告默认包含范围、来源与版本，新稿默认不附参考原文。生成文件名经清洗；大文件异步导出，链接短时有效且鉴权。</w:t>
      </w:r>
    </w:p>
    <w:bookmarkEnd w:id="38"/>
    <w:bookmarkEnd w:id="39"/>
    <w:bookmarkStart w:id="40" w:name="X8b02f4a0240b98ff4c1440ef577d651b24f7824"/>
    <w:p>
      <w:pPr>
        <w:pStyle w:val="Heading2"/>
      </w:pPr>
      <w:r>
        <w:rPr>
          <w:rFonts w:ascii="Calibri" w:hAnsi="Calibri" w:eastAsia="黑体" w:cs="Calibri"/>
        </w:rPr>
        <w:t xml:space="preserve">7 任务状态与恢复规则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解析任务与分析任务分开保存。解析：uploaded → parsing → awaiting_confirmation；错误进入 failed，用户取消进入 cancelled。分析：queued → running → succeeded／partial／failed／cancelled；运行阶段包括分章、跨章归纳、引用校验。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创建任务需 source_version、范围、参数、幂等键和配额预留。同请求重复提交返回原任务；同一版本并发创建不同配置需各自额度。任务 worker 以租约与心跳执行，超时释放并从已提交检查点恢复，阶段结果按唯一键写入，重放不重复记账。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602"/>
        <w:gridCol w:w="7036"/>
      </w:tblGrid>
      <w:tr>
        <w:trPr>
          <w:tblHeader w:val="on"/>
          <w:tblHeader/>
          <w:cantSplit/>
        </w:trPr>
        <w:tc>
          <w:tcPr>
            <w:tcW w:type="dxa" w:w="2602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异常</w:t>
            </w:r>
          </w:p>
        </w:tc>
        <w:tc>
          <w:tcPr>
            <w:tcW w:type="dxa" w:w="703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结果与恢复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网络断开或关闭页面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后台继续；重连通过 task_id 恢复，不再创建任务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模型超时／限流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指数退避，阶段自动重试最多 2 次；仍失败显示可手动重试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单章失败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保留其他章节；全局结论标范围不全，允许仅重试失败章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用户取消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停止未派发请求，尝试取消在途请求；保留已完成片段并解释已发生消耗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配额不足／模型不可用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分析前拒绝或暂停派发，释放未使用预留，不暗中切换更贵模型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来源删除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停止相关任务、撤销索引可见性与下载权限，再异步清理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终态由服务端持久化后通知客户端，进度事件不是成功凭据。重新分析创建新 analysis_version；用户确认后的卡片和旧稿保留原版本绑定。</w:t>
      </w:r>
    </w:p>
    <w:bookmarkEnd w:id="40"/>
    <w:bookmarkStart w:id="41" w:name="X6433cbc893bd1938b5be8f8b06fa1672c77f80d"/>
    <w:p>
      <w:pPr>
        <w:pStyle w:val="Heading2"/>
      </w:pPr>
      <w:r>
        <w:rPr>
          <w:rFonts w:ascii="Calibri" w:hAnsi="Calibri" w:eastAsia="黑体" w:cs="Calibri"/>
        </w:rPr>
        <w:t xml:space="preserve">8 数据模型与接口边界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此节定义产品所需契约，最终表结构、队列与存储选型由技术方案评审确定，不表示这些接口已经实现。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602"/>
        <w:gridCol w:w="7036"/>
      </w:tblGrid>
      <w:tr>
        <w:trPr>
          <w:tblHeader w:val="on"/>
          <w:tblHeader/>
          <w:cantSplit/>
        </w:trPr>
        <w:tc>
          <w:tcPr>
            <w:tcW w:type="dxa" w:w="2602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实体</w:t>
            </w:r>
          </w:p>
        </w:tc>
        <w:tc>
          <w:tcPr>
            <w:tcW w:type="dxa" w:w="703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关键字段与约束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ReferenceSource / SourceVersion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user_id、类型、状态、哈希、存储键、解析版本、授权确认、删除时间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SourceSection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version_id、章节、顺序、段落、页码／偏移、正文哈希；偏移采用规范化文本码点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AnalysisTask / TaskStage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参数、版本、幂等键、状态、覆盖范围、租约、错误码、模型与用量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AnalysisReport / Evidence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结构化结果、结论类别、来源锚点、修订版本；锚点不能跨 source_version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StyleCard / MethodCard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来源版本、特征、适用范围、用户修改、卡片版本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CreationDraft / DraftVersion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brief、已确认大纲、卡片快照、正文、验收状态、长度、未完成原因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UsageLedger / ImportOperation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预留与结算、关联任务、幂等键；目标条目、前版本、同步状态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建议接口：POST /reference-sources（创建上传会话）、POST /reference-sources/:id/confirm（确认解析范围）、POST /analysis-tasks、GET /analysis-tasks/:id、POST /analysis-tasks/:id/cancel、POST /analysis-tasks/:id/retry、GET /analysis-reports/:id、POST /creation-drafts、POST /creation-drafts/:id/generate、POST /import-operations、DELETE /reference-sources/:id。上传内容通过受限上传地址传输，不将文件放入业务 JSON。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所有资源按 user_id 校验归属，下载、事件流、导出与删除同样鉴权。写入携带版本或幂等键；错误统一返回 error_code、retryable、request_id 及可读提示。事件流断开后 GET 为权威状态，支持 last_event_id 恢复；前端不依赖连接常驻。</w:t>
      </w:r>
    </w:p>
    <w:bookmarkEnd w:id="41"/>
    <w:bookmarkStart w:id="42" w:name="Xa4207a6d33fe856934e4b3850317c0f96c7a640"/>
    <w:p>
      <w:pPr>
        <w:pStyle w:val="Heading2"/>
      </w:pPr>
      <w:r>
        <w:rPr>
          <w:rFonts w:ascii="Calibri" w:hAnsi="Calibri" w:eastAsia="黑体" w:cs="Calibri"/>
        </w:rPr>
        <w:t xml:space="preserve">9 算法与工程依赖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处理链路为解析与规范化 → 分章事实及事件提取 → 实体别名对齐 → 全章覆盖检查 → 全局结构归纳 → 文风采样 → 引用锚点校验 → 结构化报告。检索用于证据核验和生成上下文选择，不替代全章分析。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模型输出采用 schema 校验，事实提取、文学解释和生成分别配置提示词。引用位置由程序验证文本匹配，无法定位时降级为无依据结论并阻止进入关键事实字段。记录模型、提示词、解析器及 schema 版本；模型升级需重跑冻结评测集。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长任务需要对象存储、持久化任务调度、worker、用量计量和服务端模型访问。现有 SQLite 可用于单实例验证，生产多 worker 的租约、并发写入与锁竞争须专项验证，再决定是否迁移数据库，不将迁移当作既有能力。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私测建议使用服务端托管模型并设置预算；不上传用户浏览器内保存的 API Key。若未来支持用户自备密钥执行后台任务，须单独设计密钥托管、授权与撤销，不以长期保存现有前端配置替代。</w:t>
      </w:r>
    </w:p>
    <w:bookmarkEnd w:id="42"/>
    <w:bookmarkStart w:id="43" w:name="X948e4efd8effdb4be933a30f84af53795a78a9c"/>
    <w:p>
      <w:pPr>
        <w:pStyle w:val="Heading2"/>
      </w:pPr>
      <w:r>
        <w:rPr>
          <w:rFonts w:ascii="Calibri" w:hAnsi="Calibri" w:eastAsia="黑体" w:cs="Calibri"/>
        </w:rPr>
        <w:t xml:space="preserve">10 权限 隐私与内容治理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资料默认仅上传者可见，MVP 不提供公共共享或跨用户素材检索。上传时确认拥有处理该资料的权限；不支持 DRM 移除，不承诺上传即有合法授权。正式上线前由负责人员确认服务条款、投诉处理及第三方模型的数据处理条件。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默认不将原稿用于训练；产品内明确展示模型服务处理范围。业务日志仅记录标识、阶段、错误与统计值，不记录正文、密钥或完整提示词；诊断采样需脱敏且单独授权。文本作为不可信数据，不得执行其中指令、外链或工具调用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建议保留：原稿及分析持续保存至用户删除；在线资料和索引删除在 24 小时内完成，立即撤销访问；备份最长 30 天滚动清除，删除账本防止恢复后复活。最终周期需结合基础设施和法务评审。独立新稿默认保留，删除来源前告知引用将失效；支持用户另外删除新稿。用户删除账号时覆盖全部关联数据。</w:t>
      </w:r>
    </w:p>
    <w:bookmarkEnd w:id="43"/>
    <w:bookmarkStart w:id="44" w:name="X625a179da9f1e23ccc70c461ce371ce66c9083f"/>
    <w:p>
      <w:pPr>
        <w:pStyle w:val="Heading2"/>
      </w:pPr>
      <w:r>
        <w:rPr>
          <w:rFonts w:ascii="Calibri" w:hAnsi="Calibri" w:eastAsia="黑体" w:cs="Calibri"/>
        </w:rPr>
        <w:t xml:space="preserve">11 非功能需求与容量假设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以下为私测目标，负载条件为 100 个同时在线用户、10 个活跃分析任务、约 70% 短文与 30% 书籍；压测后决定实例和队列容量，不能外推至更大规模。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项目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建议目标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测量口径与降级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创建任务 API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P95 ≤2 秒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不含文件上传与模型调用；排队也返回 task_id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短文分析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P95 ≤90 秒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5000 字以内，从确认到报告可用，含排队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长书分析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P95 ≤15 分钟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20 万字以内，含排队；不含人工确认与上传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状态可见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进度或心跳间隔 ≤10 秒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模型长时间无正文也显示真实阶段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长任务成功率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≥95%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合法支持输入，含系统重试；用户取消单列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任务可靠性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恢复不丢已提交检查点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worker 退出、断网、重复派发故障演练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可用性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核心 API 月度 99.5%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5xx 和超时为失败，第三方导致的用户失败也计入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达到队列上限时显示预计等待区间或拒绝新增；仅在有历史估计时给等待时间。超出时延目标仍可继续执行，达到单任务硬预算则停止派发并返回部分结果，不以自动换模型掩盖降级。</w:t>
      </w:r>
    </w:p>
    <w:bookmarkEnd w:id="44"/>
    <w:bookmarkStart w:id="45" w:name="X65de29de267c1cd4c0160488430b5ba8a07cdc2"/>
    <w:p>
      <w:pPr>
        <w:pStyle w:val="Heading2"/>
      </w:pPr>
      <w:r>
        <w:rPr>
          <w:rFonts w:ascii="Calibri" w:hAnsi="Calibri" w:eastAsia="黑体" w:cs="Calibri"/>
        </w:rPr>
        <w:t xml:space="preserve">12 商业化与成本约束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私测先验证成本和使用价值，不立即承诺订阅权益。拟采用“分析额度＋生成额度”，分析资产可复用；只修改创作简报不重复收整本分析额度。启动前展示范围、预估消耗、硬上限和取消规则。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任务成本 C = Σ（输入 token × 输入单价＋输出 token × 输出单价）＋解析／存储／调度摊销。内部同时报告正常完成成本、含重试成本和每个有效创作成本；缓存命中必须体现实际用量，不能以输入字符直接当 token 结算。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硬预算机制：调度前估算；预留额度；阶段结算；到顶停止；未使用释放。系统自动失败重试不向用户重复收费，内部成本照记；用户改变范围重跑属于新任务，开始前展示消耗。取消仅结算已完成阶段，无法撤销的上游在途成本由内部记录，不产生未预告扣费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价格按服务商现价与 P95 用量更新后确定。单价、私测总预算和单任务硬预算是立项必填项；未确认时仅允许内部限额测试，不开放付费流量。</w:t>
      </w:r>
    </w:p>
    <w:bookmarkEnd w:id="45"/>
    <w:bookmarkStart w:id="46" w:name="X35614ea9bf184db4bdbd383fc11d0b27000ac3d"/>
    <w:p>
      <w:pPr>
        <w:pStyle w:val="Heading2"/>
      </w:pPr>
      <w:r>
        <w:rPr>
          <w:rFonts w:ascii="Calibri" w:hAnsi="Calibri" w:eastAsia="黑体" w:cs="Calibri"/>
        </w:rPr>
        <w:t xml:space="preserve">13 指标与埋点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北极星指标：每周完成至少一次“成功分析 → 创建衍生草稿 → 有效使用”的去重用户数。有效使用定义为生成后完成导出、成功导入作品，或正文净修改至少 100 字且持续编辑至少 2 分钟；这是行为代理，不等于内容质量。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602"/>
        <w:gridCol w:w="7036"/>
      </w:tblGrid>
      <w:tr>
        <w:trPr>
          <w:tblHeader w:val="on"/>
          <w:tblHeader/>
          <w:cantSplit/>
        </w:trPr>
        <w:tc>
          <w:tcPr>
            <w:tcW w:type="dxa" w:w="2602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指标</w:t>
            </w:r>
          </w:p>
        </w:tc>
        <w:tc>
          <w:tcPr>
            <w:tcW w:type="dxa" w:w="7036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分子／分母与窗口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解析成功率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成功可确认的支持文件数／进入解析的支持文件数；按文件类型分层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分析完成率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全部所选范围成功任务数／已进入执行的任务数；按创建 cohort 观察 24 小时，未终态单列，取消另报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分析到创作转化率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成功分析后 7 天内创建衍生草稿用户／成功分析用户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草稿有效使用率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生成后 7 天内有效使用草稿数／成功生成草稿数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D7 复用率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首次成功分析后第 7 天再次使用者／已完整观察到第 7 天的首用用户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时间节约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同难度任务同质量门槛的完成时间差／基线完成时间；用实验测量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成功单位成本</w:t>
            </w:r>
          </w:p>
        </w:tc>
        <w:tc>
          <w:tcPr>
            <w:tcW w:type="dxa" w:w="7036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总任务成本／成功分析数；并列总成本／有效使用草稿数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事件包括 source_upload_started、source_parse_completed、analysis_requested、analysis_terminal、evidence_opened、card_edited、brief_confirmed、outline_confirmed、draft_generated、draft_validation_failed、draft_effective_used、import_completed、export_completed、source_deleted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公共字段：匿名 user_id、source_id/version、task_id、draft_id/version、session_id、experiment_group、内容类型、长度桶、模型版本、耗时、成本和错误码。不上传正文、书名、作者姓名、密钥或用户提示词。服务端终态／结算／导入事件为权威，event_id 去重；有效使用按草稿首次达标记一次。</w:t>
      </w:r>
    </w:p>
    <w:bookmarkEnd w:id="46"/>
    <w:bookmarkStart w:id="47" w:name="X6af0c4ea80266c51837d3820dbad1ddf7c2bd09"/>
    <w:p>
      <w:pPr>
        <w:pStyle w:val="Heading2"/>
      </w:pPr>
      <w:r>
        <w:rPr>
          <w:rFonts w:ascii="Calibri" w:hAnsi="Calibri" w:eastAsia="黑体" w:cs="Calibri"/>
        </w:rPr>
        <w:t xml:space="preserve">14 离线评测与验收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建立至少 60 份有处理授权的冻结素材：20 本故事书（覆盖多视角、倒叙、长篇及别名）、30 篇不同类型文章、10 份异常输入。另设至少 30 个衍生创作任务，测试素材与提示词调优集分开。规模为首轮质量发现集，不足以代表全部体裁。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每份正常素材由两名评审建立关键事实、转折和引用锚点；独立评分后仲裁，记录一致率。文学解释不要求唯一答案，评价是否有依据和合理。生成稿隐藏模型与组别，按素材约束、结构、连贯、文风和可编辑性评分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质量项目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建议上线门槛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验收方式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解析覆盖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所选章节状态可追踪率 100%，无静默截断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人工目录对照、异常文件与超限输入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引用定位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≥98% 正确；关键结论无失效锚点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正常素材分层抽样至少 300 个引用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关键事实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精确率 ≥95%，关键事件召回率 ≥85%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人工标注对照；逐类型报告样本量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解释可支持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≥90% 被评为有文本依据且解释合理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双人评审至少 100 条解释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创作可用性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≥70% 任务获总体 ≥4/5，且无关键事实编造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至少 30 任务；保留分项及分歧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字数与终态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长度／截断识别 100%；不达标不得冒充已验收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目标上下限、取消、输出上限与断流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关键业务安全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越权、重复扣费、未经确认覆盖均 0 例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权限、并发、幂等、撤销及故障测试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不得用平均分掩盖权限或数据损坏问题。评测报告同时给原始计数、分层结果和不确定性；样本门槛不作为对外准确率宣传。模型或解析器升级需回归关键案例。</w:t>
      </w:r>
    </w:p>
    <w:bookmarkEnd w:id="47"/>
    <w:bookmarkStart w:id="48" w:name="Xb5eb6ca7273d8ea89733d7795f1f2c50232de73"/>
    <w:p>
      <w:pPr>
        <w:pStyle w:val="Heading2"/>
      </w:pPr>
      <w:r>
        <w:rPr>
          <w:rFonts w:ascii="Calibri" w:hAnsi="Calibri" w:eastAsia="黑体" w:cs="Calibri"/>
        </w:rPr>
        <w:t xml:space="preserve">15 用户验证与实验设计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发现阶段访谈 8～12 名目标作者，观察其用自己的授权素材完成真实任务，记录现有工具、耗时、信任问题和愿意付费的环节。若用户只需要摘要而不使用衍生创作，重新评估完整闭环的投入。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可用性阶段邀请 20～30 名作者试用 2 周；至少一半完成两次真实任务。访谈和小样本满意度仅用于定位问题，不能宣布留存或转化显著提升。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效果实验以现有 Agent 写作流程为对照，以新工作台为实验组，按用户随机分组，控制任务难度和学习效应；主指标为 7 日有效使用率，护栏为失败率、单位成本与投诉。历史基线缺失，先采集 2 周，再由数据负责人按最小可检测提升、80% 检验功效和 5% 显著性确定样本量；不足时只报告探索性结果。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建议业务继续投入信号为：分析到创作转化 ≥30%、有效使用率 ≥40%、同质量任务时间中位数下降 ≥20%。这些是产品假设，需在实验前冻结；安全与技术门槛必须通过，商业指标不达标则先迭代而非扩大流量。</w:t>
      </w:r>
    </w:p>
    <w:bookmarkEnd w:id="48"/>
    <w:bookmarkStart w:id="49" w:name="X767fec1b351150d3a894c12fcac000c0bc3ae41"/>
    <w:p>
      <w:pPr>
        <w:pStyle w:val="Heading2"/>
      </w:pPr>
      <w:r>
        <w:rPr>
          <w:rFonts w:ascii="Calibri" w:hAnsi="Calibri" w:eastAsia="黑体" w:cs="Calibri"/>
        </w:rPr>
        <w:t xml:space="preserve">16 上线 灰度与回滚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发布采用 feature flag，资料上传、分析派发、生成与导入分别可控。先内部授权账号，再白名单，再 5%／20%／100%；每阶段至少观察 3 个完整自然日，若样本不足延长，D7 指标只在完整窗口后判断。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上线前置：离线质量门槛通过；预算、模型处理条款与留存规则确认；监控和告警可用；删除演练、队列恢复、导入撤销和旧功能回归通过；运营准备格式限制、失败、消耗和投诉说明。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暂停派发阈值：15 分钟内至少 20 个执行任务且系统失败率 &gt;10%；10 个以上长书样本中 P95 超过目标 2 倍持续 30 分钟；单任务超预算；或发现越权、重复扣费、未经确认覆盖任一例。低流量时由值班负责人按失败样本人工判断，避免小分母误报。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回滚：停止新上传或派发，保留查询与下载；不破坏在途可恢复记录。导入问题单独关闭导入入口。已扣额度核对补偿；数据问题保留操作日志并按版本恢复，不能靠回滚 UI 恢复数据。已独立生成的新稿不依赖功能开关可继续编辑。</w:t>
      </w:r>
    </w:p>
    <w:bookmarkEnd w:id="49"/>
    <w:bookmarkStart w:id="50" w:name="Xefe0ebd7c90a3b9ad8051f163af682e4b16d7fc"/>
    <w:p>
      <w:pPr>
        <w:pStyle w:val="Heading2"/>
      </w:pPr>
      <w:r>
        <w:rPr>
          <w:rFonts w:ascii="Calibri" w:hAnsi="Calibri" w:eastAsia="黑体" w:cs="Calibri"/>
        </w:rPr>
        <w:t xml:space="preserve">17 验收场景矩阵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编号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Given 与 When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Then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AC01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超过大小或字数限制的文件上传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分析前阻止，展示上限与选章方案，无消耗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AC02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PDF 为扫描件或文件加密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提示不支持，不生成空报告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AC03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目录识别错误，用户修改后确认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新版本范围正确，旧结果仍指向旧版本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AC04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参考正文含创作标签与提示注入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仅作为资料处理，不写入用户作品或执行指令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AC05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长书第 8 章失败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报告显著标部分范围；仅重试该章，账本不重复扣费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AC06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倒叙与人物多个别名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展示顺序与故事时间分开，可修订实体合并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AC07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文章无传播数据或曝光为 0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无爆款因果结论，无除零互动率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AC08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刷新、断网、取消、worker 退出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状态可恢复；取消结果与实际阶段一致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AC09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生成正文不足目标或被截断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标未验收，保留文字，不自动导入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AC10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重复点击导入或同步失败后重试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同一操作只产生一组条目，云端状态真实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AC11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导入目标在别处已修改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expected_revision 冲突，保留两版，不覆盖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AC12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来源删除后访问引用与导出地址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立即拒绝访问、停止任务，新稿仍可独立编辑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AC13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用户 A 请求用户 B 的任务／下载／事件流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统一拒绝且不泄露内容与存在性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AC14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修改新主题但复用已完成分析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仅新生成消耗，不重复收整本分析额度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AC15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原有章节、人物、大纲与模型设置流程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不受入口和 schema 扩展影响，原有回归通过</w:t>
            </w:r>
          </w:p>
        </w:tc>
      </w:tr>
    </w:tbl>
    <w:bookmarkEnd w:id="50"/>
    <w:bookmarkStart w:id="54" w:name="X6ae51360f54a0c540ce8f5487fbf0c6b45e20c8"/>
    <w:p>
      <w:pPr>
        <w:pStyle w:val="Heading2"/>
      </w:pPr>
      <w:r>
        <w:rPr>
          <w:rFonts w:ascii="Calibri" w:hAnsi="Calibri" w:eastAsia="黑体" w:cs="Calibri"/>
        </w:rPr>
        <w:t xml:space="preserve">18 交付计划 风险与待决策项</w:t>
      </w:r>
    </w:p>
    <w:bookmarkStart w:id="51" w:name="Xe43e9563b999f0c7ee6985395a484d91239ffaa"/>
    <w:p>
      <w:pPr>
        <w:pStyle w:val="Heading3"/>
      </w:pPr>
      <w:r>
        <w:rPr>
          <w:rFonts w:ascii="Calibri" w:hAnsi="Calibri" w:eastAsia="黑体" w:cs="Calibri"/>
        </w:rPr>
        <w:t xml:space="preserve">18.1 阶段与责任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阶段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主要产物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责任与退出条件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需求发现，约 1 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访谈、任务样本、基线与范围确认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产品／设计；确认主场景和用户价值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技术验证，约 1～2 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长书覆盖、证据定位、模型成本与后台执行方案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算法／后端；硬预算和质量可达到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MVP 开发，约 3～4 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工作台、任务系统、卡片、新稿、导入与账本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前后端／算法；功能契约和异常测试通过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质量与私测，约 2 周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冻结评测、压测、用户报告和灰度决策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测试／数据／产品；发布前置全部满足</w:t>
            </w:r>
          </w:p>
        </w:tc>
      </w:tr>
    </w:tbl>
    <w:p>
      <w:pPr>
        <w:pStyle w:val="BodyText"/>
      </w:pPr>
      <w:r>
        <w:rPr>
          <w:rFonts w:ascii="Calibri" w:hAnsi="Calibri" w:eastAsia="宋体" w:cs="Calibri"/>
        </w:rPr>
        <w:t xml:space="preserve">上述为约 7～9 周规划假设，允许并行；需至少覆盖产品设计、前端、后端、算法和测试职责，未落实人员前不视为交付承诺。后端任务基础设施和质量评测位于关键路径。</w:t>
      </w:r>
    </w:p>
    <w:bookmarkEnd w:id="51"/>
    <w:bookmarkStart w:id="52" w:name="Xf687cfa89141bfdd3ed2a8f71795dfe84ac57b8"/>
    <w:p>
      <w:pPr>
        <w:pStyle w:val="Heading3"/>
      </w:pPr>
      <w:r>
        <w:rPr>
          <w:rFonts w:ascii="Calibri" w:hAnsi="Calibri" w:eastAsia="黑体" w:cs="Calibri"/>
        </w:rPr>
        <w:t xml:space="preserve">18.2 风险与处置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风险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先行信号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处置与负责人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看起来完整但实际漏读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全章覆盖缺失、后半部事实召回下降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强制范围标记、覆盖校验；算法／测试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参考资料污染创作设定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原作角色出现在用户作品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分离命名空间与显式导入；前后端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长任务与现有前端架构冲突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页面关闭即失败、凭据无法托管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服务端托管模型试测；后端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文风可描述但不能迁移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卡片采纳高、草稿可用性低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拆分风格维度做盲评；产品／算法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成本随长书与重试失控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P95 token 与重试成本持续增长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分阶段缓存、预算熔断、配额下调；后端／产品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爆款因果误导或事实编造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无数据出现确定结论、新稿虚构数字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schema 约束、事实占位与专项评测；算法／内容治理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文本重合提示误报漏报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常用语被标红、具体情节换词绕过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分开显示字面与语义提示，提供人工复核；算法</w:t>
            </w:r>
          </w:p>
        </w:tc>
      </w:tr>
    </w:tbl>
    <w:bookmarkEnd w:id="52"/>
    <w:bookmarkStart w:id="53" w:name="X8aa94100b45548d4645f08bfd510454013df10f"/>
    <w:p>
      <w:pPr>
        <w:pStyle w:val="Heading3"/>
      </w:pPr>
      <w:r>
        <w:rPr>
          <w:rFonts w:ascii="Calibri" w:hAnsi="Calibri" w:eastAsia="黑体" w:cs="Calibri"/>
        </w:rPr>
        <w:t xml:space="preserve">18.3 决策登记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CDD8D1"/>
          <w:left w:val="single" w:sz="4" w:color="CDD8D1"/>
          <w:bottom w:val="single" w:sz="4" w:color="CDD8D1"/>
          <w:right w:val="single" w:sz="4" w:color="CDD8D1"/>
          <w:insideH w:val="single" w:sz="4" w:color="CDD8D1"/>
          <w:insideV w:val="single" w:sz="4" w:color="CDD8D1"/>
        </w:tblBorders>
      </w:tblPr>
      <w:tblGrid>
        <w:gridCol w:w="2217"/>
        <w:gridCol w:w="3470"/>
        <w:gridCol w:w="3951"/>
      </w:tblGrid>
      <w:tr>
        <w:trPr>
          <w:tblHeader w:val="on"/>
          <w:tblHeader/>
          <w:cantSplit/>
        </w:trPr>
        <w:tc>
          <w:tcPr>
            <w:tcW w:type="dxa" w:w="2217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项目</w:t>
            </w:r>
          </w:p>
        </w:tc>
        <w:tc>
          <w:tcPr>
            <w:tcW w:type="dxa" w:w="3470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当前建议</w:t>
            </w:r>
          </w:p>
        </w:tc>
        <w:tc>
          <w:tcPr>
            <w:tcW w:type="dxa" w:w="3951"/>
            <w:shd w:fill="EAF1ED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b/>
                <w:sz w:val="18"/>
              </w:rPr>
              <w:t xml:space="preserve">决策责任与最晚时间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首批场景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故事书分析＋单篇文章，新稿限单篇／样章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产品；范围评审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模型与预算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服务端托管，确定单价、总预算和硬上限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算法／后端／业务负责人；技术验证结束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存储及调度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对象存储＋持久任务；验证 SQLite 并发上限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后端；技术方案评审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配额与性能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采用第 4 与第 11 节私测建议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后端／测试；压测后、私测前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数据留存及第三方处理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第 10 节建议须正式确认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隐私与内容治理负责人；外部私测前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最终价格与组织能力</w:t>
            </w:r>
          </w:p>
        </w:tc>
        <w:tc>
          <w:tcPr>
            <w:tcW w:type="dxa" w:w="3470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价格待成本和付费验证；团队功能后置</w:t>
            </w:r>
          </w:p>
        </w:tc>
        <w:tc>
          <w:tcPr>
            <w:tcW w:type="dxa" w:w="3951"/>
          </w:tcPr>
          <w:p>
            <w:pPr>
              <w:pStyle w:val="Compact"/>
              <w:keepNext w:val="0"/>
              <w:spacing w:after="80" w:before="80" w:line="276" w:lineRule="auto"/>
              <w:jc w:val="left"/>
            </w:pPr>
            <w:r>
              <w:rPr>
                <w:rFonts w:ascii="Calibri" w:hAnsi="Calibri" w:eastAsia="宋体" w:cs="Calibri"/>
                <w:sz w:val="18"/>
              </w:rPr>
              <w:t xml:space="preserve">产品／业务负责人；付费上线前</w:t>
            </w:r>
          </w:p>
        </w:tc>
      </w:tr>
    </w:tbl>
    <w:bookmarkEnd w:id="53"/>
    <w:bookmarkEnd w:id="54"/>
    <w:bookmarkStart w:id="60" w:name="X01b024f07d2039d98d4a3521fff9cf3b04d1752"/>
    <w:p>
      <w:pPr>
        <w:pStyle w:val="Heading2"/>
      </w:pPr>
      <w:r>
        <w:rPr>
          <w:rFonts w:ascii="Calibri" w:hAnsi="Calibri" w:eastAsia="黑体" w:cs="Calibri"/>
        </w:rPr>
        <w:t xml:space="preserve">19 来源与维护说明</w:t>
      </w:r>
    </w:p>
    <w:p>
      <w:pPr>
        <w:pStyle w:val="FirstParagraph"/>
      </w:pPr>
      <w:r>
        <w:rPr>
          <w:rFonts w:ascii="Calibri" w:hAnsi="Calibri" w:eastAsia="宋体" w:cs="Calibri"/>
        </w:rPr>
        <w:t xml:space="preserve">公开资料核对日期为 2026-10-27；未核对付费权益和价格，不作同等体验承诺。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Sudowrite 书稿导入：</w:t>
      </w:r>
      <w:hyperlink r:id="rId55">
        <w:r>
          <w:rPr>
            <w:rFonts w:ascii="Calibri" w:hAnsi="Calibri" w:eastAsia="宋体" w:cs="Calibri"/>
            <w:rStyle w:val="Hyperlink"/>
          </w:rPr>
          <w:t xml:space="preserve">https://docs.sudowrite.com/resources/ktuxRrzphwp3uTNneRtaos/can-i-import-a-half-finished-work/vxLuRibYRPoDBbtx4EepgL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Sudowrite 文风设置：</w:t>
      </w:r>
      <w:hyperlink r:id="rId56">
        <w:r>
          <w:rPr>
            <w:rFonts w:ascii="Calibri" w:hAnsi="Calibri" w:eastAsia="宋体" w:cs="Calibri"/>
            <w:rStyle w:val="Hyperlink"/>
          </w:rPr>
          <w:t xml:space="preserve">https://docs.sudowrite.com/using-sudowrite/1ow1qkGqof9rtcyGnrWUBS/style/4gqKgVVjdN6XTKo71HChqV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Novelcrafter Codex：</w:t>
      </w:r>
      <w:hyperlink r:id="rId57">
        <w:r>
          <w:rPr>
            <w:rFonts w:ascii="Calibri" w:hAnsi="Calibri" w:eastAsia="宋体" w:cs="Calibri"/>
            <w:rStyle w:val="Hyperlink"/>
          </w:rPr>
          <w:t xml:space="preserve">https://www.novelcrafter.com/features/codex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Jasper Brand Voice：</w:t>
      </w:r>
      <w:hyperlink r:id="rId58">
        <w:r>
          <w:rPr>
            <w:rFonts w:ascii="Calibri" w:hAnsi="Calibri" w:eastAsia="宋体" w:cs="Calibri"/>
            <w:rStyle w:val="Hyperlink"/>
          </w:rPr>
          <w:t xml:space="preserve">https://help.jasper.ai/hc/en-us/articles/18618693085339-Brand-Voice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宋体" w:cs="Calibri"/>
        </w:rPr>
        <w:t xml:space="preserve">Google 来源问答与引用：</w:t>
      </w:r>
      <w:hyperlink r:id="rId59">
        <w:r>
          <w:rPr>
            <w:rFonts w:ascii="Calibri" w:hAnsi="Calibri" w:eastAsia="宋体" w:cs="Calibri"/>
            <w:rStyle w:val="Hyperlink"/>
          </w:rPr>
          <w:t xml:space="preserve">https://workspace.google.com/intl/en/products/gemini-notebook/</w:t>
        </w:r>
      </w:hyperlink>
    </w:p>
    <w:p>
      <w:pPr>
        <w:pStyle w:val="FirstParagraph"/>
      </w:pPr>
      <w:r>
        <w:rPr>
          <w:rFonts w:ascii="Calibri" w:hAnsi="Calibri" w:eastAsia="宋体" w:cs="Calibri"/>
        </w:rPr>
        <w:t xml:space="preserve">仓库依据：packages/frontend/src/components/layout/Sidebar.tsx、packages/frontend/src/types/index.ts、packages/frontend/src/services/modelService.ts、packages/backend/prisma/schema.prisma、docs/AI_SYNC_AND_STREAMING.md；观察基线为提交 5c55afd。以上路径描述现状；本 PRD 新增的任务、存储、分析和导入能力均需研发实现。</w:t>
      </w:r>
    </w:p>
    <w:p>
      <w:pPr>
        <w:pStyle w:val="BodyText"/>
      </w:pPr>
      <w:r>
        <w:rPr>
          <w:rFonts w:ascii="Calibri" w:hAnsi="Calibri" w:eastAsia="宋体" w:cs="Calibri"/>
        </w:rPr>
        <w:t xml:space="preserve">Markdown 为内容维护源，Word 为同版本评审导出。交付验证说明单独保存在 validation.json，避免将格式验证记录混入产品要求。变更范围或验收门槛时同步更新两个版本和决策登记。</w:t>
      </w:r>
    </w:p>
    <w:bookmarkEnd w:id="60"/>
    <w:bookmarkEnd w:id="61"/>
    <w:sectPr>
      <w:headerReference w:type="default" r:id="rId9"/>
      <w:footerReference w:type="default" r:id="rId10"/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 w:cs="Calibri"/>
        <w:color w:val="64736B"/>
        <w:sz w:val="16"/>
      </w:rPr>
      <w:t xml:space="preserve">第 </w:t>
    </w:r>
    <w:fldSimple w:instr="PAGE"/>
    <w:r>
      <w:rPr>
        <w:rFonts w:ascii="Calibri" w:hAnsi="Calibri" w:eastAsia="宋体" w:cs="Calibri"/>
        <w:color w:val="64736B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 w:cs="Calibri"/>
        <w:color w:val="64736B"/>
        <w:sz w:val="16"/>
      </w:rPr>
      <w:t>NovelAgent  /  产品需求文档  /  V1.0 待评审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12" w:lineRule="auto" w:after="120"/>
    </w:pPr>
    <w:rPr>
      <w:rFonts w:ascii="Calibri" w:hAnsi="Calibri" w:eastAsia="宋体" w:cs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宋体" w:cs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宋体" w:cs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宋体" w:cs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cstheme="majorBidi" w:ascii="Calibri" w:hAnsi="Calibri" w:eastAsia="宋体" w:cs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宋体" w:cs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宋体" w:cs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宋体" w:cs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 w:eastAsia="宋体" w:cs="Calibri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宋体" w:cs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宋体" w:cs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80"/>
      <w:outlineLvl w:val="0"/>
    </w:pPr>
    <w:rPr>
      <w:rFonts w:cstheme="majorBidi" w:ascii="Calibri" w:hAnsi="Calibri" w:eastAsia="黑体" w:cs="Calibri"/>
      <w:b/>
      <w:bCs/>
      <w:color w:val="173D32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80"/>
      <w:outlineLvl w:val="1"/>
    </w:pPr>
    <w:rPr>
      <w:rFonts w:cstheme="majorBidi" w:ascii="Calibri" w:hAnsi="Calibri" w:eastAsia="黑体" w:cs="Calibri"/>
      <w:b/>
      <w:bCs/>
      <w:color w:val="173D32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80"/>
      <w:outlineLvl w:val="2"/>
    </w:pPr>
    <w:rPr>
      <w:rFonts w:cstheme="majorBidi" w:ascii="Calibri" w:hAnsi="Calibri" w:eastAsia="黑体" w:cs="Calibri"/>
      <w:b/>
      <w:bCs/>
      <w:color w:val="173D32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ascii="Calibri" w:hAnsi="Calibri" w:eastAsia="黑体" w:cs="Calib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ascii="Calibri" w:hAnsi="Calibri" w:eastAsia="黑体" w:cs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ascii="Calibri" w:hAnsi="Calibri" w:eastAsia="黑体" w:cs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ascii="Calibri" w:hAnsi="Calibri" w:eastAsia="黑体" w:cs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ascii="Calibri" w:hAnsi="Calibri" w:eastAsia="黑体" w:cs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ascii="Calibri" w:hAnsi="Calibri" w:eastAsia="黑体" w:cs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 w:cs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宋体" w:cs="Calibri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 w:cs="Calibri"/>
    </w:rPr>
  </w:style>
  <w:style w:default="1" w:styleId="DefaultParagraphFont" w:type="character">
    <w:name w:val="Default Paragraph Font"/>
    <w:semiHidden/>
    <w:unhideWhenUsed/>
    <w:rPr>
      <w:rFonts w:ascii="Calibri" w:hAnsi="Calibri" w:eastAsia="宋体" w:cs="Calibri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宋体" w:cs="Calibri"/>
      <w:b/>
    </w:rPr>
  </w:style>
  <w:style w:customStyle="1" w:styleId="Definition" w:type="paragraph">
    <w:name w:val="Definition"/>
    <w:basedOn w:val="Normal"/>
    <w:rPr>
      <w:rFonts w:ascii="Calibri" w:hAnsi="Calibri" w:eastAsia="宋体" w:cs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宋体" w:cs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宋体" w:cs="Calibri"/>
    </w:rPr>
  </w:style>
  <w:style w:customStyle="1" w:styleId="ImageCaption" w:type="paragraph">
    <w:name w:val="Image Caption"/>
    <w:basedOn w:val="Caption"/>
    <w:rPr>
      <w:rFonts w:ascii="Calibri" w:hAnsi="Calibri" w:eastAsia="宋体" w:cs="Calibri"/>
    </w:rPr>
  </w:style>
  <w:style w:customStyle="1" w:styleId="Figure" w:type="paragraph">
    <w:name w:val="Figure"/>
    <w:basedOn w:val="Normal"/>
    <w:rPr>
      <w:rFonts w:ascii="Calibri" w:hAnsi="Calibri" w:eastAsia="宋体" w:cs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宋体" w:cs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eastAsia="宋体" w:cs="Calibri"/>
    </w:rPr>
  </w:style>
  <w:style w:customStyle="1" w:styleId="VerbatimChar" w:type="character">
    <w:name w:val="Verbatim Char"/>
    <w:basedOn w:val="BodyTextChar"/>
    <w:rPr>
      <w:rFonts w:ascii="Calibri" w:hAnsi="Calibri" w:eastAsia="宋体" w:cs="Calibri"/>
      <w:sz w:val="22"/>
    </w:rPr>
  </w:style>
  <w:style w:customStyle="1" w:styleId="SectionNumber" w:type="character">
    <w:name w:val="Section Number"/>
    <w:basedOn w:val="BodyTextChar"/>
    <w:rPr>
      <w:rFonts w:ascii="Calibri" w:hAnsi="Calibri" w:eastAsia="宋体" w:cs="Calibri"/>
    </w:rPr>
  </w:style>
  <w:style w:styleId="FootnoteReference" w:type="character">
    <w:name w:val="Footnote Reference"/>
    <w:basedOn w:val="BodyTextChar"/>
    <w:rPr>
      <w:rFonts w:ascii="Calibri" w:hAnsi="Calibri" w:eastAsia="宋体" w:cs="Calibri"/>
      <w:vertAlign w:val="superscript"/>
    </w:rPr>
  </w:style>
  <w:style w:styleId="Hyperlink" w:type="character">
    <w:name w:val="Hyperlink"/>
    <w:basedOn w:val="BodyTextChar"/>
    <w:rPr>
      <w:rFonts w:ascii="Calibri" w:hAnsi="Calibri" w:eastAsia="宋体" w:cs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Calibri" w:hAnsi="Calibri" w:eastAsia="宋体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宋体" w:cs="Calibri"/>
    </w:rPr>
  </w:style>
  <w:style w:type="character" w:customStyle="1" w:styleId="KeywordTok">
    <w:name w:val="KeywordTok"/>
    <w:basedOn w:val="VerbatimChar"/>
    <w:rPr>
      <w:rFonts w:ascii="Calibri" w:hAnsi="Calibri" w:eastAsia="宋体" w:cs="Calibri"/>
      <w:b/>
      <w:color w:val="007020"/>
    </w:rPr>
  </w:style>
  <w:style w:type="character" w:customStyle="1" w:styleId="DataTypeTok">
    <w:name w:val="DataTypeTok"/>
    <w:basedOn w:val="VerbatimChar"/>
    <w:rPr>
      <w:rFonts w:ascii="Calibri" w:hAnsi="Calibri" w:eastAsia="宋体" w:cs="Calibri"/>
      <w:color w:val="902000"/>
    </w:rPr>
  </w:style>
  <w:style w:type="character" w:customStyle="1" w:styleId="DecValTok">
    <w:name w:val="DecValTok"/>
    <w:basedOn w:val="VerbatimChar"/>
    <w:rPr>
      <w:rFonts w:ascii="Calibri" w:hAnsi="Calibri" w:eastAsia="宋体" w:cs="Calibri"/>
      <w:color w:val="40a070"/>
    </w:rPr>
  </w:style>
  <w:style w:type="character" w:customStyle="1" w:styleId="BaseNTok">
    <w:name w:val="BaseNTok"/>
    <w:basedOn w:val="VerbatimChar"/>
    <w:rPr>
      <w:rFonts w:ascii="Calibri" w:hAnsi="Calibri" w:eastAsia="宋体" w:cs="Calibri"/>
      <w:color w:val="40a070"/>
    </w:rPr>
  </w:style>
  <w:style w:type="character" w:customStyle="1" w:styleId="FloatTok">
    <w:name w:val="FloatTok"/>
    <w:basedOn w:val="VerbatimChar"/>
    <w:rPr>
      <w:rFonts w:ascii="Calibri" w:hAnsi="Calibri" w:eastAsia="宋体" w:cs="Calibri"/>
      <w:color w:val="40a070"/>
    </w:rPr>
  </w:style>
  <w:style w:type="character" w:customStyle="1" w:styleId="ConstantTok">
    <w:name w:val="ConstantTok"/>
    <w:basedOn w:val="VerbatimChar"/>
    <w:rPr>
      <w:rFonts w:ascii="Calibri" w:hAnsi="Calibri" w:eastAsia="宋体" w:cs="Calibri"/>
      <w:color w:val="880000"/>
    </w:rPr>
  </w:style>
  <w:style w:type="character" w:customStyle="1" w:styleId="CharTok">
    <w:name w:val="CharTok"/>
    <w:basedOn w:val="VerbatimChar"/>
    <w:rPr>
      <w:rFonts w:ascii="Calibri" w:hAnsi="Calibri" w:eastAsia="宋体" w:cs="Calibri"/>
      <w:color w:val="4070a0"/>
    </w:rPr>
  </w:style>
  <w:style w:type="character" w:customStyle="1" w:styleId="SpecialCharTok">
    <w:name w:val="SpecialCharTok"/>
    <w:basedOn w:val="VerbatimChar"/>
    <w:rPr>
      <w:rFonts w:ascii="Calibri" w:hAnsi="Calibri" w:eastAsia="宋体" w:cs="Calibri"/>
      <w:color w:val="4070a0"/>
    </w:rPr>
  </w:style>
  <w:style w:type="character" w:customStyle="1" w:styleId="StringTok">
    <w:name w:val="StringTok"/>
    <w:basedOn w:val="VerbatimChar"/>
    <w:rPr>
      <w:rFonts w:ascii="Calibri" w:hAnsi="Calibri" w:eastAsia="宋体" w:cs="Calibri"/>
      <w:color w:val="4070a0"/>
    </w:rPr>
  </w:style>
  <w:style w:type="character" w:customStyle="1" w:styleId="VerbatimStringTok">
    <w:name w:val="VerbatimStringTok"/>
    <w:basedOn w:val="VerbatimChar"/>
    <w:rPr>
      <w:rFonts w:ascii="Calibri" w:hAnsi="Calibri" w:eastAsia="宋体" w:cs="Calibri"/>
      <w:color w:val="4070a0"/>
    </w:rPr>
  </w:style>
  <w:style w:type="character" w:customStyle="1" w:styleId="SpecialStringTok">
    <w:name w:val="SpecialStringTok"/>
    <w:basedOn w:val="VerbatimChar"/>
    <w:rPr>
      <w:rFonts w:ascii="Calibri" w:hAnsi="Calibri" w:eastAsia="宋体" w:cs="Calibri"/>
      <w:color w:val="bb6688"/>
    </w:rPr>
  </w:style>
  <w:style w:type="character" w:customStyle="1" w:styleId="ImportTok">
    <w:name w:val="ImportTok"/>
    <w:basedOn w:val="VerbatimChar"/>
    <w:rPr>
      <w:rFonts w:ascii="Calibri" w:hAnsi="Calibri" w:eastAsia="宋体" w:cs="Calibri"/>
      <w:b/>
      <w:color w:val="008000"/>
    </w:rPr>
  </w:style>
  <w:style w:type="character" w:customStyle="1" w:styleId="CommentTok">
    <w:name w:val="CommentTok"/>
    <w:basedOn w:val="VerbatimChar"/>
    <w:rPr>
      <w:rFonts w:ascii="Calibri" w:hAnsi="Calibri" w:eastAsia="宋体" w:cs="Calibri"/>
      <w:i/>
      <w:color w:val="60a0b0"/>
    </w:rPr>
  </w:style>
  <w:style w:type="character" w:customStyle="1" w:styleId="DocumentationTok">
    <w:name w:val="DocumentationTok"/>
    <w:basedOn w:val="VerbatimChar"/>
    <w:rPr>
      <w:rFonts w:ascii="Calibri" w:hAnsi="Calibri" w:eastAsia="宋体" w:cs="Calibri"/>
      <w:i/>
      <w:color w:val="ba2121"/>
    </w:rPr>
  </w:style>
  <w:style w:type="character" w:customStyle="1" w:styleId="AnnotationTok">
    <w:name w:val="AnnotationTok"/>
    <w:basedOn w:val="VerbatimChar"/>
    <w:rPr>
      <w:rFonts w:ascii="Calibri" w:hAnsi="Calibri" w:eastAsia="宋体" w:cs="Calibri"/>
      <w:b/>
      <w:i/>
      <w:color w:val="60a0b0"/>
    </w:rPr>
  </w:style>
  <w:style w:type="character" w:customStyle="1" w:styleId="CommentVarTok">
    <w:name w:val="CommentVarTok"/>
    <w:basedOn w:val="VerbatimChar"/>
    <w:rPr>
      <w:rFonts w:ascii="Calibri" w:hAnsi="Calibri" w:eastAsia="宋体" w:cs="Calibri"/>
      <w:b/>
      <w:i/>
      <w:color w:val="60a0b0"/>
    </w:rPr>
  </w:style>
  <w:style w:type="character" w:customStyle="1" w:styleId="OtherTok">
    <w:name w:val="OtherTok"/>
    <w:basedOn w:val="VerbatimChar"/>
    <w:rPr>
      <w:rFonts w:ascii="Calibri" w:hAnsi="Calibri" w:eastAsia="宋体" w:cs="Calibri"/>
      <w:color w:val="007020"/>
    </w:rPr>
  </w:style>
  <w:style w:type="character" w:customStyle="1" w:styleId="FunctionTok">
    <w:name w:val="FunctionTok"/>
    <w:basedOn w:val="VerbatimChar"/>
    <w:rPr>
      <w:rFonts w:ascii="Calibri" w:hAnsi="Calibri" w:eastAsia="宋体" w:cs="Calibri"/>
      <w:color w:val="06287e"/>
    </w:rPr>
  </w:style>
  <w:style w:type="character" w:customStyle="1" w:styleId="VariableTok">
    <w:name w:val="VariableTok"/>
    <w:basedOn w:val="VerbatimChar"/>
    <w:rPr>
      <w:rFonts w:ascii="Calibri" w:hAnsi="Calibri" w:eastAsia="宋体" w:cs="Calibri"/>
      <w:color w:val="19177c"/>
    </w:rPr>
  </w:style>
  <w:style w:type="character" w:customStyle="1" w:styleId="ControlFlowTok">
    <w:name w:val="ControlFlowTok"/>
    <w:basedOn w:val="VerbatimChar"/>
    <w:rPr>
      <w:rFonts w:ascii="Calibri" w:hAnsi="Calibri" w:eastAsia="宋体" w:cs="Calibri"/>
      <w:b/>
      <w:color w:val="007020"/>
    </w:rPr>
  </w:style>
  <w:style w:type="character" w:customStyle="1" w:styleId="OperatorTok">
    <w:name w:val="OperatorTok"/>
    <w:basedOn w:val="VerbatimChar"/>
    <w:rPr>
      <w:rFonts w:ascii="Calibri" w:hAnsi="Calibri" w:eastAsia="宋体" w:cs="Calibri"/>
      <w:color w:val="666666"/>
    </w:rPr>
  </w:style>
  <w:style w:type="character" w:customStyle="1" w:styleId="BuiltInTok">
    <w:name w:val="BuiltInTok"/>
    <w:basedOn w:val="VerbatimChar"/>
    <w:rPr>
      <w:rFonts w:ascii="Calibri" w:hAnsi="Calibri" w:eastAsia="宋体" w:cs="Calibri"/>
      <w:color w:val="008000"/>
    </w:rPr>
  </w:style>
  <w:style w:type="character" w:customStyle="1" w:styleId="ExtensionTok">
    <w:name w:val="ExtensionTok"/>
    <w:basedOn w:val="VerbatimChar"/>
    <w:rPr>
      <w:rFonts w:ascii="Calibri" w:hAnsi="Calibri" w:eastAsia="宋体" w:cs="Calibri"/>
    </w:rPr>
  </w:style>
  <w:style w:type="character" w:customStyle="1" w:styleId="PreprocessorTok">
    <w:name w:val="PreprocessorTok"/>
    <w:basedOn w:val="VerbatimChar"/>
    <w:rPr>
      <w:rFonts w:ascii="Calibri" w:hAnsi="Calibri" w:eastAsia="宋体" w:cs="Calibri"/>
      <w:color w:val="bc7a00"/>
    </w:rPr>
  </w:style>
  <w:style w:type="character" w:customStyle="1" w:styleId="AttributeTok">
    <w:name w:val="AttributeTok"/>
    <w:basedOn w:val="VerbatimChar"/>
    <w:rPr>
      <w:rFonts w:ascii="Calibri" w:hAnsi="Calibri" w:eastAsia="宋体" w:cs="Calibri"/>
      <w:color w:val="7d9029"/>
    </w:rPr>
  </w:style>
  <w:style w:type="character" w:customStyle="1" w:styleId="RegionMarkerTok">
    <w:name w:val="RegionMarkerTok"/>
    <w:basedOn w:val="VerbatimChar"/>
    <w:rPr>
      <w:rFonts w:ascii="Calibri" w:hAnsi="Calibri" w:eastAsia="宋体" w:cs="Calibri"/>
    </w:rPr>
  </w:style>
  <w:style w:type="character" w:customStyle="1" w:styleId="InformationTok">
    <w:name w:val="InformationTok"/>
    <w:basedOn w:val="VerbatimChar"/>
    <w:rPr>
      <w:rFonts w:ascii="Calibri" w:hAnsi="Calibri" w:eastAsia="宋体" w:cs="Calibri"/>
      <w:b/>
      <w:i/>
      <w:color w:val="60a0b0"/>
    </w:rPr>
  </w:style>
  <w:style w:type="character" w:customStyle="1" w:styleId="WarningTok">
    <w:name w:val="WarningTok"/>
    <w:basedOn w:val="VerbatimChar"/>
    <w:rPr>
      <w:rFonts w:ascii="Calibri" w:hAnsi="Calibri" w:eastAsia="宋体" w:cs="Calibri"/>
      <w:b/>
      <w:i/>
      <w:color w:val="60a0b0"/>
    </w:rPr>
  </w:style>
  <w:style w:type="character" w:customStyle="1" w:styleId="AlertTok">
    <w:name w:val="AlertTok"/>
    <w:basedOn w:val="VerbatimChar"/>
    <w:rPr>
      <w:rFonts w:ascii="Calibri" w:hAnsi="Calibri" w:eastAsia="宋体" w:cs="Calibri"/>
      <w:b/>
      <w:color w:val="ff0000"/>
    </w:rPr>
  </w:style>
  <w:style w:type="character" w:customStyle="1" w:styleId="ErrorTok">
    <w:name w:val="ErrorTok"/>
    <w:basedOn w:val="VerbatimChar"/>
    <w:rPr>
      <w:rFonts w:ascii="Calibri" w:hAnsi="Calibri" w:eastAsia="宋体" w:cs="Calibri"/>
      <w:b/>
      <w:color w:val="ff0000"/>
    </w:rPr>
  </w:style>
  <w:style w:type="character" w:customStyle="1" w:styleId="NormalTok">
    <w:name w:val="NormalTok"/>
    <w:basedOn w:val="VerbatimChar"/>
    <w:rPr>
      <w:rFonts w:ascii="Calibri" w:hAnsi="Calibri" w:eastAsia="宋体" w:cs="Calibr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5" Type="http://schemas.openxmlformats.org/officeDocument/2006/relationships/hyperlink" Target="https://docs.sudowrite.com/resources/ktuxRrzphwp3uTNneRtaos/can-i-import-a-half-finished-work/vxLuRibYRPoDBbtx4EepgL" TargetMode="External"/><Relationship Id="rId56" Type="http://schemas.openxmlformats.org/officeDocument/2006/relationships/hyperlink" Target="https://docs.sudowrite.com/using-sudowrite/1ow1qkGqof9rtcyGnrWUBS/style/4gqKgVVjdN6XTKo71HChqV" TargetMode="External"/><Relationship Id="rId58" Type="http://schemas.openxmlformats.org/officeDocument/2006/relationships/hyperlink" Target="https://help.jasper.ai/hc/en-us/articles/18618693085339-Brand-Voice" TargetMode="External"/><Relationship Id="rId59" Type="http://schemas.openxmlformats.org/officeDocument/2006/relationships/hyperlink" Target="https://workspace.google.com/intl/en/products/gemini-notebook/" TargetMode="External"/><Relationship Id="rId57" Type="http://schemas.openxmlformats.org/officeDocument/2006/relationships/hyperlink" Target="https://www.novelcrafter.com/features/codex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docs.sudowrite.com/resources/ktuxRrzphwp3uTNneRtaos/can-i-import-a-half-finished-work/vxLuRibYRPoDBbtx4EepgL" TargetMode="External"/><Relationship Id="rId56" Type="http://schemas.openxmlformats.org/officeDocument/2006/relationships/hyperlink" Target="https://docs.sudowrite.com/using-sudowrite/1ow1qkGqof9rtcyGnrWUBS/style/4gqKgVVjdN6XTKo71HChqV" TargetMode="External"/><Relationship Id="rId58" Type="http://schemas.openxmlformats.org/officeDocument/2006/relationships/hyperlink" Target="https://help.jasper.ai/hc/en-us/articles/18618693085339-Brand-Voice" TargetMode="External"/><Relationship Id="rId59" Type="http://schemas.openxmlformats.org/officeDocument/2006/relationships/hyperlink" Target="https://workspace.google.com/intl/en/products/gemini-notebook/" TargetMode="External"/><Relationship Id="rId57" Type="http://schemas.openxmlformats.org/officeDocument/2006/relationships/hyperlink" Target="https://www.novelcrafter.com/features/co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NovelAgent 参考作品分析与辅助创作 PRD</dc:title>
  <dc:creator>NovelAgent</dc:creator>
  <cp:keywords/>
  <dcterms:created xsi:type="dcterms:W3CDTF">2026-10-27T11:35:45Z</dcterms:created>
  <dcterms:modified xsi:type="dcterms:W3CDTF">2026-10-27T11:35:45Z</dcterms:modified>
  <dc:subject>书籍拆解、文章分析、文风卡与参考创作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