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Input: Click the “Next Page Button”</w:t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The program will go to next page of the program</w:t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Input: Click the “Come Back To The First Page Button”</w:t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The program will go back to the first page</w:t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Input: Click the “Come Back One Page”</w:t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Because this is a cultural program, so this postgraduate programs is very easy to run. I tested the buttons of several page conversions back and forth, </w:t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and there was no error.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Indie Flower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Style w:val="Title"/>
      <w:jc w:val="center"/>
      <w:rPr>
        <w:rFonts w:ascii="Indie Flower" w:cs="Indie Flower" w:eastAsia="Indie Flower" w:hAnsi="Indie Flower"/>
      </w:rPr>
    </w:pPr>
    <w:bookmarkStart w:colFirst="0" w:colLast="0" w:name="_2arexwoha90v" w:id="0"/>
    <w:bookmarkEnd w:id="0"/>
    <w:r w:rsidDel="00000000" w:rsidR="00000000" w:rsidRPr="00000000">
      <w:rPr>
        <w:rFonts w:ascii="Indie Flower" w:cs="Indie Flower" w:eastAsia="Indie Flower" w:hAnsi="Indie Flower"/>
        <w:rtl w:val="0"/>
      </w:rPr>
      <w:t xml:space="preserve"> The Test Plan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dieFlow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