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74A18A6C" w14:textId="6A6E2D77" w:rsidR="009342DA"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9342DA">
        <w:rPr>
          <w:noProof/>
        </w:rPr>
        <w:t>ВВЕДЕНИЕ</w:t>
      </w:r>
      <w:r w:rsidR="009342DA">
        <w:rPr>
          <w:noProof/>
        </w:rPr>
        <w:tab/>
      </w:r>
      <w:r w:rsidR="009342DA">
        <w:rPr>
          <w:noProof/>
        </w:rPr>
        <w:fldChar w:fldCharType="begin"/>
      </w:r>
      <w:r w:rsidR="009342DA">
        <w:rPr>
          <w:noProof/>
        </w:rPr>
        <w:instrText xml:space="preserve"> PAGEREF _Toc87524462 \h </w:instrText>
      </w:r>
      <w:r w:rsidR="009342DA">
        <w:rPr>
          <w:noProof/>
        </w:rPr>
      </w:r>
      <w:r w:rsidR="009342DA">
        <w:rPr>
          <w:noProof/>
        </w:rPr>
        <w:fldChar w:fldCharType="separate"/>
      </w:r>
      <w:r w:rsidR="009342DA">
        <w:rPr>
          <w:noProof/>
        </w:rPr>
        <w:t>3</w:t>
      </w:r>
      <w:r w:rsidR="009342DA">
        <w:rPr>
          <w:noProof/>
        </w:rPr>
        <w:fldChar w:fldCharType="end"/>
      </w:r>
    </w:p>
    <w:p w14:paraId="74484E96" w14:textId="5119C0B8" w:rsidR="009342DA" w:rsidRDefault="009342DA">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_Toc87524463 \h </w:instrText>
      </w:r>
      <w:r>
        <w:rPr>
          <w:noProof/>
        </w:rPr>
      </w:r>
      <w:r>
        <w:rPr>
          <w:noProof/>
        </w:rPr>
        <w:fldChar w:fldCharType="separate"/>
      </w:r>
      <w:r>
        <w:rPr>
          <w:noProof/>
        </w:rPr>
        <w:t>4</w:t>
      </w:r>
      <w:r>
        <w:rPr>
          <w:noProof/>
        </w:rPr>
        <w:fldChar w:fldCharType="end"/>
      </w:r>
    </w:p>
    <w:p w14:paraId="14FBCC5A" w14:textId="3441D6F8" w:rsidR="009342DA" w:rsidRDefault="009342DA">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_Toc87524464 \h </w:instrText>
      </w:r>
      <w:r>
        <w:rPr>
          <w:noProof/>
        </w:rPr>
      </w:r>
      <w:r>
        <w:rPr>
          <w:noProof/>
        </w:rPr>
        <w:fldChar w:fldCharType="separate"/>
      </w:r>
      <w:r>
        <w:rPr>
          <w:noProof/>
        </w:rPr>
        <w:t>5</w:t>
      </w:r>
      <w:r>
        <w:rPr>
          <w:noProof/>
        </w:rPr>
        <w:fldChar w:fldCharType="end"/>
      </w:r>
    </w:p>
    <w:p w14:paraId="1ADB55EA" w14:textId="4F796533" w:rsidR="009342DA" w:rsidRDefault="009342DA">
      <w:pPr>
        <w:pStyle w:val="11"/>
        <w:tabs>
          <w:tab w:val="right" w:leader="dot" w:pos="9627"/>
        </w:tabs>
        <w:rPr>
          <w:rFonts w:asciiTheme="minorHAnsi" w:eastAsiaTheme="minorEastAsia" w:hAnsiTheme="minorHAnsi" w:cstheme="minorBidi"/>
          <w:noProof/>
          <w:sz w:val="22"/>
          <w:szCs w:val="22"/>
        </w:rPr>
      </w:pPr>
      <w:r>
        <w:rPr>
          <w:noProof/>
        </w:rPr>
        <w:t>СЛЕДУЮЩАЯ ТЕМА</w:t>
      </w:r>
      <w:r>
        <w:rPr>
          <w:noProof/>
        </w:rPr>
        <w:tab/>
      </w:r>
      <w:r>
        <w:rPr>
          <w:noProof/>
        </w:rPr>
        <w:fldChar w:fldCharType="begin"/>
      </w:r>
      <w:r>
        <w:rPr>
          <w:noProof/>
        </w:rPr>
        <w:instrText xml:space="preserve"> PAGEREF _Toc87524465 \h </w:instrText>
      </w:r>
      <w:r>
        <w:rPr>
          <w:noProof/>
        </w:rPr>
      </w:r>
      <w:r>
        <w:rPr>
          <w:noProof/>
        </w:rPr>
        <w:fldChar w:fldCharType="separate"/>
      </w:r>
      <w:r>
        <w:rPr>
          <w:noProof/>
        </w:rPr>
        <w:t>7</w:t>
      </w:r>
      <w:r>
        <w:rPr>
          <w:noProof/>
        </w:rPr>
        <w:fldChar w:fldCharType="end"/>
      </w:r>
    </w:p>
    <w:p w14:paraId="6B7BB4D7" w14:textId="32B3CA25" w:rsidR="009342DA" w:rsidRDefault="009342DA">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_Toc87524466 \h </w:instrText>
      </w:r>
      <w:r>
        <w:rPr>
          <w:noProof/>
        </w:rPr>
      </w:r>
      <w:r>
        <w:rPr>
          <w:noProof/>
        </w:rPr>
        <w:fldChar w:fldCharType="separate"/>
      </w:r>
      <w:r>
        <w:rPr>
          <w:noProof/>
        </w:rPr>
        <w:t>8</w:t>
      </w:r>
      <w:r>
        <w:rPr>
          <w:noProof/>
        </w:rPr>
        <w:fldChar w:fldCharType="end"/>
      </w:r>
    </w:p>
    <w:p w14:paraId="1B37F128" w14:textId="03D59D36" w:rsidR="005414C0" w:rsidRPr="00E962FE" w:rsidRDefault="00A469E0" w:rsidP="005414C0">
      <w:pPr>
        <w:jc w:val="center"/>
        <w:rPr>
          <w:b/>
          <w:bCs/>
          <w:szCs w:val="28"/>
        </w:rPr>
      </w:pPr>
      <w:r w:rsidRPr="00E962FE">
        <w:rPr>
          <w:b/>
          <w:bCs/>
          <w:szCs w:val="28"/>
        </w:rPr>
        <w:fldChar w:fldCharType="end"/>
      </w:r>
    </w:p>
    <w:p w14:paraId="18BD665D" w14:textId="73343E07"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87524462"/>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0D2C4FB9"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587247B" w14:textId="77777777" w:rsidR="007472F1" w:rsidRPr="007472F1" w:rsidRDefault="007472F1" w:rsidP="00E526EA"/>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87524463"/>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87524464"/>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7C9C78A8" w14:textId="670F0A43" w:rsidR="000F7BF4" w:rsidRPr="006761B4" w:rsidRDefault="00CA1A2E" w:rsidP="006761B4">
      <w:r w:rsidRPr="00CA1A2E">
        <w:t xml:space="preserve">Одними из новых областей применения являются автономные транспортные средства, включая подводные, наземные (роботы, машины), воздушные. Уровень автономности изменяется от полностью автономных (беспилотных)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w:t>
      </w:r>
      <w:r w:rsidRPr="00CA1A2E">
        <w:lastRenderedPageBreak/>
        <w:t>запустить в массовое производство.</w:t>
      </w:r>
      <w:r w:rsidR="000F7BF4">
        <w:t xml:space="preserve"> </w:t>
      </w:r>
    </w:p>
    <w:p w14:paraId="042316FF" w14:textId="2F6F0B07" w:rsidR="000F7BF4" w:rsidRDefault="000F7BF4">
      <w:pPr>
        <w:widowControl/>
        <w:autoSpaceDE/>
        <w:autoSpaceDN/>
        <w:adjustRightInd/>
        <w:spacing w:after="160" w:line="259" w:lineRule="auto"/>
        <w:ind w:firstLine="0"/>
        <w:jc w:val="left"/>
      </w:pPr>
      <w:r>
        <w:br w:type="page"/>
      </w:r>
    </w:p>
    <w:p w14:paraId="5206D7AB" w14:textId="53844751" w:rsidR="00A07FF5" w:rsidRDefault="00A07FF5" w:rsidP="00A07FF5">
      <w:pPr>
        <w:pStyle w:val="1"/>
      </w:pPr>
      <w:r>
        <w:lastRenderedPageBreak/>
        <w:t>ЗАДАЧИ КОМПЬЮТЕРНОГО ЗРЕНИЯ</w:t>
      </w:r>
    </w:p>
    <w:p w14:paraId="6517AB7A" w14:textId="19583049" w:rsidR="00BA630C" w:rsidRDefault="00B75EAB" w:rsidP="00695312">
      <w:pPr>
        <w:ind w:firstLine="708"/>
      </w:pPr>
      <w:r>
        <w:t>Распознавание объектов</w:t>
      </w:r>
      <w:bookmarkStart w:id="4" w:name="_Toc87524466"/>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6B8CA9F0" w:rsidR="007C168B" w:rsidRDefault="007C168B" w:rsidP="007C168B">
      <w:pPr>
        <w:pStyle w:val="1"/>
      </w:pPr>
      <w:r>
        <w:lastRenderedPageBreak/>
        <w:t>ПОЧЕМУ ТАК СЛОЖНО КОМПЬЮТЕРНОЕ ЗРЕНИЕ?</w:t>
      </w:r>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r>
        <w:lastRenderedPageBreak/>
        <w:t>ПРЕДСТАВЛЕНИЕ ИЗОБРАЖЕНИЯ</w:t>
      </w:r>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Default="00D116D0" w:rsidP="00D116D0">
      <w:pPr>
        <w:ind w:firstLine="0"/>
        <w:jc w:val="center"/>
        <w:rPr>
          <w:b/>
          <w:bCs/>
        </w:rPr>
      </w:pPr>
      <w:r>
        <w:rPr>
          <w:b/>
          <w:bCs/>
        </w:rPr>
        <w:t>Окна</w:t>
      </w:r>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r>
        <w:lastRenderedPageBreak/>
        <w:t>МЕТОДЫ РАБОТЫ С ИЗОБРАЖЕНИЯМИ</w:t>
      </w:r>
    </w:p>
    <w:p w14:paraId="69FF8534" w14:textId="77777777" w:rsidR="00AD1267" w:rsidRDefault="00AD1267" w:rsidP="00AD1267">
      <w:pPr>
        <w:jc w:val="center"/>
      </w:pPr>
      <w:r w:rsidRPr="00BD691D">
        <w:rPr>
          <w:b/>
          <w:bCs/>
        </w:rPr>
        <w:t>Линейные фильтры</w:t>
      </w:r>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AD1267">
      <w:pPr>
        <w:ind w:firstLine="708"/>
        <w:jc w:val="center"/>
        <w:rPr>
          <w:b/>
          <w:bCs/>
        </w:rPr>
      </w:pPr>
      <w:r w:rsidRPr="00BD691D">
        <w:rPr>
          <w:b/>
          <w:bCs/>
        </w:rPr>
        <w:t>Нелинейные фильтры</w:t>
      </w:r>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AD1267">
      <w:pPr>
        <w:jc w:val="center"/>
        <w:rPr>
          <w:b/>
          <w:bCs/>
        </w:rPr>
      </w:pPr>
      <w:r w:rsidRPr="00562359">
        <w:rPr>
          <w:b/>
          <w:bCs/>
        </w:rPr>
        <w:t>Пороговая обработка</w:t>
      </w:r>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0D317F">
      <w:pPr>
        <w:ind w:firstLine="708"/>
        <w:jc w:val="center"/>
        <w:rPr>
          <w:b/>
          <w:bCs/>
        </w:rPr>
      </w:pPr>
      <w:r>
        <w:rPr>
          <w:b/>
          <w:bCs/>
        </w:rPr>
        <w:t>Дилатация и эрозия</w:t>
      </w:r>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398C34A4" w14:textId="203BA0E1" w:rsidR="000513D6"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p>
    <w:p w14:paraId="2A97A9B6" w14:textId="46CE695E" w:rsidR="000513D6" w:rsidRPr="00D9065E" w:rsidRDefault="000513D6" w:rsidP="00932A73">
      <w:pPr>
        <w:ind w:firstLine="0"/>
      </w:pPr>
      <w:r>
        <w:tab/>
      </w:r>
      <w:r w:rsidR="00932A73">
        <w:t>(</w:t>
      </w:r>
      <w:proofErr w:type="spellStart"/>
      <w:r w:rsidR="00932A73">
        <w:t>мб</w:t>
      </w:r>
      <w:proofErr w:type="spellEnd"/>
      <w:r w:rsidR="00932A73">
        <w:t xml:space="preserve"> здесь тоже что-то написать)</w:t>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t>Эрозия 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61BD4BF4" w14:textId="5919C171" w:rsidR="00932A73" w:rsidRDefault="00976BD0" w:rsidP="00976BD0">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03451C04" w14:textId="234679D9" w:rsidR="00883821" w:rsidRDefault="00AD1267" w:rsidP="00932A73">
      <w:pPr>
        <w:ind w:firstLine="0"/>
      </w:pPr>
      <w:r>
        <w:br w:type="page"/>
      </w:r>
      <w:r w:rsidR="00883821">
        <w:lastRenderedPageBreak/>
        <w:br w:type="page"/>
      </w:r>
    </w:p>
    <w:p w14:paraId="2F6C1157" w14:textId="7AA411A0" w:rsidR="00B2324D" w:rsidRPr="001E53DC" w:rsidRDefault="00B2324D" w:rsidP="009342DA">
      <w:pPr>
        <w:pStyle w:val="1"/>
      </w:pPr>
      <w:r w:rsidRPr="001E53DC">
        <w:lastRenderedPageBreak/>
        <w:t>СПИСОК ИСПОЛЬЗОВАННЫХ ИСТОЧНИКОВ И ЛИТЕРАТУРЫ</w:t>
      </w:r>
      <w:bookmarkEnd w:id="4"/>
    </w:p>
    <w:p w14:paraId="77BD1D9A" w14:textId="189FE112"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488A3F1D" w14:textId="789CD033" w:rsidR="00883821" w:rsidRDefault="00976BD0" w:rsidP="00442A8A">
      <w:pPr>
        <w:pStyle w:val="a7"/>
        <w:widowControl/>
        <w:numPr>
          <w:ilvl w:val="0"/>
          <w:numId w:val="1"/>
        </w:numPr>
        <w:autoSpaceDE/>
        <w:autoSpaceDN/>
        <w:adjustRightInd/>
        <w:spacing w:after="160" w:line="259" w:lineRule="auto"/>
        <w:rPr>
          <w:lang w:val="en-US"/>
        </w:rPr>
      </w:pPr>
      <w:hyperlink r:id="rId19" w:history="1">
        <w:r w:rsidRPr="00BB63EE">
          <w:rPr>
            <w:rStyle w:val="a8"/>
            <w:lang w:val="en-US"/>
          </w:rPr>
          <w:t>http://edu.mmcs.sfedu.ru/pluginfile.php/15283/mod_resource/content/10/Binary.pdf</w:t>
        </w:r>
      </w:hyperlink>
    </w:p>
    <w:p w14:paraId="63331BBE" w14:textId="79264F13" w:rsidR="00976BD0" w:rsidRPr="007C168B" w:rsidRDefault="00976BD0" w:rsidP="00976BD0">
      <w:pPr>
        <w:pStyle w:val="a7"/>
        <w:widowControl/>
        <w:numPr>
          <w:ilvl w:val="0"/>
          <w:numId w:val="1"/>
        </w:numPr>
        <w:autoSpaceDE/>
        <w:autoSpaceDN/>
        <w:adjustRightInd/>
        <w:spacing w:after="160" w:line="259" w:lineRule="auto"/>
        <w:rPr>
          <w:lang w:val="en-US"/>
        </w:rPr>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- 2019</w:t>
      </w:r>
    </w:p>
    <w:sectPr w:rsidR="00976BD0" w:rsidRPr="007C168B"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E960" w14:textId="77777777" w:rsidR="00C10453" w:rsidRDefault="00C10453" w:rsidP="00E962FE">
      <w:r>
        <w:separator/>
      </w:r>
    </w:p>
  </w:endnote>
  <w:endnote w:type="continuationSeparator" w:id="0">
    <w:p w14:paraId="6B8C723F" w14:textId="77777777" w:rsidR="00C10453" w:rsidRDefault="00C10453"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F9D7" w14:textId="77777777" w:rsidR="00C10453" w:rsidRDefault="00C10453" w:rsidP="00E962FE">
      <w:r>
        <w:separator/>
      </w:r>
    </w:p>
  </w:footnote>
  <w:footnote w:type="continuationSeparator" w:id="0">
    <w:p w14:paraId="36A9FFDE" w14:textId="77777777" w:rsidR="00C10453" w:rsidRDefault="00C10453"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513D6"/>
    <w:rsid w:val="000D317F"/>
    <w:rsid w:val="000F7BF4"/>
    <w:rsid w:val="00120CCE"/>
    <w:rsid w:val="00121A4F"/>
    <w:rsid w:val="001512F0"/>
    <w:rsid w:val="0016603E"/>
    <w:rsid w:val="001C49DA"/>
    <w:rsid w:val="002153CD"/>
    <w:rsid w:val="0022117F"/>
    <w:rsid w:val="002229D7"/>
    <w:rsid w:val="002360DA"/>
    <w:rsid w:val="002D31B8"/>
    <w:rsid w:val="003327E9"/>
    <w:rsid w:val="00346293"/>
    <w:rsid w:val="003B6A24"/>
    <w:rsid w:val="003C7240"/>
    <w:rsid w:val="00442A8A"/>
    <w:rsid w:val="0047059B"/>
    <w:rsid w:val="004D55AD"/>
    <w:rsid w:val="005414C0"/>
    <w:rsid w:val="00562E77"/>
    <w:rsid w:val="00564C5C"/>
    <w:rsid w:val="00580BA9"/>
    <w:rsid w:val="005B5FDC"/>
    <w:rsid w:val="005C5BD0"/>
    <w:rsid w:val="005F1B96"/>
    <w:rsid w:val="006745CE"/>
    <w:rsid w:val="006761B4"/>
    <w:rsid w:val="00695312"/>
    <w:rsid w:val="006A0A3A"/>
    <w:rsid w:val="006E4E42"/>
    <w:rsid w:val="007029A5"/>
    <w:rsid w:val="00705AD6"/>
    <w:rsid w:val="007241A6"/>
    <w:rsid w:val="007472F1"/>
    <w:rsid w:val="007A3090"/>
    <w:rsid w:val="007C168B"/>
    <w:rsid w:val="00883821"/>
    <w:rsid w:val="008B3CF7"/>
    <w:rsid w:val="00907F78"/>
    <w:rsid w:val="00932A73"/>
    <w:rsid w:val="009342DA"/>
    <w:rsid w:val="009626EE"/>
    <w:rsid w:val="009709E5"/>
    <w:rsid w:val="00976BD0"/>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9065E"/>
    <w:rsid w:val="00DD697B"/>
    <w:rsid w:val="00E526EA"/>
    <w:rsid w:val="00E6398E"/>
    <w:rsid w:val="00E77B7E"/>
    <w:rsid w:val="00E962FE"/>
    <w:rsid w:val="00EA56B3"/>
    <w:rsid w:val="00EC1362"/>
    <w:rsid w:val="00F213BE"/>
    <w:rsid w:val="00F36DC6"/>
    <w:rsid w:val="00F405DF"/>
    <w:rsid w:val="00F5121A"/>
    <w:rsid w:val="00F54422"/>
    <w:rsid w:val="00FA1C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edu.mmcs.sfedu.ru/pluginfile.php/15283/mod_resource/content/10/Binar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16</Pages>
  <Words>2108</Words>
  <Characters>12019</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Илья Королькевич</cp:lastModifiedBy>
  <cp:revision>6</cp:revision>
  <dcterms:created xsi:type="dcterms:W3CDTF">2022-01-06T14:29:00Z</dcterms:created>
  <dcterms:modified xsi:type="dcterms:W3CDTF">2022-01-08T08:46:00Z</dcterms:modified>
</cp:coreProperties>
</file>