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Relationship Id="rId4" Target="docProps/custom.xml" Type="http://schemas.openxmlformats.org/officeDocument/2006/relationships/custom-properties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E8F13" w14:textId="09781104" w:rsidR="00CA6CB3" w:rsidRPr="00BB0B49" w:rsidRDefault="00CA6CB3" w:rsidP="0040549B">
      <w:pPr>
        <w:pageBreakBefore/>
        <w:spacing w:after="0"/>
        <w:rPr>
          <w:rFonts w:ascii="Times New Roman" w:hAnsi="Times New Roman"/>
          <w:sz w:val="24"/>
          <w:szCs w:val="24"/>
        </w:rPr>
      </w:pPr>
      <w:r w:rsidRPr="00BB0B49">
        <w:rPr>
          <w:rFonts w:ascii="Times New Roman" w:hAnsi="Times New Roman"/>
          <w:sz w:val="24"/>
          <w:szCs w:val="24"/>
        </w:rPr>
        <w:t>EN</w:t>
      </w:r>
      <w:r w:rsidRPr="00BB0B49">
        <w:rPr>
          <w:rFonts w:ascii="Times New Roman" w:hAnsi="Times New Roman"/>
          <w:sz w:val="24"/>
          <w:szCs w:val="24"/>
        </w:rPr>
        <w:cr/>
        <w:t>P-001352/2024</w:t>
      </w:r>
      <w:r w:rsidRPr="00BB0B49">
        <w:rPr>
          <w:rFonts w:ascii="Times New Roman" w:hAnsi="Times New Roman"/>
          <w:sz w:val="24"/>
          <w:szCs w:val="24"/>
        </w:rPr>
        <w:cr/>
        <w:t xml:space="preserve">Answer given by Vice-President </w:t>
      </w:r>
      <w:proofErr w:type="spellStart"/>
      <w:r w:rsidRPr="00BB0B49">
        <w:rPr>
          <w:rFonts w:ascii="Times New Roman" w:hAnsi="Times New Roman"/>
          <w:sz w:val="24"/>
          <w:szCs w:val="24"/>
        </w:rPr>
        <w:t>Jourová</w:t>
      </w:r>
      <w:proofErr w:type="spellEnd"/>
      <w:r w:rsidRPr="00BB0B49">
        <w:rPr>
          <w:rFonts w:ascii="Times New Roman" w:hAnsi="Times New Roman"/>
          <w:sz w:val="24"/>
          <w:szCs w:val="24"/>
        </w:rPr>
        <w:cr/>
        <w:t>on behalf of the European Commission</w:t>
      </w:r>
      <w:r w:rsidRPr="00BB0B49">
        <w:rPr>
          <w:rFonts w:ascii="Times New Roman" w:hAnsi="Times New Roman"/>
          <w:sz w:val="24"/>
          <w:szCs w:val="24"/>
        </w:rPr>
        <w:cr/>
        <w:t>
(12.6.2024)</w:t>
      </w:r>
      <w:proofErr w:type="spellStart"/>
      <w:proofErr w:type="gramStart"/>
      <w:proofErr w:type="spellEnd"/>
      <w:proofErr w:type="gramEnd"/>
      <w:r w:rsidRPr="00BB0B49">
        <w:rPr>
          <w:rFonts w:ascii="Times New Roman" w:hAnsi="Times New Roman"/>
          <w:sz w:val="24"/>
          <w:szCs w:val="24"/>
        </w:rPr>
        <w:cr/>
      </w:r>
    </w:p>
    <w:p w14:paraId="5953BEFE" w14:textId="77777777" w:rsidR="001E4C25" w:rsidRPr="00BB0B49" w:rsidRDefault="001E4C25" w:rsidP="0040549B">
      <w:pPr>
        <w:spacing w:after="0"/>
        <w:rPr>
          <w:rFonts w:ascii="Times New Roman" w:hAnsi="Times New Roman"/>
          <w:sz w:val="24"/>
          <w:szCs w:val="24"/>
        </w:rPr>
      </w:pPr>
    </w:p>
    <w:p w14:paraId="7CD2F01C" w14:textId="3CCF2467" w:rsidR="006C3620" w:rsidRPr="00BB0B49" w:rsidRDefault="00212F97" w:rsidP="0040549B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BB0B49">
        <w:rPr>
          <w:rFonts w:ascii="Times New Roman" w:hAnsi="Times New Roman"/>
          <w:sz w:val="24"/>
          <w:szCs w:val="24"/>
        </w:rPr>
        <w:t>Irrespective of the formal denomination of the agreement for video games</w:t>
      </w:r>
      <w:r w:rsidR="00D95E94" w:rsidRPr="00BB0B49">
        <w:rPr>
          <w:rFonts w:ascii="Times New Roman" w:hAnsi="Times New Roman"/>
          <w:sz w:val="24"/>
          <w:szCs w:val="24"/>
        </w:rPr>
        <w:t xml:space="preserve">, </w:t>
      </w:r>
      <w:r w:rsidRPr="00BB0B49">
        <w:rPr>
          <w:rFonts w:ascii="Times New Roman" w:hAnsi="Times New Roman"/>
          <w:sz w:val="24"/>
          <w:szCs w:val="24"/>
        </w:rPr>
        <w:t>their material terms, such as regarding their duration and dependence on the game provider’</w:t>
      </w:r>
      <w:r w:rsidR="00A23FAF" w:rsidRPr="00BB0B49">
        <w:rPr>
          <w:rFonts w:ascii="Times New Roman" w:hAnsi="Times New Roman"/>
          <w:sz w:val="24"/>
          <w:szCs w:val="24"/>
        </w:rPr>
        <w:t>s</w:t>
      </w:r>
      <w:r w:rsidRPr="00BB0B49">
        <w:rPr>
          <w:rFonts w:ascii="Times New Roman" w:hAnsi="Times New Roman"/>
          <w:sz w:val="24"/>
          <w:szCs w:val="24"/>
        </w:rPr>
        <w:t xml:space="preserve"> servers</w:t>
      </w:r>
      <w:r w:rsidR="00CA6CB3" w:rsidRPr="00BB0B49">
        <w:rPr>
          <w:rFonts w:ascii="Times New Roman" w:hAnsi="Times New Roman"/>
          <w:sz w:val="24"/>
          <w:szCs w:val="24"/>
        </w:rPr>
        <w:t>, and the</w:t>
      </w:r>
      <w:r w:rsidR="0017606A" w:rsidRPr="00BB0B49">
        <w:rPr>
          <w:rFonts w:ascii="Times New Roman" w:hAnsi="Times New Roman"/>
          <w:sz w:val="24"/>
          <w:szCs w:val="24"/>
        </w:rPr>
        <w:t xml:space="preserve"> </w:t>
      </w:r>
      <w:r w:rsidR="00CA6CB3" w:rsidRPr="00BB0B49">
        <w:rPr>
          <w:rFonts w:ascii="Times New Roman" w:hAnsi="Times New Roman"/>
          <w:sz w:val="24"/>
          <w:szCs w:val="24"/>
        </w:rPr>
        <w:t>associated marketing and advertising practices</w:t>
      </w:r>
      <w:r w:rsidRPr="00BB0B49">
        <w:rPr>
          <w:rFonts w:ascii="Times New Roman" w:hAnsi="Times New Roman"/>
          <w:sz w:val="24"/>
          <w:szCs w:val="24"/>
        </w:rPr>
        <w:t>,</w:t>
      </w:r>
      <w:r w:rsidR="00D95E94" w:rsidRPr="00BB0B49">
        <w:rPr>
          <w:rFonts w:ascii="Times New Roman" w:hAnsi="Times New Roman"/>
          <w:sz w:val="24"/>
          <w:szCs w:val="24"/>
        </w:rPr>
        <w:t xml:space="preserve"> </w:t>
      </w:r>
      <w:r w:rsidR="00CA6CB3" w:rsidRPr="00BB0B49">
        <w:rPr>
          <w:rFonts w:ascii="Times New Roman" w:hAnsi="Times New Roman"/>
          <w:sz w:val="24"/>
          <w:szCs w:val="24"/>
        </w:rPr>
        <w:t>are subject to the transparency and fairness requirements</w:t>
      </w:r>
      <w:r w:rsidR="00D95E94" w:rsidRPr="00BB0B49">
        <w:rPr>
          <w:rFonts w:ascii="Times New Roman" w:hAnsi="Times New Roman"/>
          <w:sz w:val="24"/>
          <w:szCs w:val="24"/>
        </w:rPr>
        <w:t xml:space="preserve"> in Directives 93/13/EEC</w:t>
      </w:r>
      <w:r w:rsidR="000776F8" w:rsidRPr="00BB0B49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="00D95E94" w:rsidRPr="00BB0B49">
        <w:rPr>
          <w:rFonts w:ascii="Times New Roman" w:hAnsi="Times New Roman"/>
          <w:sz w:val="24"/>
          <w:szCs w:val="24"/>
        </w:rPr>
        <w:t xml:space="preserve">, </w:t>
      </w:r>
      <w:r w:rsidR="0017606A" w:rsidRPr="00BB0B49">
        <w:rPr>
          <w:rFonts w:ascii="Times New Roman" w:hAnsi="Times New Roman"/>
          <w:sz w:val="24"/>
          <w:szCs w:val="24"/>
        </w:rPr>
        <w:t>2005/29/EC</w:t>
      </w:r>
      <w:r w:rsidR="00EE15BD" w:rsidRPr="00BB0B49"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  <w:r w:rsidR="0017606A" w:rsidRPr="00BB0B49">
        <w:rPr>
          <w:rFonts w:ascii="Times New Roman" w:hAnsi="Times New Roman"/>
          <w:sz w:val="24"/>
          <w:szCs w:val="24"/>
        </w:rPr>
        <w:t xml:space="preserve"> and 2011/83/EU</w:t>
      </w:r>
      <w:r w:rsidR="00EE15BD" w:rsidRPr="00BB0B49">
        <w:rPr>
          <w:rStyle w:val="FootnoteReference"/>
          <w:rFonts w:ascii="Times New Roman" w:hAnsi="Times New Roman" w:cs="Times New Roman"/>
          <w:sz w:val="24"/>
          <w:szCs w:val="24"/>
        </w:rPr>
        <w:footnoteReference w:id="3"/>
      </w:r>
      <w:r w:rsidR="0017606A" w:rsidRPr="00BB0B49">
        <w:rPr>
          <w:rFonts w:ascii="Times New Roman" w:hAnsi="Times New Roman"/>
          <w:sz w:val="24"/>
          <w:szCs w:val="24"/>
        </w:rPr>
        <w:t>.</w:t>
      </w:r>
      <w:r w:rsidR="00D31A34" w:rsidRPr="00BB0B49">
        <w:rPr>
          <w:rFonts w:ascii="Times New Roman" w:hAnsi="Times New Roman"/>
          <w:sz w:val="24"/>
          <w:szCs w:val="24"/>
        </w:rPr>
        <w:t xml:space="preserve"> </w:t>
      </w:r>
      <w:r w:rsidR="00D95E94" w:rsidRPr="00BB0B49">
        <w:rPr>
          <w:rFonts w:ascii="Times New Roman" w:hAnsi="Times New Roman"/>
          <w:sz w:val="24"/>
          <w:szCs w:val="24"/>
        </w:rPr>
        <w:t>Directive 2019/770/EU</w:t>
      </w:r>
      <w:r w:rsidR="00D95E94" w:rsidRPr="00BB0B49">
        <w:rPr>
          <w:rStyle w:val="FootnoteReference"/>
          <w:rFonts w:ascii="Times New Roman" w:hAnsi="Times New Roman" w:cs="Times New Roman"/>
          <w:sz w:val="24"/>
          <w:szCs w:val="24"/>
        </w:rPr>
        <w:footnoteReference w:id="4"/>
      </w:r>
      <w:r w:rsidR="00D95E94" w:rsidRPr="00BB0B49">
        <w:rPr>
          <w:rFonts w:ascii="Times New Roman" w:hAnsi="Times New Roman"/>
          <w:sz w:val="24"/>
          <w:szCs w:val="24"/>
        </w:rPr>
        <w:t xml:space="preserve"> </w:t>
      </w:r>
      <w:r w:rsidR="0017606A" w:rsidRPr="00BB0B49">
        <w:rPr>
          <w:rFonts w:ascii="Times New Roman" w:hAnsi="Times New Roman"/>
          <w:sz w:val="24"/>
          <w:szCs w:val="24"/>
        </w:rPr>
        <w:t>provides the consumer with remedies in the event of lack of conformity with the contract.</w:t>
      </w:r>
      <w:r w:rsidR="00D95E94" w:rsidRPr="00BB0B49">
        <w:rPr>
          <w:rFonts w:ascii="Times New Roman" w:hAnsi="Times New Roman"/>
          <w:sz w:val="24"/>
          <w:szCs w:val="24"/>
        </w:rPr>
        <w:t xml:space="preserve"> </w:t>
      </w:r>
      <w:r w:rsidRPr="00BB0B49">
        <w:rPr>
          <w:rFonts w:ascii="Times New Roman" w:hAnsi="Times New Roman"/>
          <w:sz w:val="24"/>
          <w:szCs w:val="24"/>
        </w:rPr>
        <w:t>Specifically, i</w:t>
      </w:r>
      <w:r w:rsidR="00D95E94" w:rsidRPr="00BB0B49">
        <w:rPr>
          <w:rFonts w:ascii="Times New Roman" w:hAnsi="Times New Roman"/>
          <w:sz w:val="24"/>
          <w:szCs w:val="24"/>
        </w:rPr>
        <w:t xml:space="preserve">n the event of termination of a contract for the supply of </w:t>
      </w:r>
      <w:r w:rsidR="00A23FAF" w:rsidRPr="00BB0B49">
        <w:rPr>
          <w:rFonts w:ascii="Times New Roman" w:hAnsi="Times New Roman"/>
          <w:sz w:val="24"/>
          <w:szCs w:val="24"/>
        </w:rPr>
        <w:t>the video game</w:t>
      </w:r>
      <w:r w:rsidR="00D95E94" w:rsidRPr="00BB0B49">
        <w:rPr>
          <w:rFonts w:ascii="Times New Roman" w:hAnsi="Times New Roman"/>
          <w:sz w:val="24"/>
          <w:szCs w:val="24"/>
        </w:rPr>
        <w:t xml:space="preserve"> over </w:t>
      </w:r>
      <w:proofErr w:type="gramStart"/>
      <w:r w:rsidR="00D95E94" w:rsidRPr="00BB0B49">
        <w:rPr>
          <w:rFonts w:ascii="Times New Roman" w:hAnsi="Times New Roman"/>
          <w:sz w:val="24"/>
          <w:szCs w:val="24"/>
        </w:rPr>
        <w:t>a period of time</w:t>
      </w:r>
      <w:proofErr w:type="gramEnd"/>
      <w:r w:rsidR="00D95E94" w:rsidRPr="00BB0B49">
        <w:rPr>
          <w:rFonts w:ascii="Times New Roman" w:hAnsi="Times New Roman"/>
          <w:sz w:val="24"/>
          <w:szCs w:val="24"/>
        </w:rPr>
        <w:t xml:space="preserve">, the provider must reimburse the consumer for the part of the price paid in advance for any remaining period of the contract if it had not been terminated. </w:t>
      </w:r>
      <w:bookmarkStart w:id="1" w:name="_Hlk166566145"/>
      <w:r w:rsidR="006C3620" w:rsidRPr="00BB0B49">
        <w:rPr>
          <w:rFonts w:ascii="Times New Roman" w:hAnsi="Times New Roman"/>
          <w:sz w:val="24"/>
          <w:szCs w:val="24"/>
        </w:rPr>
        <w:t xml:space="preserve">EU consumer protection legislation does not set specific requirements as to the duration of the supply of products, including of online video games. However, </w:t>
      </w:r>
      <w:r w:rsidR="00D95E94" w:rsidRPr="00BB0B49">
        <w:rPr>
          <w:rFonts w:ascii="Times New Roman" w:hAnsi="Times New Roman"/>
          <w:sz w:val="24"/>
          <w:szCs w:val="24"/>
        </w:rPr>
        <w:t>Directive 93/13/E</w:t>
      </w:r>
      <w:r w:rsidR="00F104F7" w:rsidRPr="00BB0B49">
        <w:rPr>
          <w:rFonts w:ascii="Times New Roman" w:hAnsi="Times New Roman"/>
          <w:sz w:val="24"/>
          <w:szCs w:val="24"/>
        </w:rPr>
        <w:t>E</w:t>
      </w:r>
      <w:r w:rsidR="00D95E94" w:rsidRPr="00BB0B49">
        <w:rPr>
          <w:rFonts w:ascii="Times New Roman" w:hAnsi="Times New Roman"/>
          <w:sz w:val="24"/>
          <w:szCs w:val="24"/>
        </w:rPr>
        <w:t xml:space="preserve">C prohibits </w:t>
      </w:r>
      <w:r w:rsidR="00C306BF" w:rsidRPr="00BB0B49">
        <w:rPr>
          <w:rFonts w:ascii="Times New Roman" w:hAnsi="Times New Roman"/>
          <w:sz w:val="24"/>
          <w:szCs w:val="24"/>
        </w:rPr>
        <w:t xml:space="preserve">unfair terms </w:t>
      </w:r>
      <w:r w:rsidR="007F234B" w:rsidRPr="00BB0B49">
        <w:rPr>
          <w:rFonts w:ascii="Times New Roman" w:hAnsi="Times New Roman"/>
          <w:sz w:val="24"/>
          <w:szCs w:val="24"/>
        </w:rPr>
        <w:t>causing</w:t>
      </w:r>
      <w:r w:rsidR="00C306BF" w:rsidRPr="00BB0B49">
        <w:rPr>
          <w:rFonts w:ascii="Times New Roman" w:hAnsi="Times New Roman"/>
          <w:sz w:val="24"/>
          <w:szCs w:val="24"/>
        </w:rPr>
        <w:t xml:space="preserve"> a significant imbalance</w:t>
      </w:r>
      <w:r w:rsidR="00DF3206" w:rsidRPr="00BB0B49">
        <w:rPr>
          <w:rFonts w:ascii="Times New Roman" w:hAnsi="Times New Roman"/>
          <w:sz w:val="24"/>
          <w:szCs w:val="24"/>
        </w:rPr>
        <w:t xml:space="preserve"> in the parties’ right</w:t>
      </w:r>
      <w:r w:rsidR="00B6434C" w:rsidRPr="00BB0B49">
        <w:rPr>
          <w:rFonts w:ascii="Times New Roman" w:hAnsi="Times New Roman"/>
          <w:sz w:val="24"/>
          <w:szCs w:val="24"/>
        </w:rPr>
        <w:t>s</w:t>
      </w:r>
      <w:r w:rsidR="00DF3206" w:rsidRPr="00BB0B49">
        <w:rPr>
          <w:rFonts w:ascii="Times New Roman" w:hAnsi="Times New Roman"/>
          <w:sz w:val="24"/>
          <w:szCs w:val="24"/>
        </w:rPr>
        <w:t xml:space="preserve"> and obligations</w:t>
      </w:r>
      <w:r w:rsidR="00C306BF" w:rsidRPr="00BB0B49">
        <w:rPr>
          <w:rFonts w:ascii="Times New Roman" w:hAnsi="Times New Roman"/>
          <w:sz w:val="24"/>
          <w:szCs w:val="24"/>
        </w:rPr>
        <w:t xml:space="preserve"> to the detriment of consumer</w:t>
      </w:r>
      <w:r w:rsidR="001A536A" w:rsidRPr="00BB0B49">
        <w:rPr>
          <w:rFonts w:ascii="Times New Roman" w:hAnsi="Times New Roman"/>
          <w:sz w:val="24"/>
          <w:szCs w:val="24"/>
        </w:rPr>
        <w:t>s</w:t>
      </w:r>
      <w:r w:rsidR="0080168D" w:rsidRPr="00BB0B49">
        <w:rPr>
          <w:rFonts w:ascii="Times New Roman" w:hAnsi="Times New Roman"/>
          <w:sz w:val="24"/>
          <w:szCs w:val="24"/>
        </w:rPr>
        <w:t>.</w:t>
      </w:r>
      <w:r w:rsidR="00C306BF" w:rsidRPr="00BB0B49">
        <w:rPr>
          <w:rFonts w:ascii="Times New Roman" w:hAnsi="Times New Roman"/>
          <w:sz w:val="24"/>
          <w:szCs w:val="24"/>
        </w:rPr>
        <w:t xml:space="preserve"> </w:t>
      </w:r>
      <w:r w:rsidR="00527526" w:rsidRPr="00BB0B49">
        <w:rPr>
          <w:rFonts w:ascii="Times New Roman" w:hAnsi="Times New Roman"/>
          <w:sz w:val="24"/>
          <w:szCs w:val="24"/>
        </w:rPr>
        <w:t>T</w:t>
      </w:r>
      <w:r w:rsidR="00D95E94" w:rsidRPr="00BB0B49">
        <w:rPr>
          <w:rFonts w:ascii="Times New Roman" w:hAnsi="Times New Roman"/>
          <w:sz w:val="24"/>
          <w:szCs w:val="24"/>
        </w:rPr>
        <w:t xml:space="preserve">erms </w:t>
      </w:r>
      <w:r w:rsidR="00487C08" w:rsidRPr="00BB0B49">
        <w:rPr>
          <w:rFonts w:ascii="Times New Roman" w:hAnsi="Times New Roman"/>
          <w:sz w:val="24"/>
          <w:szCs w:val="24"/>
        </w:rPr>
        <w:t xml:space="preserve">such as those </w:t>
      </w:r>
      <w:r w:rsidR="00F8785F" w:rsidRPr="00BB0B49">
        <w:rPr>
          <w:rFonts w:ascii="Times New Roman" w:hAnsi="Times New Roman"/>
          <w:sz w:val="24"/>
          <w:szCs w:val="24"/>
        </w:rPr>
        <w:t xml:space="preserve">related to </w:t>
      </w:r>
      <w:r w:rsidR="00F71573" w:rsidRPr="00BB0B49">
        <w:rPr>
          <w:rFonts w:ascii="Times New Roman" w:hAnsi="Times New Roman"/>
          <w:sz w:val="24"/>
          <w:szCs w:val="24"/>
        </w:rPr>
        <w:t>the</w:t>
      </w:r>
      <w:r w:rsidR="00F8785F" w:rsidRPr="00BB0B49">
        <w:rPr>
          <w:rFonts w:ascii="Times New Roman" w:hAnsi="Times New Roman"/>
          <w:sz w:val="24"/>
          <w:szCs w:val="24"/>
        </w:rPr>
        <w:t xml:space="preserve"> unilateral</w:t>
      </w:r>
      <w:r w:rsidR="0080168D" w:rsidRPr="00BB0B49">
        <w:rPr>
          <w:rFonts w:ascii="Times New Roman" w:hAnsi="Times New Roman"/>
          <w:sz w:val="24"/>
          <w:szCs w:val="24"/>
        </w:rPr>
        <w:t xml:space="preserve"> modif</w:t>
      </w:r>
      <w:r w:rsidR="00F8785F" w:rsidRPr="00BB0B49">
        <w:rPr>
          <w:rFonts w:ascii="Times New Roman" w:hAnsi="Times New Roman"/>
          <w:sz w:val="24"/>
          <w:szCs w:val="24"/>
        </w:rPr>
        <w:t>ication or</w:t>
      </w:r>
      <w:r w:rsidR="00D77837" w:rsidRPr="00BB0B49">
        <w:rPr>
          <w:rFonts w:ascii="Times New Roman" w:hAnsi="Times New Roman"/>
          <w:sz w:val="24"/>
          <w:szCs w:val="24"/>
        </w:rPr>
        <w:t xml:space="preserve"> </w:t>
      </w:r>
      <w:r w:rsidR="00F8785F" w:rsidRPr="00BB0B49">
        <w:rPr>
          <w:rFonts w:ascii="Times New Roman" w:hAnsi="Times New Roman"/>
          <w:sz w:val="24"/>
          <w:szCs w:val="24"/>
        </w:rPr>
        <w:t>termination</w:t>
      </w:r>
      <w:r w:rsidR="00F71573" w:rsidRPr="00BB0B49">
        <w:rPr>
          <w:rFonts w:ascii="Times New Roman" w:hAnsi="Times New Roman"/>
          <w:sz w:val="24"/>
          <w:szCs w:val="24"/>
        </w:rPr>
        <w:t xml:space="preserve"> </w:t>
      </w:r>
      <w:r w:rsidR="00B53813" w:rsidRPr="00BB0B49">
        <w:rPr>
          <w:rFonts w:ascii="Times New Roman" w:hAnsi="Times New Roman"/>
          <w:sz w:val="24"/>
          <w:szCs w:val="24"/>
        </w:rPr>
        <w:t xml:space="preserve">by the trader </w:t>
      </w:r>
      <w:r w:rsidR="00F8785F" w:rsidRPr="00BB0B49">
        <w:rPr>
          <w:rFonts w:ascii="Times New Roman" w:hAnsi="Times New Roman"/>
          <w:sz w:val="24"/>
          <w:szCs w:val="24"/>
        </w:rPr>
        <w:t xml:space="preserve">of </w:t>
      </w:r>
      <w:r w:rsidR="00D95E94" w:rsidRPr="00BB0B49">
        <w:rPr>
          <w:rFonts w:ascii="Times New Roman" w:hAnsi="Times New Roman"/>
          <w:sz w:val="24"/>
          <w:szCs w:val="24"/>
        </w:rPr>
        <w:t>a contract of indeterminate duration without reasonable notice</w:t>
      </w:r>
      <w:r w:rsidR="00B53813" w:rsidRPr="00BB0B49">
        <w:rPr>
          <w:rFonts w:ascii="Times New Roman" w:hAnsi="Times New Roman"/>
          <w:sz w:val="24"/>
          <w:szCs w:val="24"/>
        </w:rPr>
        <w:t xml:space="preserve"> </w:t>
      </w:r>
      <w:r w:rsidR="00527526" w:rsidRPr="00BB0B49">
        <w:rPr>
          <w:rFonts w:ascii="Times New Roman" w:hAnsi="Times New Roman"/>
          <w:sz w:val="24"/>
          <w:szCs w:val="24"/>
        </w:rPr>
        <w:t xml:space="preserve">may be </w:t>
      </w:r>
      <w:r w:rsidR="00487C08" w:rsidRPr="00BB0B49">
        <w:rPr>
          <w:rFonts w:ascii="Times New Roman" w:hAnsi="Times New Roman"/>
          <w:sz w:val="24"/>
          <w:szCs w:val="24"/>
        </w:rPr>
        <w:t xml:space="preserve">deemed </w:t>
      </w:r>
      <w:r w:rsidR="00527526" w:rsidRPr="00BB0B49">
        <w:rPr>
          <w:rFonts w:ascii="Times New Roman" w:hAnsi="Times New Roman"/>
          <w:sz w:val="24"/>
          <w:szCs w:val="24"/>
        </w:rPr>
        <w:t>unfair subject to a case-by-case assessment</w:t>
      </w:r>
      <w:r w:rsidR="00D77837" w:rsidRPr="00BB0B49">
        <w:rPr>
          <w:rStyle w:val="FootnoteReference"/>
          <w:rFonts w:ascii="Times New Roman" w:hAnsi="Times New Roman" w:cs="Times New Roman"/>
          <w:sz w:val="24"/>
          <w:szCs w:val="24"/>
        </w:rPr>
        <w:footnoteReference w:id="5"/>
      </w:r>
      <w:r w:rsidR="002B0F9C">
        <w:rPr>
          <w:rFonts w:ascii="Times New Roman" w:hAnsi="Times New Roman"/>
          <w:sz w:val="24"/>
          <w:szCs w:val="24"/>
        </w:rPr>
        <w:t>.</w:t>
      </w:r>
    </w:p>
    <w:p w14:paraId="43525A35" w14:textId="77777777" w:rsidR="001E4C25" w:rsidRPr="00BB0B49" w:rsidRDefault="001E4C25" w:rsidP="0040549B">
      <w:pPr>
        <w:spacing w:after="0"/>
        <w:jc w:val="both"/>
        <w:rPr>
          <w:rFonts w:ascii="Times New Roman" w:hAnsi="Times New Roman"/>
          <w:sz w:val="24"/>
          <w:szCs w:val="24"/>
        </w:rPr>
      </w:pPr>
    </w:p>
    <w:bookmarkEnd w:id="1"/>
    <w:p w14:paraId="495B7CCB" w14:textId="203BACBB" w:rsidR="00CA6CB3" w:rsidRPr="00BB0B49" w:rsidRDefault="00CA6CB3" w:rsidP="0040549B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BB0B49">
        <w:rPr>
          <w:rFonts w:ascii="Times New Roman" w:hAnsi="Times New Roman"/>
          <w:sz w:val="24"/>
          <w:szCs w:val="24"/>
        </w:rPr>
        <w:t>Under EU copyright law</w:t>
      </w:r>
      <w:r w:rsidR="00852B12" w:rsidRPr="00BB0B49">
        <w:rPr>
          <w:rFonts w:ascii="Times New Roman" w:hAnsi="Times New Roman"/>
          <w:sz w:val="24"/>
          <w:szCs w:val="24"/>
        </w:rPr>
        <w:t xml:space="preserve"> namely</w:t>
      </w:r>
      <w:r w:rsidR="004E0D1E" w:rsidRPr="00BB0B49">
        <w:rPr>
          <w:rFonts w:ascii="Times New Roman" w:hAnsi="Times New Roman"/>
          <w:sz w:val="24"/>
          <w:szCs w:val="24"/>
        </w:rPr>
        <w:t xml:space="preserve"> Directive 2009/24</w:t>
      </w:r>
      <w:r w:rsidR="00DB14FF" w:rsidRPr="00BB0B49">
        <w:rPr>
          <w:rStyle w:val="FootnoteReference"/>
          <w:rFonts w:ascii="Times New Roman" w:hAnsi="Times New Roman" w:cs="Times New Roman"/>
          <w:sz w:val="24"/>
          <w:szCs w:val="24"/>
        </w:rPr>
        <w:footnoteReference w:id="6"/>
      </w:r>
      <w:r w:rsidRPr="00BB0B49">
        <w:rPr>
          <w:rFonts w:ascii="Times New Roman" w:hAnsi="Times New Roman"/>
          <w:sz w:val="24"/>
          <w:szCs w:val="24"/>
        </w:rPr>
        <w:t xml:space="preserve">, </w:t>
      </w:r>
      <w:r w:rsidR="004E0D1E" w:rsidRPr="00BB0B49">
        <w:rPr>
          <w:rFonts w:ascii="Times New Roman" w:hAnsi="Times New Roman"/>
          <w:sz w:val="24"/>
          <w:szCs w:val="24"/>
        </w:rPr>
        <w:t>M</w:t>
      </w:r>
      <w:r w:rsidR="00C27669">
        <w:rPr>
          <w:rFonts w:ascii="Times New Roman" w:hAnsi="Times New Roman"/>
          <w:sz w:val="24"/>
          <w:szCs w:val="24"/>
        </w:rPr>
        <w:t xml:space="preserve">ember </w:t>
      </w:r>
      <w:r w:rsidR="004E0D1E" w:rsidRPr="00BB0B49">
        <w:rPr>
          <w:rFonts w:ascii="Times New Roman" w:hAnsi="Times New Roman"/>
          <w:sz w:val="24"/>
          <w:szCs w:val="24"/>
        </w:rPr>
        <w:t>S</w:t>
      </w:r>
      <w:r w:rsidR="00C27669">
        <w:rPr>
          <w:rFonts w:ascii="Times New Roman" w:hAnsi="Times New Roman"/>
          <w:sz w:val="24"/>
          <w:szCs w:val="24"/>
        </w:rPr>
        <w:t>tates</w:t>
      </w:r>
      <w:r w:rsidR="004E0D1E" w:rsidRPr="00BB0B49">
        <w:rPr>
          <w:rFonts w:ascii="Times New Roman" w:hAnsi="Times New Roman"/>
          <w:sz w:val="24"/>
          <w:szCs w:val="24"/>
        </w:rPr>
        <w:t xml:space="preserve"> are required to ensure</w:t>
      </w:r>
      <w:r w:rsidR="00290222" w:rsidRPr="00BB0B49">
        <w:rPr>
          <w:rFonts w:ascii="Times New Roman" w:hAnsi="Times New Roman"/>
          <w:sz w:val="24"/>
          <w:szCs w:val="24"/>
        </w:rPr>
        <w:t xml:space="preserve"> </w:t>
      </w:r>
      <w:r w:rsidR="004E0D1E" w:rsidRPr="00BB0B49">
        <w:rPr>
          <w:rFonts w:ascii="Times New Roman" w:hAnsi="Times New Roman"/>
          <w:sz w:val="24"/>
          <w:szCs w:val="24"/>
        </w:rPr>
        <w:t xml:space="preserve">that the exceptions which apply to lawful users provided therein are respected by the </w:t>
      </w:r>
      <w:r w:rsidR="00290222" w:rsidRPr="00BB0B49">
        <w:rPr>
          <w:rFonts w:ascii="Times New Roman" w:hAnsi="Times New Roman"/>
          <w:sz w:val="24"/>
          <w:szCs w:val="24"/>
        </w:rPr>
        <w:t xml:space="preserve">rightsholder </w:t>
      </w:r>
      <w:r w:rsidR="004E0D1E" w:rsidRPr="00BB0B49">
        <w:rPr>
          <w:rFonts w:ascii="Times New Roman" w:hAnsi="Times New Roman"/>
          <w:sz w:val="24"/>
          <w:szCs w:val="24"/>
        </w:rPr>
        <w:t xml:space="preserve">in setting the contractual </w:t>
      </w:r>
      <w:r w:rsidRPr="00BB0B49">
        <w:rPr>
          <w:rFonts w:ascii="Times New Roman" w:hAnsi="Times New Roman"/>
          <w:sz w:val="24"/>
          <w:szCs w:val="24"/>
        </w:rPr>
        <w:t>terms of use of the video game</w:t>
      </w:r>
      <w:r w:rsidR="004E0D1E" w:rsidRPr="00BB0B49">
        <w:rPr>
          <w:rFonts w:ascii="Times New Roman" w:hAnsi="Times New Roman"/>
          <w:sz w:val="24"/>
          <w:szCs w:val="24"/>
        </w:rPr>
        <w:t xml:space="preserve">. However, issues such as the </w:t>
      </w:r>
      <w:r w:rsidRPr="00BB0B49">
        <w:rPr>
          <w:rFonts w:ascii="Times New Roman" w:hAnsi="Times New Roman"/>
          <w:sz w:val="24"/>
          <w:szCs w:val="24"/>
        </w:rPr>
        <w:t>availability</w:t>
      </w:r>
      <w:r w:rsidR="00212F97" w:rsidRPr="00BB0B49">
        <w:rPr>
          <w:rFonts w:ascii="Times New Roman" w:hAnsi="Times New Roman"/>
          <w:sz w:val="24"/>
          <w:szCs w:val="24"/>
        </w:rPr>
        <w:t xml:space="preserve"> </w:t>
      </w:r>
      <w:r w:rsidR="004E0D1E" w:rsidRPr="00BB0B49">
        <w:rPr>
          <w:rFonts w:ascii="Times New Roman" w:hAnsi="Times New Roman"/>
          <w:sz w:val="24"/>
          <w:szCs w:val="24"/>
        </w:rPr>
        <w:t xml:space="preserve">of the videogame </w:t>
      </w:r>
      <w:r w:rsidR="00212F97" w:rsidRPr="00BB0B49">
        <w:rPr>
          <w:rFonts w:ascii="Times New Roman" w:hAnsi="Times New Roman"/>
          <w:sz w:val="24"/>
          <w:szCs w:val="24"/>
        </w:rPr>
        <w:t>and</w:t>
      </w:r>
      <w:r w:rsidR="0017606A" w:rsidRPr="00BB0B49">
        <w:rPr>
          <w:rFonts w:ascii="Times New Roman" w:hAnsi="Times New Roman"/>
          <w:sz w:val="24"/>
          <w:szCs w:val="24"/>
        </w:rPr>
        <w:t xml:space="preserve"> reliance on online servers and the possibility that </w:t>
      </w:r>
      <w:r w:rsidR="00024F77" w:rsidRPr="00BB0B49">
        <w:rPr>
          <w:rFonts w:ascii="Times New Roman" w:hAnsi="Times New Roman"/>
          <w:sz w:val="24"/>
          <w:szCs w:val="24"/>
        </w:rPr>
        <w:t>the game</w:t>
      </w:r>
      <w:r w:rsidR="0017606A" w:rsidRPr="00BB0B49">
        <w:rPr>
          <w:rFonts w:ascii="Times New Roman" w:hAnsi="Times New Roman"/>
          <w:sz w:val="24"/>
          <w:szCs w:val="24"/>
        </w:rPr>
        <w:t xml:space="preserve"> may be discontinued in the future</w:t>
      </w:r>
      <w:r w:rsidR="004E0D1E" w:rsidRPr="00BB0B49">
        <w:rPr>
          <w:rFonts w:ascii="Times New Roman" w:hAnsi="Times New Roman"/>
          <w:sz w:val="24"/>
          <w:szCs w:val="24"/>
        </w:rPr>
        <w:t xml:space="preserve"> do not fall within the scope of EU copyright law</w:t>
      </w:r>
      <w:r w:rsidR="0017606A" w:rsidRPr="00BB0B49">
        <w:rPr>
          <w:rFonts w:ascii="Times New Roman" w:hAnsi="Times New Roman"/>
          <w:sz w:val="24"/>
          <w:szCs w:val="24"/>
        </w:rPr>
        <w:t>.</w:t>
      </w:r>
    </w:p>
    <w:p w14:paraId="55CF53E8" w14:textId="77777777" w:rsidR="001E4C25" w:rsidRPr="00BB0B49" w:rsidRDefault="001E4C25" w:rsidP="0040549B">
      <w:pPr>
        <w:spacing w:after="0"/>
        <w:jc w:val="both"/>
        <w:rPr>
          <w:rFonts w:ascii="Times New Roman" w:hAnsi="Times New Roman"/>
          <w:sz w:val="24"/>
          <w:szCs w:val="24"/>
        </w:rPr>
      </w:pPr>
    </w:p>
    <w:sectPr w:rsidR="001E4C25" w:rsidRPr="00BB0B49" w:rsidSect="00290222">
      <w:footnotePr>
        <w:numRestart w:val="eachPage"/>
      </w:footnotePr>
      <w:type w:val="continuous"/>
      <w:pgSz w:w="11906" w:h="16838"/>
      <w:pgMar w:top="1440" w:right="1440" w:bottom="2000" w:left="1440" w:header="568" w:footer="56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AC6B9" w14:textId="77777777" w:rsidR="00157624" w:rsidRDefault="00157624">
      <w:pPr>
        <w:spacing w:after="0"/>
      </w:pPr>
      <w:r>
        <w:separator/>
      </w:r>
    </w:p>
  </w:endnote>
  <w:endnote w:type="continuationSeparator" w:id="0">
    <w:p w14:paraId="3D3F3ECC" w14:textId="77777777" w:rsidR="00157624" w:rsidRDefault="001576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D2CE5" w14:textId="77777777" w:rsidR="00157624" w:rsidRDefault="00157624">
      <w:pPr>
        <w:spacing w:after="0"/>
      </w:pPr>
      <w:r>
        <w:separator/>
      </w:r>
    </w:p>
  </w:footnote>
  <w:footnote w:type="continuationSeparator" w:id="0">
    <w:p w14:paraId="60607C23" w14:textId="77777777" w:rsidR="00157624" w:rsidRDefault="00157624">
      <w:pPr>
        <w:spacing w:after="0"/>
      </w:pPr>
      <w:r>
        <w:continuationSeparator/>
      </w:r>
    </w:p>
  </w:footnote>
  <w:footnote w:id="1">
    <w:p w14:paraId="643D63DE" w14:textId="59F518F9" w:rsidR="000776F8" w:rsidRPr="00C27669" w:rsidRDefault="000776F8" w:rsidP="0040549B">
      <w:pPr>
        <w:pStyle w:val="FootnoteText"/>
        <w:ind w:left="0" w:firstLine="0"/>
        <w:rPr>
          <w:rFonts w:ascii="Times New Roman" w:hAnsi="Times New Roman"/>
          <w:sz w:val="20"/>
        </w:rPr>
      </w:pPr>
      <w:r w:rsidRPr="0040549B">
        <w:rPr>
          <w:rStyle w:val="FootnoteReference"/>
          <w:rFonts w:ascii="Times New Roman" w:hAnsi="Times New Roman" w:cs="Times New Roman"/>
          <w:sz w:val="20"/>
        </w:rPr>
        <w:footnoteRef/>
      </w:r>
      <w:r w:rsidRPr="0040549B">
        <w:rPr>
          <w:rFonts w:ascii="Times New Roman" w:hAnsi="Times New Roman"/>
          <w:sz w:val="20"/>
        </w:rPr>
        <w:t xml:space="preserve"> </w:t>
      </w:r>
      <w:r w:rsidRPr="00C27669">
        <w:rPr>
          <w:rFonts w:ascii="Times New Roman" w:hAnsi="Times New Roman"/>
          <w:sz w:val="20"/>
        </w:rPr>
        <w:t>Council Directive 93/13/EEC of 5 April 1993 on unfair terms in consumer contracts, OJ L 95, 21.4.1993, p. 29–34.</w:t>
      </w:r>
    </w:p>
  </w:footnote>
  <w:footnote w:id="2">
    <w:p w14:paraId="1DC8B517" w14:textId="18178925" w:rsidR="00EE15BD" w:rsidRPr="00C27669" w:rsidRDefault="00EE15BD" w:rsidP="0040549B">
      <w:pPr>
        <w:pStyle w:val="FootnoteText"/>
        <w:ind w:left="0" w:firstLine="0"/>
        <w:rPr>
          <w:rFonts w:ascii="Times New Roman" w:hAnsi="Times New Roman"/>
          <w:sz w:val="20"/>
        </w:rPr>
      </w:pPr>
      <w:r w:rsidRPr="00C27669">
        <w:rPr>
          <w:rStyle w:val="FootnoteReference"/>
          <w:rFonts w:ascii="Times New Roman" w:hAnsi="Times New Roman" w:cs="Times New Roman"/>
          <w:sz w:val="20"/>
        </w:rPr>
        <w:footnoteRef/>
      </w:r>
      <w:r w:rsidRPr="00C27669">
        <w:rPr>
          <w:rFonts w:ascii="Times New Roman" w:hAnsi="Times New Roman"/>
          <w:sz w:val="20"/>
        </w:rPr>
        <w:t xml:space="preserve"> Directive 2005/29/EC of the European Parliament and of the Council of 11 May 2005 concerning unfair business-to-consumer commercial practices in the internal market and amending Council Directive 84/450/EEC, Directives 97/7/EC, 98/27/</w:t>
      </w:r>
      <w:proofErr w:type="gramStart"/>
      <w:r w:rsidRPr="00C27669">
        <w:rPr>
          <w:rFonts w:ascii="Times New Roman" w:hAnsi="Times New Roman"/>
          <w:sz w:val="20"/>
        </w:rPr>
        <w:t>EC</w:t>
      </w:r>
      <w:proofErr w:type="gramEnd"/>
      <w:r w:rsidRPr="00C27669">
        <w:rPr>
          <w:rFonts w:ascii="Times New Roman" w:hAnsi="Times New Roman"/>
          <w:sz w:val="20"/>
        </w:rPr>
        <w:t xml:space="preserve"> and 2002/65/EC of the European Parliament and of the Council and Regulation (EC) No 2006/2004 of the European Parliament and of the Council, OJ L 149, 11.6.2005, p. 22-39</w:t>
      </w:r>
      <w:r w:rsidR="000776F8" w:rsidRPr="00C27669">
        <w:rPr>
          <w:rFonts w:ascii="Times New Roman" w:hAnsi="Times New Roman"/>
          <w:sz w:val="20"/>
        </w:rPr>
        <w:t>.</w:t>
      </w:r>
    </w:p>
  </w:footnote>
  <w:footnote w:id="3">
    <w:p w14:paraId="37D7FCC9" w14:textId="002149C4" w:rsidR="00EE15BD" w:rsidRPr="00C27669" w:rsidRDefault="00EE15BD" w:rsidP="0040549B">
      <w:pPr>
        <w:pStyle w:val="FootnoteText"/>
        <w:ind w:left="0" w:firstLine="0"/>
        <w:rPr>
          <w:rFonts w:ascii="Times New Roman" w:hAnsi="Times New Roman"/>
          <w:sz w:val="20"/>
        </w:rPr>
      </w:pPr>
      <w:r w:rsidRPr="00C27669">
        <w:rPr>
          <w:rStyle w:val="FootnoteReference"/>
          <w:rFonts w:ascii="Times New Roman" w:hAnsi="Times New Roman" w:cs="Times New Roman"/>
          <w:sz w:val="20"/>
        </w:rPr>
        <w:footnoteRef/>
      </w:r>
      <w:r w:rsidRPr="00C27669">
        <w:rPr>
          <w:rFonts w:ascii="Times New Roman" w:hAnsi="Times New Roman"/>
          <w:sz w:val="20"/>
        </w:rPr>
        <w:t xml:space="preserve"> Directive 2011/83/EU of the European Parliament and of the Council of 25 October 2011 on consumer rights, amending Council Directive 93/13/EEC and Directive 1999/44/EC of the European Parliament and of the Council and repealing Council Directive 85/577/EEC and Directive 97/7/EC of the European Parliament and of the Council, OJ L 304, 22.11.2011, p. 64-88</w:t>
      </w:r>
      <w:r w:rsidR="000776F8" w:rsidRPr="00C27669">
        <w:rPr>
          <w:rFonts w:ascii="Times New Roman" w:hAnsi="Times New Roman"/>
          <w:sz w:val="20"/>
        </w:rPr>
        <w:t>.</w:t>
      </w:r>
    </w:p>
  </w:footnote>
  <w:footnote w:id="4">
    <w:p w14:paraId="74098528" w14:textId="77777777" w:rsidR="00D95E94" w:rsidRPr="00C27669" w:rsidRDefault="00D95E94" w:rsidP="0040549B">
      <w:pPr>
        <w:pStyle w:val="FootnoteText"/>
        <w:ind w:left="0" w:firstLine="0"/>
        <w:rPr>
          <w:rFonts w:ascii="Times New Roman" w:hAnsi="Times New Roman"/>
          <w:sz w:val="20"/>
        </w:rPr>
      </w:pPr>
      <w:r w:rsidRPr="00C27669">
        <w:rPr>
          <w:rStyle w:val="FootnoteReference"/>
          <w:rFonts w:ascii="Times New Roman" w:hAnsi="Times New Roman" w:cs="Times New Roman"/>
          <w:sz w:val="20"/>
        </w:rPr>
        <w:footnoteRef/>
      </w:r>
      <w:r w:rsidRPr="00C27669">
        <w:rPr>
          <w:rFonts w:ascii="Times New Roman" w:hAnsi="Times New Roman"/>
          <w:sz w:val="20"/>
        </w:rPr>
        <w:t xml:space="preserve"> </w:t>
      </w:r>
      <w:bookmarkStart w:id="0" w:name="_Hlk166506313"/>
      <w:r w:rsidRPr="00C27669">
        <w:rPr>
          <w:rFonts w:ascii="Times New Roman" w:hAnsi="Times New Roman"/>
          <w:sz w:val="20"/>
        </w:rPr>
        <w:t>Directive (EU) 2019/770 of the European Parliament and of the Council of 20 May 2019 on certain aspects concerning/ contracts for the supply of digital content and digital services OJ L 136, 22.5.2019, p. 1–27.</w:t>
      </w:r>
      <w:bookmarkEnd w:id="0"/>
    </w:p>
  </w:footnote>
  <w:footnote w:id="5">
    <w:p w14:paraId="2C463D14" w14:textId="72DD1A61" w:rsidR="00D77837" w:rsidRPr="00C27669" w:rsidRDefault="00D77837" w:rsidP="0040549B">
      <w:pPr>
        <w:pStyle w:val="FootnoteText"/>
        <w:rPr>
          <w:rFonts w:ascii="Times New Roman" w:hAnsi="Times New Roman"/>
          <w:sz w:val="20"/>
          <w:lang w:val="en-IE"/>
        </w:rPr>
      </w:pPr>
      <w:r w:rsidRPr="00C27669">
        <w:rPr>
          <w:rStyle w:val="FootnoteReference"/>
          <w:rFonts w:ascii="Times New Roman" w:hAnsi="Times New Roman" w:cs="Times New Roman"/>
          <w:sz w:val="20"/>
        </w:rPr>
        <w:footnoteRef/>
      </w:r>
      <w:r w:rsidRPr="00C27669">
        <w:rPr>
          <w:rFonts w:ascii="Times New Roman" w:hAnsi="Times New Roman"/>
          <w:sz w:val="20"/>
        </w:rPr>
        <w:t xml:space="preserve"> </w:t>
      </w:r>
      <w:proofErr w:type="gramStart"/>
      <w:r w:rsidR="00E86DC9">
        <w:rPr>
          <w:rFonts w:ascii="Times New Roman" w:hAnsi="Times New Roman"/>
          <w:sz w:val="20"/>
        </w:rPr>
        <w:t>e</w:t>
      </w:r>
      <w:r w:rsidR="00D30403" w:rsidRPr="00C27669">
        <w:rPr>
          <w:rFonts w:ascii="Times New Roman" w:hAnsi="Times New Roman"/>
          <w:sz w:val="20"/>
        </w:rPr>
        <w:t>.g.</w:t>
      </w:r>
      <w:proofErr w:type="gramEnd"/>
      <w:r w:rsidR="00D30403" w:rsidRPr="00C27669">
        <w:rPr>
          <w:rFonts w:ascii="Times New Roman" w:hAnsi="Times New Roman"/>
          <w:sz w:val="20"/>
        </w:rPr>
        <w:t xml:space="preserve"> </w:t>
      </w:r>
      <w:r w:rsidR="00D30403" w:rsidRPr="00C27669">
        <w:rPr>
          <w:rFonts w:ascii="Times New Roman" w:hAnsi="Times New Roman"/>
          <w:sz w:val="20"/>
          <w:lang w:val="en-IE"/>
        </w:rPr>
        <w:t>points 1(g)</w:t>
      </w:r>
      <w:r w:rsidR="007F234B" w:rsidRPr="00C27669">
        <w:rPr>
          <w:rFonts w:ascii="Times New Roman" w:hAnsi="Times New Roman"/>
          <w:sz w:val="20"/>
          <w:lang w:val="en-IE"/>
        </w:rPr>
        <w:t xml:space="preserve"> and</w:t>
      </w:r>
      <w:r w:rsidR="00D30403" w:rsidRPr="00C27669">
        <w:rPr>
          <w:rFonts w:ascii="Times New Roman" w:hAnsi="Times New Roman"/>
          <w:sz w:val="20"/>
          <w:lang w:val="en-IE"/>
        </w:rPr>
        <w:t xml:space="preserve"> 1(j) of </w:t>
      </w:r>
      <w:r w:rsidR="001A2F80" w:rsidRPr="00C27669">
        <w:rPr>
          <w:rFonts w:ascii="Times New Roman" w:hAnsi="Times New Roman"/>
          <w:sz w:val="20"/>
          <w:lang w:val="en-IE"/>
        </w:rPr>
        <w:t xml:space="preserve">the </w:t>
      </w:r>
      <w:r w:rsidR="00D30403" w:rsidRPr="00C27669">
        <w:rPr>
          <w:rFonts w:ascii="Times New Roman" w:hAnsi="Times New Roman"/>
          <w:sz w:val="20"/>
          <w:lang w:val="en-IE"/>
        </w:rPr>
        <w:t>Annex to Directive 93/13/EEC.</w:t>
      </w:r>
    </w:p>
  </w:footnote>
  <w:footnote w:id="6">
    <w:p w14:paraId="71746C41" w14:textId="7689C7D9" w:rsidR="00DB14FF" w:rsidRPr="00C27669" w:rsidRDefault="00DB14FF" w:rsidP="0040549B">
      <w:pPr>
        <w:pStyle w:val="FootnoteText"/>
        <w:ind w:left="0" w:firstLine="0"/>
        <w:rPr>
          <w:rFonts w:ascii="Times New Roman" w:hAnsi="Times New Roman"/>
          <w:sz w:val="20"/>
          <w:lang w:val="en-IE"/>
        </w:rPr>
      </w:pPr>
      <w:r w:rsidRPr="00C27669">
        <w:rPr>
          <w:rStyle w:val="FootnoteReference"/>
          <w:rFonts w:ascii="Times New Roman" w:hAnsi="Times New Roman" w:cs="Times New Roman"/>
          <w:sz w:val="20"/>
        </w:rPr>
        <w:footnoteRef/>
      </w:r>
      <w:r w:rsidRPr="00C27669">
        <w:rPr>
          <w:rFonts w:ascii="Times New Roman" w:hAnsi="Times New Roman"/>
          <w:sz w:val="20"/>
        </w:rPr>
        <w:t xml:space="preserve"> Directive 2009/24/EC of the European Parliament and of the Council of 23 April 2009 on the legal protection of computer programs, OJ L 111, 5.5.2009, p. 16-22</w:t>
      </w:r>
      <w:r w:rsidR="00C27669">
        <w:rPr>
          <w:rFonts w:ascii="Times New Roman" w:hAnsi="Times New Roman"/>
          <w:sz w:val="20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LW_DocType" w:val="NORMAL"/>
  </w:docVars>
  <w:rsids>
    <w:rsidRoot w:val="00A77B3E"/>
    <w:rsid w:val="00010C7F"/>
    <w:rsid w:val="00024F77"/>
    <w:rsid w:val="000459F2"/>
    <w:rsid w:val="000776F8"/>
    <w:rsid w:val="000B2E3F"/>
    <w:rsid w:val="000F4985"/>
    <w:rsid w:val="001468D0"/>
    <w:rsid w:val="00157624"/>
    <w:rsid w:val="0017606A"/>
    <w:rsid w:val="001A2F80"/>
    <w:rsid w:val="001A536A"/>
    <w:rsid w:val="001E4C25"/>
    <w:rsid w:val="00212F97"/>
    <w:rsid w:val="002507F4"/>
    <w:rsid w:val="00290222"/>
    <w:rsid w:val="002B0F9C"/>
    <w:rsid w:val="003F0F75"/>
    <w:rsid w:val="0040549B"/>
    <w:rsid w:val="00477949"/>
    <w:rsid w:val="00487C08"/>
    <w:rsid w:val="004E0D1E"/>
    <w:rsid w:val="00527526"/>
    <w:rsid w:val="0066187A"/>
    <w:rsid w:val="006A17A1"/>
    <w:rsid w:val="006C3620"/>
    <w:rsid w:val="00737D5A"/>
    <w:rsid w:val="007F234B"/>
    <w:rsid w:val="0080168D"/>
    <w:rsid w:val="00852B12"/>
    <w:rsid w:val="008B5DA7"/>
    <w:rsid w:val="00A2186A"/>
    <w:rsid w:val="00A23FAF"/>
    <w:rsid w:val="00A31B6D"/>
    <w:rsid w:val="00A77B3E"/>
    <w:rsid w:val="00B53813"/>
    <w:rsid w:val="00B6434C"/>
    <w:rsid w:val="00BA4D59"/>
    <w:rsid w:val="00BB0B49"/>
    <w:rsid w:val="00BD76DA"/>
    <w:rsid w:val="00C27669"/>
    <w:rsid w:val="00C306BF"/>
    <w:rsid w:val="00CA2A55"/>
    <w:rsid w:val="00CA6CB3"/>
    <w:rsid w:val="00CF731E"/>
    <w:rsid w:val="00D30403"/>
    <w:rsid w:val="00D31A34"/>
    <w:rsid w:val="00D664C4"/>
    <w:rsid w:val="00D77837"/>
    <w:rsid w:val="00D95E94"/>
    <w:rsid w:val="00DB14FF"/>
    <w:rsid w:val="00DF3206"/>
    <w:rsid w:val="00E008D5"/>
    <w:rsid w:val="00E46BDD"/>
    <w:rsid w:val="00E86DC9"/>
    <w:rsid w:val="00EE15BD"/>
    <w:rsid w:val="00F104F7"/>
    <w:rsid w:val="00F71573"/>
    <w:rsid w:val="00F8785F"/>
    <w:rsid w:val="00FB0F8C"/>
    <w:rsid w:val="00FE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1E7B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 w:qFormat="1"/>
    <w:lsdException w:name="caption" w:semiHidden="1" w:unhideWhenUsed="1" w:qFormat="1"/>
    <w:lsdException w:name="footnote reference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tabs>
        <w:tab w:val="left" w:pos="425"/>
        <w:tab w:val="left" w:pos="851"/>
        <w:tab w:val="left" w:pos="1276"/>
      </w:tabs>
      <w:spacing w:after="24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4B331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aliases w:val="Footnote symbol,Footnote,fr,o,Style 6,Nota,(NECG) Footnote Reference,Voetnootverwijzing,Footnote reference number,note TESI,BVI fnr,Appel note de bas de p,SUPERS,Footnote number,Footnote Reference Superscript,EN Footnote Reference,Ref"/>
    <w:link w:val="FootnotesymbolCarZchn"/>
    <w:qFormat/>
    <w:rsid w:val="00782D12"/>
    <w:rPr>
      <w:rFonts w:ascii="Arial" w:hAnsi="Arial" w:cs="Arial"/>
      <w:b w:val="0"/>
      <w:i w:val="0"/>
      <w:caps w:val="0"/>
      <w:smallCaps w:val="0"/>
      <w:strike w:val="0"/>
      <w:dstrike w:val="0"/>
      <w:vanish w:val="0"/>
      <w:color w:val="auto"/>
      <w:spacing w:val="0"/>
      <w:w w:val="100"/>
      <w:kern w:val="0"/>
      <w:position w:val="0"/>
      <w:sz w:val="18"/>
      <w:u w:val="none"/>
      <w:effect w:val="none"/>
      <w:vertAlign w:val="superscript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816F6"/>
    <w:pPr>
      <w:tabs>
        <w:tab w:val="clear" w:pos="425"/>
        <w:tab w:val="clear" w:pos="851"/>
        <w:tab w:val="clear" w:pos="1276"/>
        <w:tab w:val="center" w:pos="4536"/>
        <w:tab w:val="right" w:pos="9072"/>
      </w:tabs>
      <w:spacing w:before="240"/>
    </w:pPr>
    <w:rPr>
      <w:snapToGrid w:val="0"/>
      <w:sz w:val="22"/>
    </w:rPr>
  </w:style>
  <w:style w:type="character" w:styleId="PageNumber">
    <w:name w:val="page number"/>
    <w:basedOn w:val="DefaultParagraphFont"/>
  </w:style>
  <w:style w:type="paragraph" w:styleId="FootnoteText">
    <w:name w:val="footnote text"/>
    <w:aliases w:val=" Char Char,Footnote Text2,Footnote Text11,ALTS FOOTNOTE11,Footnote Text Char111,Footnote Text Char Char Char11,Footnote Text Char1 Char Char Char Char11,Footnote Text Char1 Char Char Char11,ALTS FOOTNOTE2,Footnote Text1,Footnote Text3 Char"/>
    <w:link w:val="FootnoteTextChar"/>
    <w:uiPriority w:val="99"/>
    <w:qFormat/>
    <w:rsid w:val="003D124A"/>
    <w:pPr>
      <w:tabs>
        <w:tab w:val="left" w:pos="284"/>
      </w:tabs>
      <w:ind w:left="284" w:hanging="284"/>
    </w:pPr>
    <w:rPr>
      <w:rFonts w:ascii="Arial" w:hAnsi="Arial"/>
      <w:sz w:val="18"/>
    </w:rPr>
  </w:style>
  <w:style w:type="paragraph" w:styleId="BalloonText">
    <w:name w:val="Balloon Text"/>
    <w:basedOn w:val="Normal"/>
    <w:semiHidden/>
    <w:rsid w:val="00CD005F"/>
    <w:rPr>
      <w:rFonts w:ascii="Tahoma" w:hAnsi="Tahoma" w:cs="Tahoma"/>
      <w:sz w:val="16"/>
      <w:szCs w:val="16"/>
    </w:rPr>
  </w:style>
  <w:style w:type="character" w:customStyle="1" w:styleId="Bold">
    <w:name w:val="Bold"/>
    <w:basedOn w:val="DefaultParagraphFont"/>
    <w:uiPriority w:val="1"/>
    <w:qFormat/>
    <w:rsid w:val="00344A81"/>
    <w:rPr>
      <w:rFonts w:ascii="Arial" w:hAnsi="Arial"/>
      <w:b/>
      <w:sz w:val="20"/>
    </w:rPr>
  </w:style>
  <w:style w:type="character" w:customStyle="1" w:styleId="Heading1Char">
    <w:name w:val="Heading 1 Char"/>
    <w:basedOn w:val="DefaultParagraphFont"/>
    <w:link w:val="Heading1"/>
    <w:rsid w:val="004B3311"/>
    <w:rPr>
      <w:rFonts w:asciiTheme="majorHAnsi" w:eastAsiaTheme="majorEastAsia" w:hAnsiTheme="majorHAnsi" w:cstheme="majorBidi"/>
      <w:b/>
      <w:bCs/>
      <w:snapToGrid w:val="0"/>
      <w:color w:val="365F91" w:themeColor="accent1" w:themeShade="BF"/>
      <w:sz w:val="28"/>
      <w:szCs w:val="28"/>
      <w:lang w:eastAsia="en-US"/>
    </w:rPr>
  </w:style>
  <w:style w:type="paragraph" w:customStyle="1" w:styleId="Arial10">
    <w:name w:val="Arial10"/>
    <w:qFormat/>
    <w:rsid w:val="003A12E2"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8E6344"/>
    <w:rPr>
      <w:color w:val="0000FF"/>
      <w:u w:val="single"/>
    </w:rPr>
  </w:style>
  <w:style w:type="paragraph" w:customStyle="1" w:styleId="Arial10After10">
    <w:name w:val="Arial10After10"/>
    <w:basedOn w:val="Arial10"/>
    <w:qFormat/>
    <w:rsid w:val="008E6344"/>
    <w:pPr>
      <w:spacing w:after="200"/>
    </w:pPr>
  </w:style>
  <w:style w:type="paragraph" w:customStyle="1" w:styleId="Subject">
    <w:name w:val="Subject"/>
    <w:basedOn w:val="Arial10"/>
    <w:qFormat/>
    <w:rsid w:val="00E275FC"/>
    <w:pPr>
      <w:tabs>
        <w:tab w:val="left" w:pos="1134"/>
      </w:tabs>
      <w:spacing w:after="240"/>
      <w:ind w:left="1134" w:hanging="1134"/>
    </w:pPr>
  </w:style>
  <w:style w:type="paragraph" w:customStyle="1" w:styleId="Body">
    <w:name w:val="Body"/>
    <w:qFormat/>
    <w:rsid w:val="006822FA"/>
    <w:pPr>
      <w:tabs>
        <w:tab w:val="left" w:pos="425"/>
        <w:tab w:val="left" w:pos="851"/>
        <w:tab w:val="left" w:pos="1276"/>
      </w:tabs>
      <w:spacing w:after="240"/>
    </w:pPr>
    <w:rPr>
      <w:rFonts w:ascii="Arial" w:hAnsi="Arial"/>
    </w:rPr>
  </w:style>
  <w:style w:type="paragraph" w:customStyle="1" w:styleId="LeftHanging">
    <w:name w:val="LeftHanging"/>
    <w:qFormat/>
    <w:rsid w:val="00BD0F1F"/>
    <w:pPr>
      <w:spacing w:before="240"/>
      <w:ind w:left="425" w:hanging="425"/>
    </w:pPr>
    <w:rPr>
      <w:rFonts w:ascii="Arial" w:hAnsi="Arial"/>
    </w:rPr>
  </w:style>
  <w:style w:type="paragraph" w:customStyle="1" w:styleId="LeftHangingAfter">
    <w:name w:val="LeftHangingAfter"/>
    <w:basedOn w:val="LeftHanging"/>
    <w:qFormat/>
    <w:rsid w:val="00AB7C55"/>
    <w:pPr>
      <w:spacing w:before="0"/>
    </w:pPr>
  </w:style>
  <w:style w:type="paragraph" w:customStyle="1" w:styleId="itemList">
    <w:name w:val="itemList"/>
    <w:qFormat/>
    <w:rsid w:val="005024D7"/>
    <w:pPr>
      <w:tabs>
        <w:tab w:val="left" w:pos="425"/>
        <w:tab w:val="left" w:pos="851"/>
        <w:tab w:val="left" w:pos="1276"/>
      </w:tabs>
      <w:spacing w:after="240"/>
      <w:ind w:left="425" w:hanging="425"/>
    </w:pPr>
    <w:rPr>
      <w:rFonts w:ascii="Arial" w:hAnsi="Arial"/>
    </w:rPr>
  </w:style>
  <w:style w:type="paragraph" w:customStyle="1" w:styleId="Supporter">
    <w:name w:val="Supporter"/>
    <w:basedOn w:val="Body"/>
    <w:qFormat/>
    <w:rsid w:val="00CD50AF"/>
    <w:pPr>
      <w:spacing w:before="840"/>
    </w:pPr>
  </w:style>
  <w:style w:type="paragraph" w:customStyle="1" w:styleId="Footer2">
    <w:name w:val="Footer2"/>
    <w:basedOn w:val="Normal"/>
    <w:link w:val="Footer2Char"/>
    <w:qFormat/>
    <w:rsid w:val="000B4A67"/>
    <w:pPr>
      <w:tabs>
        <w:tab w:val="clear" w:pos="425"/>
        <w:tab w:val="clear" w:pos="851"/>
        <w:tab w:val="clear" w:pos="1276"/>
        <w:tab w:val="center" w:pos="4536"/>
        <w:tab w:val="right" w:pos="9923"/>
      </w:tabs>
      <w:ind w:left="-851" w:right="-851"/>
    </w:pPr>
    <w:rPr>
      <w:sz w:val="48"/>
    </w:rPr>
  </w:style>
  <w:style w:type="character" w:customStyle="1" w:styleId="Footer2Lang">
    <w:name w:val="Footer2Lang"/>
    <w:uiPriority w:val="1"/>
    <w:qFormat/>
    <w:rsid w:val="000B4A67"/>
    <w:rPr>
      <w:rFonts w:ascii="Arial" w:hAnsi="Arial"/>
      <w:b/>
      <w:sz w:val="48"/>
    </w:rPr>
  </w:style>
  <w:style w:type="character" w:customStyle="1" w:styleId="Footer2Char">
    <w:name w:val="Footer2 Char"/>
    <w:basedOn w:val="DefaultParagraphFont"/>
    <w:link w:val="Footer2"/>
    <w:rsid w:val="000B4A67"/>
    <w:rPr>
      <w:rFonts w:ascii="Arial" w:hAnsi="Arial"/>
      <w:sz w:val="48"/>
    </w:rPr>
  </w:style>
  <w:style w:type="character" w:customStyle="1" w:styleId="Footer2Middle">
    <w:name w:val="Footer2Middle"/>
    <w:uiPriority w:val="1"/>
    <w:qFormat/>
    <w:rsid w:val="000B4A67"/>
    <w:rPr>
      <w:rFonts w:ascii="Arial" w:hAnsi="Arial"/>
      <w:i/>
      <w:color w:val="BFBFBF" w:themeColor="background1" w:themeShade="BF"/>
      <w:sz w:val="22"/>
    </w:rPr>
  </w:style>
  <w:style w:type="paragraph" w:customStyle="1" w:styleId="SessionDocument">
    <w:name w:val="SessionDocument"/>
    <w:qFormat/>
    <w:rsid w:val="00F63011"/>
    <w:pPr>
      <w:jc w:val="center"/>
    </w:pPr>
    <w:rPr>
      <w:rFonts w:ascii="Arial" w:hAnsi="Arial"/>
      <w:i/>
      <w:sz w:val="22"/>
    </w:rPr>
  </w:style>
  <w:style w:type="paragraph" w:customStyle="1" w:styleId="LineBottom">
    <w:name w:val="LineBottom"/>
    <w:qFormat/>
    <w:rsid w:val="00C01FA6"/>
    <w:pPr>
      <w:pBdr>
        <w:bottom w:val="single" w:sz="4" w:space="1" w:color="auto"/>
      </w:pBdr>
      <w:spacing w:after="1080"/>
      <w:jc w:val="center"/>
    </w:pPr>
    <w:rPr>
      <w:rFonts w:ascii="Arial" w:hAnsi="Arial"/>
      <w:sz w:val="16"/>
    </w:rPr>
  </w:style>
  <w:style w:type="paragraph" w:customStyle="1" w:styleId="LineTop">
    <w:name w:val="LineTop"/>
    <w:next w:val="SessionDocument"/>
    <w:qFormat/>
    <w:rsid w:val="00884286"/>
    <w:pPr>
      <w:pBdr>
        <w:top w:val="single" w:sz="4" w:space="1" w:color="auto"/>
      </w:pBdr>
    </w:pPr>
    <w:rPr>
      <w:rFonts w:ascii="Arial" w:hAnsi="Arial"/>
      <w:sz w:val="16"/>
    </w:rPr>
  </w:style>
  <w:style w:type="paragraph" w:customStyle="1" w:styleId="EPLogo">
    <w:name w:val="EPLogo"/>
    <w:basedOn w:val="Normal"/>
    <w:qFormat/>
    <w:rsid w:val="00A05278"/>
    <w:pPr>
      <w:jc w:val="right"/>
    </w:pPr>
  </w:style>
  <w:style w:type="paragraph" w:customStyle="1" w:styleId="EPName">
    <w:name w:val="EPName"/>
    <w:basedOn w:val="Normal"/>
    <w:qFormat/>
    <w:rsid w:val="00475435"/>
    <w:pPr>
      <w:spacing w:before="80" w:after="80"/>
    </w:pPr>
    <w:rPr>
      <w:rFonts w:ascii="Arial Narrow" w:hAnsi="Arial Narrow"/>
      <w:b/>
      <w:color w:val="000000" w:themeColor="text1"/>
      <w:sz w:val="32"/>
    </w:rPr>
  </w:style>
  <w:style w:type="paragraph" w:customStyle="1" w:styleId="EPTerm">
    <w:name w:val="EPTerm"/>
    <w:basedOn w:val="Normal"/>
    <w:next w:val="Normal"/>
    <w:qFormat/>
    <w:rsid w:val="00475435"/>
    <w:pPr>
      <w:spacing w:after="80"/>
    </w:pPr>
  </w:style>
  <w:style w:type="paragraph" w:customStyle="1" w:styleId="Arial10Date">
    <w:name w:val="Arial10Date"/>
    <w:basedOn w:val="Arial10"/>
    <w:qFormat/>
    <w:rsid w:val="00E258AE"/>
    <w:pPr>
      <w:tabs>
        <w:tab w:val="left" w:pos="0"/>
        <w:tab w:val="right" w:pos="9072"/>
      </w:tabs>
      <w:spacing w:after="400"/>
    </w:pPr>
  </w:style>
  <w:style w:type="character" w:customStyle="1" w:styleId="HideTWBExt">
    <w:name w:val="HideTWBExt"/>
    <w:uiPriority w:val="1"/>
    <w:qFormat/>
    <w:rsid w:val="00DC6131"/>
    <w:rPr>
      <w:rFonts w:ascii="Arial" w:hAnsi="Arial"/>
      <w:vanish/>
      <w:color w:val="1F497D" w:themeColor="text2"/>
      <w:sz w:val="20"/>
    </w:rPr>
  </w:style>
  <w:style w:type="character" w:customStyle="1" w:styleId="Italic">
    <w:name w:val="Italic"/>
    <w:uiPriority w:val="1"/>
    <w:qFormat/>
    <w:rsid w:val="00644428"/>
    <w:rPr>
      <w:i/>
    </w:rPr>
  </w:style>
  <w:style w:type="character" w:customStyle="1" w:styleId="Sub">
    <w:name w:val="Sub"/>
    <w:uiPriority w:val="1"/>
    <w:qFormat/>
    <w:rsid w:val="00776240"/>
    <w:rPr>
      <w:vertAlign w:val="subscript"/>
    </w:rPr>
  </w:style>
  <w:style w:type="character" w:customStyle="1" w:styleId="Sup">
    <w:name w:val="Sup"/>
    <w:uiPriority w:val="1"/>
    <w:qFormat/>
    <w:rsid w:val="00776240"/>
    <w:rPr>
      <w:vertAlign w:val="superscript"/>
    </w:rPr>
  </w:style>
  <w:style w:type="character" w:customStyle="1" w:styleId="ItalicSub">
    <w:name w:val="ItalicSub"/>
    <w:uiPriority w:val="1"/>
    <w:qFormat/>
    <w:rsid w:val="00776240"/>
    <w:rPr>
      <w:i/>
      <w:vertAlign w:val="subscript"/>
    </w:rPr>
  </w:style>
  <w:style w:type="character" w:customStyle="1" w:styleId="ItalicSup">
    <w:name w:val="ItalicSup"/>
    <w:uiPriority w:val="1"/>
    <w:qFormat/>
    <w:rsid w:val="00776240"/>
    <w:rPr>
      <w:i/>
      <w:vertAlign w:val="superscript"/>
    </w:rPr>
  </w:style>
  <w:style w:type="character" w:customStyle="1" w:styleId="FootnoteTextChar">
    <w:name w:val="Footnote Text Char"/>
    <w:aliases w:val=" Char Char Char,Footnote Text2 Char,Footnote Text11 Char,ALTS FOOTNOTE11 Char,Footnote Text Char111 Char,Footnote Text Char Char Char11 Char,Footnote Text Char1 Char Char Char Char11 Char,Footnote Text Char1 Char Char Char11 Char"/>
    <w:basedOn w:val="DefaultParagraphFont"/>
    <w:link w:val="FootnoteText"/>
    <w:uiPriority w:val="99"/>
    <w:qFormat/>
    <w:rsid w:val="00E46BDD"/>
    <w:rPr>
      <w:rFonts w:ascii="Arial" w:hAnsi="Arial"/>
      <w:sz w:val="18"/>
    </w:rPr>
  </w:style>
  <w:style w:type="paragraph" w:customStyle="1" w:styleId="FootnotesymbolCarZchn">
    <w:name w:val="Footnote symbol Car Zchn"/>
    <w:aliases w:val="Footnote Car Zchn,Times 10 Point Car Zchn,Exposant 3 Point Car Zchn,Footnote Reference Superscript Car Zchn,Char Char Char Char Char Car Zchn,BVI fnr Car Zchn,SUPERS Car Zchn"/>
    <w:basedOn w:val="Normal"/>
    <w:link w:val="FootnoteReference"/>
    <w:rsid w:val="00E46BDD"/>
    <w:pPr>
      <w:widowControl/>
      <w:tabs>
        <w:tab w:val="clear" w:pos="425"/>
        <w:tab w:val="clear" w:pos="851"/>
        <w:tab w:val="clear" w:pos="1276"/>
      </w:tabs>
      <w:spacing w:after="0"/>
      <w:ind w:left="284" w:hanging="284"/>
      <w:jc w:val="both"/>
    </w:pPr>
    <w:rPr>
      <w:rFonts w:cs="Arial"/>
      <w:sz w:val="18"/>
      <w:vertAlign w:val="superscript"/>
    </w:rPr>
  </w:style>
  <w:style w:type="paragraph" w:styleId="Revision">
    <w:name w:val="Revision"/>
    <w:hidden/>
    <w:uiPriority w:val="99"/>
    <w:semiHidden/>
    <w:rsid w:val="00CA6CB3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2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<Relationship Id="rId1" Target="../customXml/item1.xml" Type="http://schemas.openxmlformats.org/officeDocument/2006/relationships/customXml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fontTable.xml" Type="http://schemas.openxmlformats.org/officeDocument/2006/relationships/fontTable"/>
<Relationship Id="rId8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75DB0-666A-4E41-A38B-1AC90FDDC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1522</Characters>
  <Application>Microsoft Office Word</Application>
  <DocSecurity>0</DocSecurity>
  <Lines>27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2024-06-12T11:07:00Z</dcterms:created>
  <dcterms:modified xsi:type="dcterms:W3CDTF">2024-06-12T11:07:00Z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2024-06-12T11:07:41Z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cbb7aac8-663f-4abb-bed2-2165558ef9df</vt:lpwstr>
  </property>
  <property fmtid="{D5CDD505-2E9C-101B-9397-08002B2CF9AE}" pid="8" name="MSIP_Label_6bd9ddd1-4d20-43f6-abfa-fc3c07406f94_ContentBits">
    <vt:lpwstr>0</vt:lpwstr>
  </property>
</Properties>
</file>