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63721" w:rsidRPr="00E63721" w:rsidRDefault="00E63721" w:rsidP="00E63721">
      <w:r w:rsidRPr="00E63721">
        <w:t>4. Análisis de resultados y conclusiones (1 punto)</w:t>
      </w:r>
    </w:p>
    <w:p w:rsidR="00E63721" w:rsidRPr="00E63721" w:rsidRDefault="00E63721" w:rsidP="00E63721">
      <w:r w:rsidRPr="00E63721">
        <w:t>Comparación de métodos:</w:t>
      </w:r>
    </w:p>
    <w:p w:rsidR="00E63721" w:rsidRPr="00E63721" w:rsidRDefault="00E63721" w:rsidP="00E63721">
      <w:r w:rsidRPr="00E63721">
        <w:t>• Explica las diferencias entre K-Means, clustering jerárquico y DBSCAN. ¿Cuál funcionó mejor en este caso y por qué?</w:t>
      </w:r>
      <w:r w:rsidRPr="00E63721">
        <w:br/>
        <w:t>K-Means y el clustering jerárquico coincidieron en la formación de tres clústeres principales, con un índice de similitud (ARI = 1.0), lo que confirma la consistencia de los resultados. Además, el método del codo mostró una caída clara en la inercia en K=3 y K=5, lo que refuerza que ambos valores son posibles candidatos. Sin embargo, dado el tamaño reducido del dataset, K=3 resulta más interpretable y está respaldado también por el dendrograma. Por su parte, DBSCAN no funcionó bien: con eps pequeños clasificó la mayoría de países como ruido (-1), y con eps grandes agrupó casi todos en un único clúster, perdiendo capacidad de diferenciación. Por lo tanto, los métodos más efectivos fueron K-Means y el jerárquico, ya que captaron estructuras claras y consistentes en los datos.</w:t>
      </w:r>
    </w:p>
    <w:p w:rsidR="00E63721" w:rsidRPr="00E63721" w:rsidRDefault="00E63721" w:rsidP="00E63721"/>
    <w:p w:rsidR="00E63721" w:rsidRPr="00E63721" w:rsidRDefault="00E63721" w:rsidP="00E63721">
      <w:r w:rsidRPr="00E63721">
        <w:t>• Compara los resultados obtenidos con PCA y t-SNE. ¿Cuál técnica permitió visualizar mejor la relación entre los países?</w:t>
      </w:r>
      <w:r w:rsidRPr="00E63721">
        <w:br/>
        <w:t>El PCA mostró que con 4 componentes principales se podía explicar más del 90% de la varianza, lo que lo convierte en una herramienta útil para reducir dimensionalidad de forma interpretativa. En la visualización con 2 componentes, los países aparecieron algo solapados, debido a que PCA es una técnica lineal que no captura relaciones no lineales.</w:t>
      </w:r>
      <w:r w:rsidRPr="00E63721">
        <w:br/>
        <w:t>El t-SNE, en cambio, representó de manera más clara las similitudes y diferencias entre países en 2D, separando mejor los grupos al ajustar el parámetro de perplexity. Esto lo hace más eficaz para visualizar patrones complejos, aunque no permite interpretar varianza como PCA. En síntesis, PCA es mejor para entender la estructura global y la reducción de dimensiones, mientras que t-SNE es más útil para la exploración visual de clústeres.</w:t>
      </w:r>
    </w:p>
    <w:p w:rsidR="00E63721" w:rsidRPr="00E63721" w:rsidRDefault="00E63721" w:rsidP="00E63721"/>
    <w:p w:rsidR="00E63721" w:rsidRPr="00E63721" w:rsidRDefault="00E63721" w:rsidP="00E63721">
      <w:r w:rsidRPr="00E63721">
        <w:t>Interpretación:</w:t>
      </w:r>
    </w:p>
    <w:p w:rsidR="00643B25" w:rsidRDefault="00E63721" w:rsidP="00643B25">
      <w:r w:rsidRPr="00E63721">
        <w:t>¿Los clusters obtenidos reflejan similitudes culturales o geográficas en la música?</w:t>
      </w:r>
      <w:r w:rsidRPr="00E63721">
        <w:br/>
        <w:t>Sí. Los clústeres muestran que la música se organiza tanto por afinidades culturales como por la influencia de la globalización:</w:t>
      </w:r>
    </w:p>
    <w:p w:rsidR="00643B25" w:rsidRDefault="00E63721" w:rsidP="00643B25">
      <w:r w:rsidRPr="00E63721">
        <w:t>Cluster 0 (EEUU, México, Alemania): países con fuerte exposición a géneros globales como pop, electrónica y rock.</w:t>
      </w:r>
    </w:p>
    <w:p w:rsidR="00643B25" w:rsidRDefault="00E63721" w:rsidP="00643B25">
      <w:r w:rsidRPr="00E63721">
        <w:t>Cluster 1 (Chile, Corea, Rusia): aunque distantes geográficamente, comparten afinidad por hip-hop, pop y géneros híbridos locales/globales (reguetón, K-pop)</w:t>
      </w:r>
    </w:p>
    <w:p w:rsidR="00E63721" w:rsidRPr="00E63721" w:rsidRDefault="00E63721" w:rsidP="00643B25">
      <w:r w:rsidRPr="00E63721">
        <w:t>Cluster 2 (Japón, Italia): destacan géneros tradicionales y melódicos como clásica, metal y J-pop, conviviendo con influencias modernas.</w:t>
      </w:r>
    </w:p>
    <w:p w:rsidR="00E63721" w:rsidRPr="00E63721" w:rsidRDefault="00E63721" w:rsidP="00E63721">
      <w:r w:rsidRPr="00E63721">
        <w:t>Esto evidencia que los clústeres reflejan tanto cultura e historia musical, como la convergencia de países lejanos por tendencias de consumo similares.</w:t>
      </w:r>
    </w:p>
    <w:p w:rsidR="00E63721" w:rsidRPr="00E63721" w:rsidRDefault="00E63721" w:rsidP="00E63721"/>
    <w:p w:rsidR="00643B25" w:rsidRDefault="00E63721" w:rsidP="00643B25">
      <w:r w:rsidRPr="00E63721">
        <w:lastRenderedPageBreak/>
        <w:t>• Relaciona los resultados con tendencias globales en consumo musical.</w:t>
      </w:r>
      <w:r w:rsidRPr="00E63721">
        <w:br/>
        <w:t>Los resultados se relacionan directamente con las tendencias globales actuales:</w:t>
      </w:r>
    </w:p>
    <w:p w:rsidR="00643B25" w:rsidRDefault="00E63721" w:rsidP="00643B25">
      <w:r w:rsidRPr="00E63721">
        <w:t>Dominio de géneros internacionales (pop, hip-hop, electrónica), difundidos masivamente por plataformas como Spotify, YouTube y TikTok.</w:t>
      </w:r>
    </w:p>
    <w:p w:rsidR="00643B25" w:rsidRDefault="00E63721" w:rsidP="00643B25">
      <w:r w:rsidRPr="00E63721">
        <w:t>Fusión de géneros locales con lo global, como el reguetón en Chile y el K-pop en Corea, que han pasado de ser fenómenos regionales a influencias internacionales.</w:t>
      </w:r>
    </w:p>
    <w:p w:rsidR="00E63721" w:rsidRPr="00E63721" w:rsidRDefault="00E63721" w:rsidP="00643B25">
      <w:r w:rsidRPr="00E63721">
        <w:t>Persistencia de tradiciones culturales, como el peso de la música clásica y el metal en Italia o la combinación de J-pop y electrónica en Japón.</w:t>
      </w:r>
    </w:p>
    <w:p w:rsidR="00E63721" w:rsidRPr="00E63721" w:rsidRDefault="00E63721" w:rsidP="00E63721">
      <w:r w:rsidRPr="00E63721">
        <w:t>En conclusión, los clústeres reflejan la homogeneización del consumo musical global, al mismo tiempo que muestran cómo los mercados locales refuerzan su identidad para destacar en la industria internacional.</w:t>
      </w:r>
    </w:p>
    <w:p w:rsidR="00DD6884" w:rsidRPr="0031338E" w:rsidRDefault="00DD6884" w:rsidP="00E63721"/>
    <w:sectPr w:rsidR="00DD6884" w:rsidRPr="0031338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roman"/>
    <w:pitch w:val="default"/>
  </w:font>
  <w:font w:name="Aptos Display">
    <w:altName w:val="Calibri"/>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07AFD"/>
    <w:multiLevelType w:val="multilevel"/>
    <w:tmpl w:val="242C1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CE69E3"/>
    <w:multiLevelType w:val="multilevel"/>
    <w:tmpl w:val="146E2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5F2DF9"/>
    <w:multiLevelType w:val="multilevel"/>
    <w:tmpl w:val="E6EC79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A7621DA"/>
    <w:multiLevelType w:val="multilevel"/>
    <w:tmpl w:val="E6A29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32E03A6"/>
    <w:multiLevelType w:val="multilevel"/>
    <w:tmpl w:val="3C5AC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7248278">
    <w:abstractNumId w:val="3"/>
  </w:num>
  <w:num w:numId="2" w16cid:durableId="14500715">
    <w:abstractNumId w:val="0"/>
  </w:num>
  <w:num w:numId="3" w16cid:durableId="1307902265">
    <w:abstractNumId w:val="1"/>
  </w:num>
  <w:num w:numId="4" w16cid:durableId="261304497">
    <w:abstractNumId w:val="4"/>
  </w:num>
  <w:num w:numId="5" w16cid:durableId="158703114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3929"/>
    <w:rsid w:val="001B7714"/>
    <w:rsid w:val="00297C22"/>
    <w:rsid w:val="0031338E"/>
    <w:rsid w:val="004851D9"/>
    <w:rsid w:val="00544C1E"/>
    <w:rsid w:val="00643B25"/>
    <w:rsid w:val="006A67BA"/>
    <w:rsid w:val="006F215B"/>
    <w:rsid w:val="00722BFE"/>
    <w:rsid w:val="00733929"/>
    <w:rsid w:val="00753A67"/>
    <w:rsid w:val="008008CD"/>
    <w:rsid w:val="008B06C3"/>
    <w:rsid w:val="00B0645F"/>
    <w:rsid w:val="00C443E7"/>
    <w:rsid w:val="00DD6884"/>
    <w:rsid w:val="00E349D7"/>
    <w:rsid w:val="00E63721"/>
    <w:rsid w:val="00ED216F"/>
    <w:rsid w:val="00F22FEB"/>
    <w:rsid w:val="00F23F5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D4CDC1"/>
  <w15:chartTrackingRefBased/>
  <w15:docId w15:val="{14870638-E4D6-4AFC-AAFD-70006F8D76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339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339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3392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3392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3392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3392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3392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3392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3392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3392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3392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3392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3392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3392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3392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3392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3392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33929"/>
    <w:rPr>
      <w:rFonts w:eastAsiaTheme="majorEastAsia" w:cstheme="majorBidi"/>
      <w:color w:val="272727" w:themeColor="text1" w:themeTint="D8"/>
    </w:rPr>
  </w:style>
  <w:style w:type="paragraph" w:styleId="Ttulo">
    <w:name w:val="Title"/>
    <w:basedOn w:val="Normal"/>
    <w:next w:val="Normal"/>
    <w:link w:val="TtuloCar"/>
    <w:uiPriority w:val="10"/>
    <w:qFormat/>
    <w:rsid w:val="007339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3392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3392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3392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33929"/>
    <w:pPr>
      <w:spacing w:before="160"/>
      <w:jc w:val="center"/>
    </w:pPr>
    <w:rPr>
      <w:i/>
      <w:iCs/>
      <w:color w:val="404040" w:themeColor="text1" w:themeTint="BF"/>
    </w:rPr>
  </w:style>
  <w:style w:type="character" w:customStyle="1" w:styleId="CitaCar">
    <w:name w:val="Cita Car"/>
    <w:basedOn w:val="Fuentedeprrafopredeter"/>
    <w:link w:val="Cita"/>
    <w:uiPriority w:val="29"/>
    <w:rsid w:val="00733929"/>
    <w:rPr>
      <w:i/>
      <w:iCs/>
      <w:color w:val="404040" w:themeColor="text1" w:themeTint="BF"/>
    </w:rPr>
  </w:style>
  <w:style w:type="paragraph" w:styleId="Prrafodelista">
    <w:name w:val="List Paragraph"/>
    <w:basedOn w:val="Normal"/>
    <w:uiPriority w:val="34"/>
    <w:qFormat/>
    <w:rsid w:val="00733929"/>
    <w:pPr>
      <w:ind w:left="720"/>
      <w:contextualSpacing/>
    </w:pPr>
  </w:style>
  <w:style w:type="character" w:styleId="nfasisintenso">
    <w:name w:val="Intense Emphasis"/>
    <w:basedOn w:val="Fuentedeprrafopredeter"/>
    <w:uiPriority w:val="21"/>
    <w:qFormat/>
    <w:rsid w:val="00733929"/>
    <w:rPr>
      <w:i/>
      <w:iCs/>
      <w:color w:val="0F4761" w:themeColor="accent1" w:themeShade="BF"/>
    </w:rPr>
  </w:style>
  <w:style w:type="paragraph" w:styleId="Citadestacada">
    <w:name w:val="Intense Quote"/>
    <w:basedOn w:val="Normal"/>
    <w:next w:val="Normal"/>
    <w:link w:val="CitadestacadaCar"/>
    <w:uiPriority w:val="30"/>
    <w:qFormat/>
    <w:rsid w:val="007339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33929"/>
    <w:rPr>
      <w:i/>
      <w:iCs/>
      <w:color w:val="0F4761" w:themeColor="accent1" w:themeShade="BF"/>
    </w:rPr>
  </w:style>
  <w:style w:type="character" w:styleId="Referenciaintensa">
    <w:name w:val="Intense Reference"/>
    <w:basedOn w:val="Fuentedeprrafopredeter"/>
    <w:uiPriority w:val="32"/>
    <w:qFormat/>
    <w:rsid w:val="0073392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TotalTime>
  <Pages>2</Pages>
  <Words>535</Words>
  <Characters>2948</Characters>
  <Application>Microsoft Office Word</Application>
  <DocSecurity>0</DocSecurity>
  <Lines>24</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liroy cataldo</dc:creator>
  <cp:keywords/>
  <dc:description/>
  <cp:lastModifiedBy>liroy cataldo</cp:lastModifiedBy>
  <cp:revision>14</cp:revision>
  <dcterms:created xsi:type="dcterms:W3CDTF">2025-09-20T22:01:00Z</dcterms:created>
  <dcterms:modified xsi:type="dcterms:W3CDTF">2025-09-20T23:11:00Z</dcterms:modified>
</cp:coreProperties>
</file>