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Unicode MS" w:hAnsi="Arial Unicode MS" w:eastAsia="Arial Unicode MS"/>
          <w:b/>
          <w:color w:val="162B40"/>
          <w:sz w:val="44"/>
        </w:rPr>
        <w:t>World2WAM 最新方法与 RoboTwin 成功率说明</w:t>
      </w:r>
    </w:p>
    <w:p>
      <w:pPr>
        <w:spacing w:after="240"/>
      </w:pPr>
      <w:r>
        <w:rPr>
          <w:rFonts w:ascii="Arial Unicode MS" w:hAnsi="Arial Unicode MS" w:eastAsia="Arial Unicode MS"/>
          <w:color w:val="5B6B7A"/>
          <w:sz w:val="24"/>
        </w:rPr>
        <w:t>给老师的项目交接与阶段性实验汇报</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5EE"/>
          </w:tcPr>
          <w:p>
            <w:pPr>
              <w:spacing w:after="0" w:line="269" w:lineRule="auto"/>
            </w:pPr>
            <w:r>
              <w:rPr>
                <w:rFonts w:ascii="Arial Unicode MS" w:hAnsi="Arial Unicode MS" w:eastAsia="Arial Unicode MS"/>
                <w:b/>
                <w:color w:val="217346"/>
                <w:sz w:val="21"/>
              </w:rPr>
              <w:t xml:space="preserve">一句话结论  </w:t>
            </w:r>
            <w:r>
              <w:rPr>
                <w:rFonts w:ascii="Arial Unicode MS" w:hAnsi="Arial Unicode MS" w:eastAsia="Arial Unicode MS"/>
                <w:color w:val="162B40"/>
                <w:sz w:val="21"/>
              </w:rPr>
              <w:t>我们没有改变官方 baseline 的评测规则，而是在同一个 FastWAM 起点上增加了轻量 LoRA 微调、未来状态预测、逆向/循环一致性约束和梯度冲突处理。最新 4 组 n=10 paired validation 中，R3 的综合成功率约为 66.5%，R0 baseline 约为 66.0%，目前是小幅领先，不是完整 benchmark 结论。</w:t>
            </w:r>
          </w:p>
        </w:tc>
      </w:tr>
    </w:tbl>
    <w:p>
      <w:pPr>
        <w:spacing w:after="20"/>
      </w:pPr>
    </w:p>
    <w:p>
      <w:pPr>
        <w:pStyle w:val="Heading1"/>
      </w:pPr>
      <w:r>
        <w:rPr>
          <w:rFonts w:ascii="Arial Unicode MS" w:hAnsi="Arial Unicode MS" w:eastAsia="Arial Unicode MS"/>
          <w:b/>
          <w:color w:val="2E74B5"/>
          <w:sz w:val="32"/>
        </w:rPr>
        <w:t>一、先把问题说清楚：我们到底改变了什么？</w:t>
      </w:r>
    </w:p>
    <w:p>
      <w:pPr/>
      <w:r>
        <w:rPr>
          <w:rFonts w:ascii="Arial Unicode MS" w:hAnsi="Arial Unicode MS" w:eastAsia="Arial Unicode MS"/>
          <w:color w:val="162B40"/>
          <w:sz w:val="22"/>
        </w:rPr>
        <w:t>这项工作不是重新训练一个完全独立的机器人策略，也不是修改 RoboTwin 的任务定义来获得更高分。实际做法是：保留官方 FastWAM checkpoint 作为 R0 baseline，然后在它上面增加一套面向世界状态建模和动作生成的辅助训练目标，最后仍然用同一个 RoboTwin evaluator 比较 R0 和 R3。</w:t>
      </w:r>
    </w:p>
    <w:tbl>
      <w:tblPr>
        <w:tblW w:type="dxa" w:w="9360"/>
        <w:jc w:val="left"/>
        <w:tblLayout w:type="fixed"/>
        <w:tblLook w:firstColumn="1" w:firstRow="1" w:lastColumn="0" w:lastRow="0" w:noHBand="0" w:noVBand="1" w:val="04A0"/>
        <w:tblInd w:w="120" w:type="dxa"/>
      </w:tblPr>
      <w:tblGrid>
        <w:gridCol w:w="1900"/>
        <w:gridCol w:w="4900"/>
        <w:gridCol w:w="2560"/>
      </w:tblGrid>
      <w:tr>
        <w:trPr>
          <w:tblHeader w:val="true"/>
        </w:trPr>
        <w:tc>
          <w:tcPr>
            <w:tcW w:type="dxa" w:w="190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对象</w:t>
            </w:r>
          </w:p>
        </w:tc>
        <w:tc>
          <w:tcPr>
            <w:tcW w:type="dxa" w:w="490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当前做法</w:t>
            </w:r>
          </w:p>
        </w:tc>
        <w:tc>
          <w:tcPr>
            <w:tcW w:type="dxa" w:w="256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目的</w:t>
            </w:r>
          </w:p>
        </w:tc>
      </w:tr>
      <w:tr>
        <w:tc>
          <w:tcPr>
            <w:tcW w:type="dxa" w:w="1900"/>
          </w:tcPr>
          <w:p>
            <w:pPr>
              <w:spacing w:after="0" w:line="252" w:lineRule="auto"/>
              <w:jc w:val="left"/>
            </w:pPr>
            <w:r/>
            <w:r>
              <w:rPr>
                <w:rFonts w:ascii="Arial Unicode MS" w:hAnsi="Arial Unicode MS" w:eastAsia="Arial Unicode MS"/>
                <w:b w:val="0"/>
                <w:color w:val="162B40"/>
                <w:sz w:val="20"/>
              </w:rPr>
              <w:t>R0 baseline</w:t>
            </w:r>
          </w:p>
        </w:tc>
        <w:tc>
          <w:tcPr>
            <w:tcW w:type="dxa" w:w="4900"/>
          </w:tcPr>
          <w:p>
            <w:pPr>
              <w:spacing w:after="0" w:line="252" w:lineRule="auto"/>
              <w:jc w:val="center"/>
            </w:pPr>
            <w:r/>
            <w:r>
              <w:rPr>
                <w:rFonts w:ascii="Arial Unicode MS" w:hAnsi="Arial Unicode MS" w:eastAsia="Arial Unicode MS"/>
                <w:b w:val="0"/>
                <w:color w:val="162B40"/>
                <w:sz w:val="20"/>
              </w:rPr>
              <w:t>直接使用官方 FastWAM checkpoint，不改 checkpoint、任务列表和评测逻辑。</w:t>
            </w:r>
          </w:p>
        </w:tc>
        <w:tc>
          <w:tcPr>
            <w:tcW w:type="dxa" w:w="2560"/>
          </w:tcPr>
          <w:p>
            <w:pPr>
              <w:spacing w:after="0" w:line="252" w:lineRule="auto"/>
              <w:jc w:val="center"/>
            </w:pPr>
            <w:r/>
            <w:r>
              <w:rPr>
                <w:rFonts w:ascii="Arial Unicode MS" w:hAnsi="Arial Unicode MS" w:eastAsia="Arial Unicode MS"/>
                <w:b w:val="0"/>
                <w:color w:val="162B40"/>
                <w:sz w:val="20"/>
              </w:rPr>
              <w:t>提供可信参照。</w:t>
            </w:r>
          </w:p>
        </w:tc>
      </w:tr>
      <w:tr>
        <w:tc>
          <w:tcPr>
            <w:tcW w:type="dxa" w:w="1900"/>
          </w:tcPr>
          <w:p>
            <w:pPr>
              <w:spacing w:after="0" w:line="252" w:lineRule="auto"/>
              <w:jc w:val="left"/>
            </w:pPr>
            <w:r/>
            <w:r>
              <w:rPr>
                <w:rFonts w:ascii="Arial Unicode MS" w:hAnsi="Arial Unicode MS" w:eastAsia="Arial Unicode MS"/>
                <w:b w:val="0"/>
                <w:color w:val="162B40"/>
                <w:sz w:val="20"/>
              </w:rPr>
              <w:t>R3 方法</w:t>
            </w:r>
          </w:p>
        </w:tc>
        <w:tc>
          <w:tcPr>
            <w:tcW w:type="dxa" w:w="4900"/>
          </w:tcPr>
          <w:p>
            <w:pPr>
              <w:spacing w:after="0" w:line="252" w:lineRule="auto"/>
              <w:jc w:val="center"/>
            </w:pPr>
            <w:r/>
            <w:r>
              <w:rPr>
                <w:rFonts w:ascii="Arial Unicode MS" w:hAnsi="Arial Unicode MS" w:eastAsia="Arial Unicode MS"/>
                <w:b w:val="0"/>
                <w:color w:val="162B40"/>
                <w:sz w:val="20"/>
              </w:rPr>
              <w:t>从官方 checkpoint 出发，只训练 LoRA 和新增的世界/动作头。</w:t>
            </w:r>
          </w:p>
        </w:tc>
        <w:tc>
          <w:tcPr>
            <w:tcW w:type="dxa" w:w="2560"/>
          </w:tcPr>
          <w:p>
            <w:pPr>
              <w:spacing w:after="0" w:line="252" w:lineRule="auto"/>
              <w:jc w:val="center"/>
            </w:pPr>
            <w:r/>
            <w:r>
              <w:rPr>
                <w:rFonts w:ascii="Arial Unicode MS" w:hAnsi="Arial Unicode MS" w:eastAsia="Arial Unicode MS"/>
                <w:b w:val="0"/>
                <w:color w:val="162B40"/>
                <w:sz w:val="20"/>
              </w:rPr>
              <w:t>在不破坏原有能力的前提下适配 RoboTwin。</w:t>
            </w:r>
          </w:p>
        </w:tc>
      </w:tr>
      <w:tr>
        <w:tc>
          <w:tcPr>
            <w:tcW w:type="dxa" w:w="1900"/>
          </w:tcPr>
          <w:p>
            <w:pPr>
              <w:spacing w:after="0" w:line="252" w:lineRule="auto"/>
              <w:jc w:val="left"/>
            </w:pPr>
            <w:r/>
            <w:r>
              <w:rPr>
                <w:rFonts w:ascii="Arial Unicode MS" w:hAnsi="Arial Unicode MS" w:eastAsia="Arial Unicode MS"/>
                <w:b w:val="0"/>
                <w:color w:val="162B40"/>
                <w:sz w:val="20"/>
              </w:rPr>
              <w:t>评测</w:t>
            </w:r>
          </w:p>
        </w:tc>
        <w:tc>
          <w:tcPr>
            <w:tcW w:type="dxa" w:w="4900"/>
          </w:tcPr>
          <w:p>
            <w:pPr>
              <w:spacing w:after="0" w:line="252" w:lineRule="auto"/>
              <w:jc w:val="center"/>
            </w:pPr>
            <w:r/>
            <w:r>
              <w:rPr>
                <w:rFonts w:ascii="Arial Unicode MS" w:hAnsi="Arial Unicode MS" w:eastAsia="Arial Unicode MS"/>
                <w:b w:val="0"/>
                <w:color w:val="162B40"/>
                <w:sz w:val="20"/>
              </w:rPr>
              <w:t>R0 与 R3 使用相同任务、相同 episode 数、相同 clean/random 条件。</w:t>
            </w:r>
          </w:p>
        </w:tc>
        <w:tc>
          <w:tcPr>
            <w:tcW w:type="dxa" w:w="2560"/>
          </w:tcPr>
          <w:p>
            <w:pPr>
              <w:spacing w:after="0" w:line="252" w:lineRule="auto"/>
              <w:jc w:val="center"/>
            </w:pPr>
            <w:r/>
            <w:r>
              <w:rPr>
                <w:rFonts w:ascii="Arial Unicode MS" w:hAnsi="Arial Unicode MS" w:eastAsia="Arial Unicode MS"/>
                <w:b w:val="0"/>
                <w:color w:val="162B40"/>
                <w:sz w:val="20"/>
              </w:rPr>
              <w:t>保证比较公平。</w:t>
            </w:r>
          </w:p>
        </w:tc>
      </w:tr>
      <w:tr>
        <w:tc>
          <w:tcPr>
            <w:tcW w:type="dxa" w:w="1900"/>
          </w:tcPr>
          <w:p>
            <w:pPr>
              <w:spacing w:after="0" w:line="252" w:lineRule="auto"/>
              <w:jc w:val="left"/>
            </w:pPr>
            <w:r/>
            <w:r>
              <w:rPr>
                <w:rFonts w:ascii="Arial Unicode MS" w:hAnsi="Arial Unicode MS" w:eastAsia="Arial Unicode MS"/>
                <w:b w:val="0"/>
                <w:color w:val="162B40"/>
                <w:sz w:val="20"/>
              </w:rPr>
              <w:t>结果口径</w:t>
            </w:r>
          </w:p>
        </w:tc>
        <w:tc>
          <w:tcPr>
            <w:tcW w:type="dxa" w:w="4900"/>
          </w:tcPr>
          <w:p>
            <w:pPr>
              <w:spacing w:after="0" w:line="252" w:lineRule="auto"/>
              <w:jc w:val="center"/>
            </w:pPr>
            <w:r/>
            <w:r>
              <w:rPr>
                <w:rFonts w:ascii="Arial Unicode MS" w:hAnsi="Arial Unicode MS" w:eastAsia="Arial Unicode MS"/>
                <w:b w:val="0"/>
                <w:color w:val="162B40"/>
                <w:sz w:val="20"/>
              </w:rPr>
              <w:t>只读取 summary.json、任务日志和 return code。</w:t>
            </w:r>
          </w:p>
        </w:tc>
        <w:tc>
          <w:tcPr>
            <w:tcW w:type="dxa" w:w="2560"/>
          </w:tcPr>
          <w:p>
            <w:pPr>
              <w:spacing w:after="0" w:line="252" w:lineRule="auto"/>
              <w:jc w:val="center"/>
            </w:pPr>
            <w:r/>
            <w:r>
              <w:rPr>
                <w:rFonts w:ascii="Arial Unicode MS" w:hAnsi="Arial Unicode MS" w:eastAsia="Arial Unicode MS"/>
                <w:b w:val="0"/>
                <w:color w:val="162B40"/>
                <w:sz w:val="20"/>
              </w:rPr>
              <w:t>避免把进程存在误报成成功率。</w:t>
            </w:r>
          </w:p>
        </w:tc>
      </w:tr>
    </w:tbl>
    <w:p>
      <w:pPr>
        <w:spacing w:after="20"/>
      </w:pPr>
    </w:p>
    <w:p>
      <w:pPr>
        <w:pStyle w:val="Heading1"/>
      </w:pPr>
      <w:r>
        <w:rPr>
          <w:rFonts w:ascii="Arial Unicode MS" w:hAnsi="Arial Unicode MS" w:eastAsia="Arial Unicode MS"/>
          <w:b/>
          <w:color w:val="2E74B5"/>
          <w:sz w:val="32"/>
        </w:rPr>
        <w:t>二、R3 方法的具体组成</w:t>
      </w:r>
    </w:p>
    <w:p>
      <w:pPr>
        <w:pStyle w:val="Heading2"/>
      </w:pPr>
      <w:r>
        <w:rPr>
          <w:rFonts w:ascii="Arial Unicode MS" w:hAnsi="Arial Unicode MS" w:eastAsia="Arial Unicode MS"/>
          <w:b/>
          <w:color w:val="2E74B5"/>
          <w:sz w:val="26"/>
        </w:rPr>
        <w:t>1. 以官方 FastWAM 为起点，不做全量重训</w:t>
      </w:r>
    </w:p>
    <w:p>
      <w:pPr/>
      <w:r>
        <w:rPr>
          <w:rFonts w:ascii="Arial Unicode MS" w:hAnsi="Arial Unicode MS" w:eastAsia="Arial Unicode MS"/>
          <w:color w:val="162B40"/>
          <w:sz w:val="22"/>
        </w:rPr>
        <w:t>R3 使用官方 RoboTwin FastWAM checkpoint 作为初始化模型。主干网络不是全部放开，而是在注意力模块 q/k/v/o 上插入 LoRA，LoRA rank=8、alpha=16。这样做的好处是训练参数量和显存压力更小，同时保留官方模型已经学到的动作先验。</w:t>
      </w:r>
    </w:p>
    <w:p>
      <w:pPr>
        <w:pStyle w:val="Heading2"/>
      </w:pPr>
      <w:r>
        <w:rPr>
          <w:rFonts w:ascii="Arial Unicode MS" w:hAnsi="Arial Unicode MS" w:eastAsia="Arial Unicode MS"/>
          <w:b/>
          <w:color w:val="2E74B5"/>
          <w:sz w:val="26"/>
        </w:rPr>
        <w:t>2. 加入未来 latent 预测，让模型不只看当前动作</w:t>
      </w:r>
    </w:p>
    <w:p>
      <w:pPr/>
      <w:r>
        <w:rPr>
          <w:rFonts w:ascii="Arial Unicode MS" w:hAnsi="Arial Unicode MS" w:eastAsia="Arial Unicode MS"/>
          <w:color w:val="162B40"/>
          <w:sz w:val="22"/>
        </w:rPr>
        <w:t>原始动作策略主要解决“当前观察下应该做什么”。R3 额外要求模型预测一个短时间后的 latent 表示。训练时使用当前 latent、文本条件和真实动作，学习未来状态；推理时使用模型自己的预测。这个辅助目标让模型更关注动作之后的状态变化，而不是只拟合眼前的一步动作。</w:t>
      </w:r>
    </w:p>
    <w:p>
      <w:pPr>
        <w:spacing w:before="40" w:after="120" w:line="240" w:lineRule="auto"/>
        <w:ind w:left="259" w:right="259"/>
      </w:pPr>
      <w:r>
        <w:rPr>
          <w:rFonts w:ascii="Arial Unicode MS" w:hAnsi="Arial Unicode MS" w:eastAsia="Arial Unicode MS"/>
          <w:color w:val="1F4D78"/>
          <w:sz w:val="19"/>
        </w:rPr>
        <w:t>当前 latent z_t + 文本条件 + 动作 a_t  →  未来 latent z_(t+1)</w:t>
      </w:r>
    </w:p>
    <w:p>
      <w:pPr>
        <w:pStyle w:val="Heading2"/>
      </w:pPr>
      <w:r>
        <w:rPr>
          <w:rFonts w:ascii="Arial Unicode MS" w:hAnsi="Arial Unicode MS" w:eastAsia="Arial Unicode MS"/>
          <w:b/>
          <w:color w:val="2E74B5"/>
          <w:sz w:val="26"/>
        </w:rPr>
        <w:t>3. 加入 Forward / Inverse / Cycle 三类一致性约束（FIC）</w:t>
      </w:r>
    </w:p>
    <w:p>
      <w:pPr/>
      <w:r>
        <w:rPr>
          <w:rFonts w:ascii="Arial Unicode MS" w:hAnsi="Arial Unicode MS" w:eastAsia="Arial Unicode MS"/>
          <w:color w:val="162B40"/>
          <w:sz w:val="22"/>
        </w:rPr>
        <w:t>FIC 的核心思想是：动作和世界状态之间应该互相解释，而不是只把动作误差压低。三类约束分别是：</w:t>
      </w:r>
    </w:p>
    <w:p>
      <w:pPr>
        <w:pStyle w:val="ListBullet"/>
        <w:spacing w:after="80" w:line="264" w:lineRule="auto"/>
      </w:pPr>
      <w:r>
        <w:rPr>
          <w:rFonts w:ascii="Arial Unicode MS" w:hAnsi="Arial Unicode MS" w:eastAsia="Arial Unicode MS"/>
          <w:color w:val="162B40"/>
          <w:sz w:val="22"/>
        </w:rPr>
        <w:t>Forward：当前状态和动作应能解释未来状态。</w:t>
      </w:r>
    </w:p>
    <w:p>
      <w:pPr>
        <w:pStyle w:val="ListBullet"/>
        <w:spacing w:after="80" w:line="264" w:lineRule="auto"/>
      </w:pPr>
      <w:r>
        <w:rPr>
          <w:rFonts w:ascii="Arial Unicode MS" w:hAnsi="Arial Unicode MS" w:eastAsia="Arial Unicode MS"/>
          <w:color w:val="162B40"/>
          <w:sz w:val="22"/>
        </w:rPr>
        <w:t>Inverse：给定当前状态和目标未来状态，应能反推出合理动作。</w:t>
      </w:r>
    </w:p>
    <w:p>
      <w:pPr>
        <w:pStyle w:val="ListBullet"/>
        <w:spacing w:after="80" w:line="264" w:lineRule="auto"/>
      </w:pPr>
      <w:r>
        <w:rPr>
          <w:rFonts w:ascii="Arial Unicode MS" w:hAnsi="Arial Unicode MS" w:eastAsia="Arial Unicode MS"/>
          <w:color w:val="162B40"/>
          <w:sz w:val="22"/>
        </w:rPr>
        <w:t>Cycle：先由动作预测未来，再由未来反推动作，结果应尽量回到原动作。</w:t>
      </w:r>
    </w:p>
    <w:p>
      <w:pPr/>
      <w:r>
        <w:rPr>
          <w:rFonts w:ascii="Arial Unicode MS" w:hAnsi="Arial Unicode MS" w:eastAsia="Arial Unicode MS"/>
          <w:color w:val="162B40"/>
          <w:sz w:val="22"/>
        </w:rPr>
        <w:t>训练总损失采用加权形式：</w:t>
      </w:r>
    </w:p>
    <w:p>
      <w:pPr>
        <w:spacing w:before="40" w:after="120" w:line="240" w:lineRule="auto"/>
        <w:ind w:left="259" w:right="259"/>
      </w:pPr>
      <w:r>
        <w:rPr>
          <w:rFonts w:ascii="Arial Unicode MS" w:hAnsi="Arial Unicode MS" w:eastAsia="Arial Unicode MS"/>
          <w:color w:val="1F4D78"/>
          <w:sz w:val="19"/>
        </w:rPr>
        <w:t>L = 1.0·L_action + 0.1·L_forward + 0.05·L_inverse + 0.05·L_cycle</w:t>
      </w:r>
    </w:p>
    <w:p>
      <w:pPr/>
      <w:r>
        <w:rPr>
          <w:rFonts w:ascii="Arial Unicode MS" w:hAnsi="Arial Unicode MS" w:eastAsia="Arial Unicode MS"/>
          <w:color w:val="162B40"/>
          <w:sz w:val="22"/>
        </w:rPr>
        <w:t>动作损失仍然是主目标，FIC 是辅助约束，因此不会让世界建模目标完全压过动作控制目标。</w:t>
      </w:r>
    </w:p>
    <w:p>
      <w:pPr>
        <w:pStyle w:val="Heading2"/>
      </w:pPr>
      <w:r>
        <w:rPr>
          <w:rFonts w:ascii="Arial Unicode MS" w:hAnsi="Arial Unicode MS" w:eastAsia="Arial Unicode MS"/>
          <w:b/>
          <w:color w:val="2E74B5"/>
          <w:sz w:val="26"/>
        </w:rPr>
        <w:t>4. 处理动作目标与世界目标之间的梯度冲突</w:t>
      </w:r>
    </w:p>
    <w:p>
      <w:pPr/>
      <w:r>
        <w:rPr>
          <w:rFonts w:ascii="Arial Unicode MS" w:hAnsi="Arial Unicode MS" w:eastAsia="Arial Unicode MS"/>
          <w:color w:val="162B40"/>
          <w:sz w:val="22"/>
        </w:rPr>
        <w:t>动作损失希望参数朝一个方向更新，Forward/Inverse/Cycle 可能希望参数朝另一个方向更新。如果两个梯度方向相反，直接相加会互相抵消。R3 使用 project_conflicts：检测到冲突时，把世界目标梯度投影到不伤害动作目标的方向，再进行更新。</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0" w:line="269" w:lineRule="auto"/>
            </w:pPr>
            <w:r>
              <w:rPr>
                <w:rFonts w:ascii="Arial Unicode MS" w:hAnsi="Arial Unicode MS" w:eastAsia="Arial Unicode MS"/>
                <w:b/>
                <w:color w:val="7A5A00"/>
                <w:sz w:val="21"/>
              </w:rPr>
              <w:t xml:space="preserve">直观理解  </w:t>
            </w:r>
            <w:r>
              <w:rPr>
                <w:rFonts w:ascii="Arial Unicode MS" w:hAnsi="Arial Unicode MS" w:eastAsia="Arial Unicode MS"/>
                <w:color w:val="162B40"/>
                <w:sz w:val="21"/>
              </w:rPr>
              <w:t>不是简单地把所有损失相加，而是先问“这个世界建模更新会不会破坏动作生成”，如果会，就去掉冲突分量。</w:t>
            </w:r>
          </w:p>
        </w:tc>
      </w:tr>
    </w:tbl>
    <w:p>
      <w:pPr>
        <w:spacing w:after="20"/>
      </w:pPr>
    </w:p>
    <w:p>
      <w:pPr>
        <w:pStyle w:val="Heading2"/>
      </w:pPr>
      <w:r>
        <w:rPr>
          <w:rFonts w:ascii="Arial Unicode MS" w:hAnsi="Arial Unicode MS" w:eastAsia="Arial Unicode MS"/>
          <w:b/>
          <w:color w:val="2E74B5"/>
          <w:sz w:val="26"/>
        </w:rPr>
        <w:t>5. 对困难任务增加训练采样权重</w:t>
      </w:r>
    </w:p>
    <w:p>
      <w:pPr/>
      <w:r>
        <w:rPr>
          <w:rFonts w:ascii="Arial Unicode MS" w:hAnsi="Arial Unicode MS" w:eastAsia="Arial Unicode MS"/>
          <w:color w:val="162B40"/>
          <w:sz w:val="22"/>
        </w:rPr>
        <w:t>训练中约 70% 的样本来自预先标记的困难任务关键词，例如 dual、three、stapler、hammer、cabinet、switch、stamp。这样做不是修改测试集，而是让模型在训练阶段更频繁看到双物体、多步骤、接触和精细操作等高难度场景。</w:t>
      </w:r>
    </w:p>
    <w:p>
      <w:pPr>
        <w:pStyle w:val="Heading1"/>
      </w:pPr>
      <w:r>
        <w:rPr>
          <w:rFonts w:ascii="Arial Unicode MS" w:hAnsi="Arial Unicode MS" w:eastAsia="Arial Unicode MS"/>
          <w:b/>
          <w:color w:val="2E74B5"/>
          <w:sz w:val="32"/>
        </w:rPr>
        <w:t>三、从数据到结果的实际流水线</w:t>
      </w:r>
    </w:p>
    <w:p>
      <w:pPr>
        <w:pStyle w:val="ListNumber"/>
        <w:spacing w:after="80" w:line="264" w:lineRule="auto"/>
      </w:pPr>
      <w:r>
        <w:rPr>
          <w:rFonts w:ascii="Arial Unicode MS" w:hAnsi="Arial Unicode MS" w:eastAsia="Arial Unicode MS"/>
          <w:color w:val="162B40"/>
          <w:sz w:val="22"/>
        </w:rPr>
        <w:t>准备官方 FastWAM checkpoint、RoboTwin 2.0 数据、任务配置和仿真资产。先验证 background_texture、embodiments、objects 以及 task_config 是否齐全。</w:t>
      </w:r>
    </w:p>
    <w:p>
      <w:pPr>
        <w:pStyle w:val="ListNumber"/>
        <w:spacing w:after="80" w:line="264" w:lineRule="auto"/>
      </w:pPr>
      <w:r>
        <w:rPr>
          <w:rFonts w:ascii="Arial Unicode MS" w:hAnsi="Arial Unicode MS" w:eastAsia="Arial Unicode MS"/>
          <w:color w:val="162B40"/>
          <w:sz w:val="22"/>
        </w:rPr>
        <w:t>预计算文本 embedding 和 future latent cache。future latent cache 被切成多个 shard 并行生成，避免训练时反复做昂贵的 VAE/latent 计算。</w:t>
      </w:r>
    </w:p>
    <w:p>
      <w:pPr>
        <w:pStyle w:val="ListNumber"/>
        <w:spacing w:after="80" w:line="264" w:lineRule="auto"/>
      </w:pPr>
      <w:r>
        <w:rPr>
          <w:rFonts w:ascii="Arial Unicode MS" w:hAnsi="Arial Unicode MS" w:eastAsia="Arial Unicode MS"/>
          <w:color w:val="162B40"/>
          <w:sz w:val="22"/>
        </w:rPr>
        <w:t>用 R3 配置训练 LoRA/FIC。当前实际配置为 bf16、batch size=1、learning rate=1e-4、最大训练步数=3000，并在前 500 步进行 future loss warmup。</w:t>
      </w:r>
    </w:p>
    <w:p>
      <w:pPr>
        <w:pStyle w:val="ListNumber"/>
        <w:spacing w:after="80" w:line="264" w:lineRule="auto"/>
      </w:pPr>
      <w:r>
        <w:rPr>
          <w:rFonts w:ascii="Arial Unicode MS" w:hAnsi="Arial Unicode MS" w:eastAsia="Arial Unicode MS"/>
          <w:color w:val="162B40"/>
          <w:sz w:val="22"/>
        </w:rPr>
        <w:t>把训练 bundle 导出成可直接部署的 merged checkpoint：R3_lora_fic_merged.pt。R0 仍然使用官方 checkpoint。</w:t>
      </w:r>
    </w:p>
    <w:p>
      <w:pPr>
        <w:pStyle w:val="ListNumber"/>
        <w:spacing w:after="80" w:line="264" w:lineRule="auto"/>
      </w:pPr>
      <w:r>
        <w:rPr>
          <w:rFonts w:ascii="Arial Unicode MS" w:hAnsi="Arial Unicode MS" w:eastAsia="Arial Unicode MS"/>
          <w:color w:val="162B40"/>
          <w:sz w:val="22"/>
        </w:rPr>
        <w:t>用同一个 eval_robotwin_physical.py 对 R0 和 R3 评测，分别生成 summary.json、summary.csv 和每个任务的日志。</w:t>
      </w:r>
    </w:p>
    <w:p>
      <w:pPr>
        <w:pStyle w:val="ListNumber"/>
        <w:spacing w:after="80" w:line="264" w:lineRule="auto"/>
      </w:pPr>
      <w:r>
        <w:rPr>
          <w:rFonts w:ascii="Arial Unicode MS" w:hAnsi="Arial Unicode MS" w:eastAsia="Arial Unicode MS"/>
          <w:color w:val="162B40"/>
          <w:sz w:val="22"/>
        </w:rPr>
        <w:t>只有 summary.json 能解析、成功率非空且 return code 明确时，才把结果写入汇报。</w:t>
      </w:r>
    </w:p>
    <w:p>
      <w:pPr>
        <w:pStyle w:val="Heading1"/>
      </w:pPr>
      <w:r>
        <w:rPr>
          <w:rFonts w:ascii="Arial Unicode MS" w:hAnsi="Arial Unicode MS" w:eastAsia="Arial Unicode MS"/>
          <w:b/>
          <w:color w:val="2E74B5"/>
          <w:sz w:val="32"/>
        </w:rPr>
        <w:t>四、成功率是怎么测出来的？</w:t>
      </w:r>
    </w:p>
    <w:p>
      <w:pPr/>
      <w:r>
        <w:rPr>
          <w:rFonts w:ascii="Arial Unicode MS" w:hAnsi="Arial Unicode MS" w:eastAsia="Arial Unicode MS"/>
          <w:color w:val="162B40"/>
          <w:sz w:val="22"/>
        </w:rPr>
        <w:t>RoboTwin 的成功率不是训练 loss，也不是 GPU 利用率。每个任务重复运行若干 episode，仿真器根据任务完成条件返回成功或失败，再按任务和环境条件统计。当前 paired validation 同时测试两种条件：</w:t>
      </w:r>
    </w:p>
    <w:p>
      <w:pPr>
        <w:pStyle w:val="ListBullet"/>
        <w:spacing w:after="80" w:line="264" w:lineRule="auto"/>
      </w:pPr>
      <w:r>
        <w:rPr>
          <w:rFonts w:ascii="Arial Unicode MS" w:hAnsi="Arial Unicode MS" w:eastAsia="Arial Unicode MS"/>
          <w:color w:val="162B40"/>
          <w:sz w:val="22"/>
        </w:rPr>
        <w:t>clean：标准环境或干净视觉条件。</w:t>
      </w:r>
    </w:p>
    <w:p>
      <w:pPr>
        <w:pStyle w:val="ListBullet"/>
        <w:spacing w:after="80" w:line="264" w:lineRule="auto"/>
      </w:pPr>
      <w:r>
        <w:rPr>
          <w:rFonts w:ascii="Arial Unicode MS" w:hAnsi="Arial Unicode MS" w:eastAsia="Arial Unicode MS"/>
          <w:color w:val="162B40"/>
          <w:sz w:val="22"/>
        </w:rPr>
        <w:t>random：加入随机背景、物体或视觉扰动，用来检查泛化能力。</w:t>
      </w:r>
    </w:p>
    <w:p>
      <w:pPr/>
      <w:r>
        <w:rPr>
          <w:rFonts w:ascii="Arial Unicode MS" w:hAnsi="Arial Unicode MS" w:eastAsia="Arial Unicode MS"/>
          <w:color w:val="162B40"/>
          <w:sz w:val="22"/>
        </w:rPr>
        <w:t>每一组 R0/R3 都使用相同的 5 个任务和相同的 10 episodes，因此可以直接比较。当前已完成 fixed5、next5B、next5C、next5D 四组，合计 20 个任务槽、每个任务 10 episodes。该结果属于 validation，不是完整全任务 benchmark。</w:t>
      </w:r>
    </w:p>
    <w:p>
      <w:pPr>
        <w:pStyle w:val="Heading1"/>
      </w:pPr>
      <w:r>
        <w:rPr>
          <w:rFonts w:ascii="Arial Unicode MS" w:hAnsi="Arial Unicode MS" w:eastAsia="Arial Unicode MS"/>
          <w:b/>
          <w:color w:val="2E74B5"/>
          <w:sz w:val="32"/>
        </w:rPr>
        <w:t>五、最新结果：R3 是否真的超过 baseline？</w:t>
      </w:r>
    </w:p>
    <w:tbl>
      <w:tblPr>
        <w:tblW w:type="dxa" w:w="9370"/>
        <w:jc w:val="left"/>
        <w:tblLayout w:type="fixed"/>
        <w:tblLook w:firstColumn="1" w:firstRow="1" w:lastColumn="0" w:lastRow="0" w:noHBand="0" w:noVBand="1" w:val="04A0"/>
        <w:tblInd w:w="120" w:type="dxa"/>
      </w:tblPr>
      <w:tblGrid>
        <w:gridCol w:w="1450"/>
        <w:gridCol w:w="1320"/>
        <w:gridCol w:w="1320"/>
        <w:gridCol w:w="1320"/>
        <w:gridCol w:w="1320"/>
        <w:gridCol w:w="1320"/>
        <w:gridCol w:w="1320"/>
      </w:tblGrid>
      <w:tr>
        <w:trPr>
          <w:tblHeader w:val="true"/>
        </w:trPr>
        <w:tc>
          <w:tcPr>
            <w:tcW w:type="dxa" w:w="145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评测组</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R0 clean</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R3 clean</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R0 random</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R3 random</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R0 avg</w:t>
            </w:r>
          </w:p>
        </w:tc>
        <w:tc>
          <w:tcPr>
            <w:tcW w:type="dxa" w:w="132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R3 avg</w:t>
            </w:r>
          </w:p>
        </w:tc>
      </w:tr>
      <w:tr>
        <w:tc>
          <w:tcPr>
            <w:tcW w:type="dxa" w:w="1450"/>
          </w:tcPr>
          <w:p>
            <w:pPr>
              <w:spacing w:after="0" w:line="252" w:lineRule="auto"/>
              <w:jc w:val="left"/>
            </w:pPr>
            <w:r/>
            <w:r>
              <w:rPr>
                <w:rFonts w:ascii="Arial Unicode MS" w:hAnsi="Arial Unicode MS" w:eastAsia="Arial Unicode MS"/>
                <w:b w:val="0"/>
                <w:color w:val="162B40"/>
                <w:sz w:val="20"/>
              </w:rPr>
              <w:t>fixed5</w:t>
            </w:r>
          </w:p>
        </w:tc>
        <w:tc>
          <w:tcPr>
            <w:tcW w:type="dxa" w:w="1320"/>
          </w:tcPr>
          <w:p>
            <w:pPr>
              <w:spacing w:after="0" w:line="252" w:lineRule="auto"/>
              <w:jc w:val="center"/>
            </w:pPr>
            <w:r/>
            <w:r>
              <w:rPr>
                <w:rFonts w:ascii="Arial Unicode MS" w:hAnsi="Arial Unicode MS" w:eastAsia="Arial Unicode MS"/>
                <w:b w:val="0"/>
                <w:color w:val="162B40"/>
                <w:sz w:val="20"/>
              </w:rPr>
              <w:t>72%</w:t>
            </w:r>
          </w:p>
        </w:tc>
        <w:tc>
          <w:tcPr>
            <w:tcW w:type="dxa" w:w="1320"/>
          </w:tcPr>
          <w:p>
            <w:pPr>
              <w:spacing w:after="0" w:line="252" w:lineRule="auto"/>
              <w:jc w:val="center"/>
            </w:pPr>
            <w:r/>
            <w:r>
              <w:rPr>
                <w:rFonts w:ascii="Arial Unicode MS" w:hAnsi="Arial Unicode MS" w:eastAsia="Arial Unicode MS"/>
                <w:b w:val="0"/>
                <w:color w:val="162B40"/>
                <w:sz w:val="20"/>
              </w:rPr>
              <w:t>72%</w:t>
            </w:r>
          </w:p>
        </w:tc>
        <w:tc>
          <w:tcPr>
            <w:tcW w:type="dxa" w:w="1320"/>
          </w:tcPr>
          <w:p>
            <w:pPr>
              <w:spacing w:after="0" w:line="252" w:lineRule="auto"/>
              <w:jc w:val="center"/>
            </w:pPr>
            <w:r/>
            <w:r>
              <w:rPr>
                <w:rFonts w:ascii="Arial Unicode MS" w:hAnsi="Arial Unicode MS" w:eastAsia="Arial Unicode MS"/>
                <w:b w:val="0"/>
                <w:color w:val="162B40"/>
                <w:sz w:val="20"/>
              </w:rPr>
              <w:t>60%</w:t>
            </w:r>
          </w:p>
        </w:tc>
        <w:tc>
          <w:tcPr>
            <w:tcW w:type="dxa" w:w="1320"/>
          </w:tcPr>
          <w:p>
            <w:pPr>
              <w:spacing w:after="0" w:line="252" w:lineRule="auto"/>
              <w:jc w:val="center"/>
            </w:pPr>
            <w:r/>
            <w:r>
              <w:rPr>
                <w:rFonts w:ascii="Arial Unicode MS" w:hAnsi="Arial Unicode MS" w:eastAsia="Arial Unicode MS"/>
                <w:b w:val="0"/>
                <w:color w:val="162B40"/>
                <w:sz w:val="20"/>
              </w:rPr>
              <w:t>64%</w:t>
            </w:r>
          </w:p>
        </w:tc>
        <w:tc>
          <w:tcPr>
            <w:tcW w:type="dxa" w:w="1320"/>
          </w:tcPr>
          <w:p>
            <w:pPr>
              <w:spacing w:after="0" w:line="252" w:lineRule="auto"/>
              <w:jc w:val="center"/>
            </w:pPr>
            <w:r/>
            <w:r>
              <w:rPr>
                <w:rFonts w:ascii="Arial Unicode MS" w:hAnsi="Arial Unicode MS" w:eastAsia="Arial Unicode MS"/>
                <w:b w:val="0"/>
                <w:color w:val="162B40"/>
                <w:sz w:val="20"/>
              </w:rPr>
              <w:t>66%</w:t>
            </w:r>
          </w:p>
        </w:tc>
        <w:tc>
          <w:tcPr>
            <w:tcW w:type="dxa" w:w="1320"/>
          </w:tcPr>
          <w:p>
            <w:pPr>
              <w:spacing w:after="0" w:line="252" w:lineRule="auto"/>
              <w:jc w:val="center"/>
            </w:pPr>
            <w:r/>
            <w:r>
              <w:rPr>
                <w:rFonts w:ascii="Arial Unicode MS" w:hAnsi="Arial Unicode MS" w:eastAsia="Arial Unicode MS"/>
                <w:b w:val="0"/>
                <w:color w:val="162B40"/>
                <w:sz w:val="20"/>
              </w:rPr>
              <w:t>68%</w:t>
            </w:r>
          </w:p>
        </w:tc>
      </w:tr>
      <w:tr>
        <w:tc>
          <w:tcPr>
            <w:tcW w:type="dxa" w:w="1450"/>
          </w:tcPr>
          <w:p>
            <w:pPr>
              <w:spacing w:after="0" w:line="252" w:lineRule="auto"/>
              <w:jc w:val="left"/>
            </w:pPr>
            <w:r/>
            <w:r>
              <w:rPr>
                <w:rFonts w:ascii="Arial Unicode MS" w:hAnsi="Arial Unicode MS" w:eastAsia="Arial Unicode MS"/>
                <w:b w:val="0"/>
                <w:color w:val="162B40"/>
                <w:sz w:val="20"/>
              </w:rPr>
              <w:t>next5B</w:t>
            </w:r>
          </w:p>
        </w:tc>
        <w:tc>
          <w:tcPr>
            <w:tcW w:type="dxa" w:w="1320"/>
          </w:tcPr>
          <w:p>
            <w:pPr>
              <w:spacing w:after="0" w:line="252" w:lineRule="auto"/>
              <w:jc w:val="center"/>
            </w:pPr>
            <w:r/>
            <w:r>
              <w:rPr>
                <w:rFonts w:ascii="Arial Unicode MS" w:hAnsi="Arial Unicode MS" w:eastAsia="Arial Unicode MS"/>
                <w:b w:val="0"/>
                <w:color w:val="162B40"/>
                <w:sz w:val="20"/>
              </w:rPr>
              <w:t>68%</w:t>
            </w:r>
          </w:p>
        </w:tc>
        <w:tc>
          <w:tcPr>
            <w:tcW w:type="dxa" w:w="1320"/>
          </w:tcPr>
          <w:p>
            <w:pPr>
              <w:spacing w:after="0" w:line="252" w:lineRule="auto"/>
              <w:jc w:val="center"/>
            </w:pPr>
            <w:r/>
            <w:r>
              <w:rPr>
                <w:rFonts w:ascii="Arial Unicode MS" w:hAnsi="Arial Unicode MS" w:eastAsia="Arial Unicode MS"/>
                <w:b w:val="0"/>
                <w:color w:val="162B40"/>
                <w:sz w:val="20"/>
              </w:rPr>
              <w:t>68%</w:t>
            </w:r>
          </w:p>
        </w:tc>
        <w:tc>
          <w:tcPr>
            <w:tcW w:type="dxa" w:w="1320"/>
          </w:tcPr>
          <w:p>
            <w:pPr>
              <w:spacing w:after="0" w:line="252" w:lineRule="auto"/>
              <w:jc w:val="center"/>
            </w:pPr>
            <w:r/>
            <w:r>
              <w:rPr>
                <w:rFonts w:ascii="Arial Unicode MS" w:hAnsi="Arial Unicode MS" w:eastAsia="Arial Unicode MS"/>
                <w:b w:val="0"/>
                <w:color w:val="162B40"/>
                <w:sz w:val="20"/>
              </w:rPr>
              <w:t>72%</w:t>
            </w:r>
          </w:p>
        </w:tc>
        <w:tc>
          <w:tcPr>
            <w:tcW w:type="dxa" w:w="1320"/>
          </w:tcPr>
          <w:p>
            <w:pPr>
              <w:spacing w:after="0" w:line="252" w:lineRule="auto"/>
              <w:jc w:val="center"/>
            </w:pPr>
            <w:r/>
            <w:r>
              <w:rPr>
                <w:rFonts w:ascii="Arial Unicode MS" w:hAnsi="Arial Unicode MS" w:eastAsia="Arial Unicode MS"/>
                <w:b w:val="0"/>
                <w:color w:val="162B40"/>
                <w:sz w:val="20"/>
              </w:rPr>
              <w:t>70%</w:t>
            </w:r>
          </w:p>
        </w:tc>
        <w:tc>
          <w:tcPr>
            <w:tcW w:type="dxa" w:w="1320"/>
          </w:tcPr>
          <w:p>
            <w:pPr>
              <w:spacing w:after="0" w:line="252" w:lineRule="auto"/>
              <w:jc w:val="center"/>
            </w:pPr>
            <w:r/>
            <w:r>
              <w:rPr>
                <w:rFonts w:ascii="Arial Unicode MS" w:hAnsi="Arial Unicode MS" w:eastAsia="Arial Unicode MS"/>
                <w:b w:val="0"/>
                <w:color w:val="162B40"/>
                <w:sz w:val="20"/>
              </w:rPr>
              <w:t>70%</w:t>
            </w:r>
          </w:p>
        </w:tc>
        <w:tc>
          <w:tcPr>
            <w:tcW w:type="dxa" w:w="1320"/>
          </w:tcPr>
          <w:p>
            <w:pPr>
              <w:spacing w:after="0" w:line="252" w:lineRule="auto"/>
              <w:jc w:val="center"/>
            </w:pPr>
            <w:r/>
            <w:r>
              <w:rPr>
                <w:rFonts w:ascii="Arial Unicode MS" w:hAnsi="Arial Unicode MS" w:eastAsia="Arial Unicode MS"/>
                <w:b w:val="0"/>
                <w:color w:val="162B40"/>
                <w:sz w:val="20"/>
              </w:rPr>
              <w:t>69%</w:t>
            </w:r>
          </w:p>
        </w:tc>
      </w:tr>
      <w:tr>
        <w:tc>
          <w:tcPr>
            <w:tcW w:type="dxa" w:w="1450"/>
          </w:tcPr>
          <w:p>
            <w:pPr>
              <w:spacing w:after="0" w:line="252" w:lineRule="auto"/>
              <w:jc w:val="left"/>
            </w:pPr>
            <w:r/>
            <w:r>
              <w:rPr>
                <w:rFonts w:ascii="Arial Unicode MS" w:hAnsi="Arial Unicode MS" w:eastAsia="Arial Unicode MS"/>
                <w:b w:val="0"/>
                <w:color w:val="162B40"/>
                <w:sz w:val="20"/>
              </w:rPr>
              <w:t>next5C</w:t>
            </w:r>
          </w:p>
        </w:tc>
        <w:tc>
          <w:tcPr>
            <w:tcW w:type="dxa" w:w="1320"/>
          </w:tcPr>
          <w:p>
            <w:pPr>
              <w:spacing w:after="0" w:line="252" w:lineRule="auto"/>
              <w:jc w:val="center"/>
            </w:pPr>
            <w:r/>
            <w:r>
              <w:rPr>
                <w:rFonts w:ascii="Arial Unicode MS" w:hAnsi="Arial Unicode MS" w:eastAsia="Arial Unicode MS"/>
                <w:b w:val="0"/>
                <w:color w:val="162B40"/>
                <w:sz w:val="20"/>
              </w:rPr>
              <w:t>66%</w:t>
            </w:r>
          </w:p>
        </w:tc>
        <w:tc>
          <w:tcPr>
            <w:tcW w:type="dxa" w:w="1320"/>
          </w:tcPr>
          <w:p>
            <w:pPr>
              <w:spacing w:after="0" w:line="252" w:lineRule="auto"/>
              <w:jc w:val="center"/>
            </w:pPr>
            <w:r/>
            <w:r>
              <w:rPr>
                <w:rFonts w:ascii="Arial Unicode MS" w:hAnsi="Arial Unicode MS" w:eastAsia="Arial Unicode MS"/>
                <w:b w:val="0"/>
                <w:color w:val="162B40"/>
                <w:sz w:val="20"/>
              </w:rPr>
              <w:t>70%</w:t>
            </w:r>
          </w:p>
        </w:tc>
        <w:tc>
          <w:tcPr>
            <w:tcW w:type="dxa" w:w="1320"/>
          </w:tcPr>
          <w:p>
            <w:pPr>
              <w:spacing w:after="0" w:line="252" w:lineRule="auto"/>
              <w:jc w:val="center"/>
            </w:pPr>
            <w:r/>
            <w:r>
              <w:rPr>
                <w:rFonts w:ascii="Arial Unicode MS" w:hAnsi="Arial Unicode MS" w:eastAsia="Arial Unicode MS"/>
                <w:b w:val="0"/>
                <w:color w:val="162B40"/>
                <w:sz w:val="20"/>
              </w:rPr>
              <w:t>64%</w:t>
            </w:r>
          </w:p>
        </w:tc>
        <w:tc>
          <w:tcPr>
            <w:tcW w:type="dxa" w:w="1320"/>
          </w:tcPr>
          <w:p>
            <w:pPr>
              <w:spacing w:after="0" w:line="252" w:lineRule="auto"/>
              <w:jc w:val="center"/>
            </w:pPr>
            <w:r/>
            <w:r>
              <w:rPr>
                <w:rFonts w:ascii="Arial Unicode MS" w:hAnsi="Arial Unicode MS" w:eastAsia="Arial Unicode MS"/>
                <w:b w:val="0"/>
                <w:color w:val="162B40"/>
                <w:sz w:val="20"/>
              </w:rPr>
              <w:t>66%</w:t>
            </w:r>
          </w:p>
        </w:tc>
        <w:tc>
          <w:tcPr>
            <w:tcW w:type="dxa" w:w="1320"/>
          </w:tcPr>
          <w:p>
            <w:pPr>
              <w:spacing w:after="0" w:line="252" w:lineRule="auto"/>
              <w:jc w:val="center"/>
            </w:pPr>
            <w:r/>
            <w:r>
              <w:rPr>
                <w:rFonts w:ascii="Arial Unicode MS" w:hAnsi="Arial Unicode MS" w:eastAsia="Arial Unicode MS"/>
                <w:b w:val="0"/>
                <w:color w:val="162B40"/>
                <w:sz w:val="20"/>
              </w:rPr>
              <w:t>65%</w:t>
            </w:r>
          </w:p>
        </w:tc>
        <w:tc>
          <w:tcPr>
            <w:tcW w:type="dxa" w:w="1320"/>
          </w:tcPr>
          <w:p>
            <w:pPr>
              <w:spacing w:after="0" w:line="252" w:lineRule="auto"/>
              <w:jc w:val="center"/>
            </w:pPr>
            <w:r/>
            <w:r>
              <w:rPr>
                <w:rFonts w:ascii="Arial Unicode MS" w:hAnsi="Arial Unicode MS" w:eastAsia="Arial Unicode MS"/>
                <w:b w:val="0"/>
                <w:color w:val="162B40"/>
                <w:sz w:val="20"/>
              </w:rPr>
              <w:t>68%</w:t>
            </w:r>
          </w:p>
        </w:tc>
      </w:tr>
      <w:tr>
        <w:tc>
          <w:tcPr>
            <w:tcW w:type="dxa" w:w="1450"/>
          </w:tcPr>
          <w:p>
            <w:pPr>
              <w:spacing w:after="0" w:line="252" w:lineRule="auto"/>
              <w:jc w:val="left"/>
            </w:pPr>
            <w:r/>
            <w:r>
              <w:rPr>
                <w:rFonts w:ascii="Arial Unicode MS" w:hAnsi="Arial Unicode MS" w:eastAsia="Arial Unicode MS"/>
                <w:b w:val="0"/>
                <w:color w:val="162B40"/>
                <w:sz w:val="20"/>
              </w:rPr>
              <w:t>next5D</w:t>
            </w:r>
          </w:p>
        </w:tc>
        <w:tc>
          <w:tcPr>
            <w:tcW w:type="dxa" w:w="1320"/>
          </w:tcPr>
          <w:p>
            <w:pPr>
              <w:spacing w:after="0" w:line="252" w:lineRule="auto"/>
              <w:jc w:val="center"/>
            </w:pPr>
            <w:r/>
            <w:r>
              <w:rPr>
                <w:rFonts w:ascii="Arial Unicode MS" w:hAnsi="Arial Unicode MS" w:eastAsia="Arial Unicode MS"/>
                <w:b w:val="0"/>
                <w:color w:val="162B40"/>
                <w:sz w:val="20"/>
              </w:rPr>
              <w:t>64%</w:t>
            </w:r>
          </w:p>
        </w:tc>
        <w:tc>
          <w:tcPr>
            <w:tcW w:type="dxa" w:w="1320"/>
          </w:tcPr>
          <w:p>
            <w:pPr>
              <w:spacing w:after="0" w:line="252" w:lineRule="auto"/>
              <w:jc w:val="center"/>
            </w:pPr>
            <w:r/>
            <w:r>
              <w:rPr>
                <w:rFonts w:ascii="Arial Unicode MS" w:hAnsi="Arial Unicode MS" w:eastAsia="Arial Unicode MS"/>
                <w:b w:val="0"/>
                <w:color w:val="162B40"/>
                <w:sz w:val="20"/>
              </w:rPr>
              <w:t>66%</w:t>
            </w:r>
          </w:p>
        </w:tc>
        <w:tc>
          <w:tcPr>
            <w:tcW w:type="dxa" w:w="1320"/>
          </w:tcPr>
          <w:p>
            <w:pPr>
              <w:spacing w:after="0" w:line="252" w:lineRule="auto"/>
              <w:jc w:val="center"/>
            </w:pPr>
            <w:r/>
            <w:r>
              <w:rPr>
                <w:rFonts w:ascii="Arial Unicode MS" w:hAnsi="Arial Unicode MS" w:eastAsia="Arial Unicode MS"/>
                <w:b w:val="0"/>
                <w:color w:val="162B40"/>
                <w:sz w:val="20"/>
              </w:rPr>
              <w:t>62%</w:t>
            </w:r>
          </w:p>
        </w:tc>
        <w:tc>
          <w:tcPr>
            <w:tcW w:type="dxa" w:w="1320"/>
          </w:tcPr>
          <w:p>
            <w:pPr>
              <w:spacing w:after="0" w:line="252" w:lineRule="auto"/>
              <w:jc w:val="center"/>
            </w:pPr>
            <w:r/>
            <w:r>
              <w:rPr>
                <w:rFonts w:ascii="Arial Unicode MS" w:hAnsi="Arial Unicode MS" w:eastAsia="Arial Unicode MS"/>
                <w:b w:val="0"/>
                <w:color w:val="162B40"/>
                <w:sz w:val="20"/>
              </w:rPr>
              <w:t>56%</w:t>
            </w:r>
          </w:p>
        </w:tc>
        <w:tc>
          <w:tcPr>
            <w:tcW w:type="dxa" w:w="1320"/>
          </w:tcPr>
          <w:p>
            <w:pPr>
              <w:spacing w:after="0" w:line="252" w:lineRule="auto"/>
              <w:jc w:val="center"/>
            </w:pPr>
            <w:r/>
            <w:r>
              <w:rPr>
                <w:rFonts w:ascii="Arial Unicode MS" w:hAnsi="Arial Unicode MS" w:eastAsia="Arial Unicode MS"/>
                <w:b w:val="0"/>
                <w:color w:val="162B40"/>
                <w:sz w:val="20"/>
              </w:rPr>
              <w:t>63%</w:t>
            </w:r>
          </w:p>
        </w:tc>
        <w:tc>
          <w:tcPr>
            <w:tcW w:type="dxa" w:w="1320"/>
          </w:tcPr>
          <w:p>
            <w:pPr>
              <w:spacing w:after="0" w:line="252" w:lineRule="auto"/>
              <w:jc w:val="center"/>
            </w:pPr>
            <w:r/>
            <w:r>
              <w:rPr>
                <w:rFonts w:ascii="Arial Unicode MS" w:hAnsi="Arial Unicode MS" w:eastAsia="Arial Unicode MS"/>
                <w:b w:val="0"/>
                <w:color w:val="162B40"/>
                <w:sz w:val="20"/>
              </w:rPr>
              <w:t>61%</w:t>
            </w:r>
          </w:p>
        </w:tc>
      </w:tr>
      <w:tr>
        <w:tc>
          <w:tcPr>
            <w:tcW w:type="dxa" w:w="1450"/>
          </w:tcPr>
          <w:p>
            <w:pPr>
              <w:spacing w:after="0" w:line="252" w:lineRule="auto"/>
              <w:jc w:val="left"/>
            </w:pPr>
            <w:r/>
            <w:r>
              <w:rPr>
                <w:rFonts w:ascii="Arial Unicode MS" w:hAnsi="Arial Unicode MS" w:eastAsia="Arial Unicode MS"/>
                <w:b w:val="0"/>
                <w:color w:val="162B40"/>
                <w:sz w:val="20"/>
              </w:rPr>
              <w:t>四组平均</w:t>
            </w:r>
          </w:p>
        </w:tc>
        <w:tc>
          <w:tcPr>
            <w:tcW w:type="dxa" w:w="1320"/>
          </w:tcPr>
          <w:p>
            <w:pPr>
              <w:spacing w:after="0" w:line="252" w:lineRule="auto"/>
              <w:jc w:val="center"/>
            </w:pPr>
            <w:r/>
            <w:r>
              <w:rPr>
                <w:rFonts w:ascii="Arial Unicode MS" w:hAnsi="Arial Unicode MS" w:eastAsia="Arial Unicode MS"/>
                <w:b w:val="0"/>
                <w:color w:val="162B40"/>
                <w:sz w:val="20"/>
              </w:rPr>
              <w:t>67.5%</w:t>
            </w:r>
          </w:p>
        </w:tc>
        <w:tc>
          <w:tcPr>
            <w:tcW w:type="dxa" w:w="1320"/>
          </w:tcPr>
          <w:p>
            <w:pPr>
              <w:spacing w:after="0" w:line="252" w:lineRule="auto"/>
              <w:jc w:val="center"/>
            </w:pPr>
            <w:r/>
            <w:r>
              <w:rPr>
                <w:rFonts w:ascii="Arial Unicode MS" w:hAnsi="Arial Unicode MS" w:eastAsia="Arial Unicode MS"/>
                <w:b w:val="0"/>
                <w:color w:val="162B40"/>
                <w:sz w:val="20"/>
              </w:rPr>
              <w:t>69.0%</w:t>
            </w:r>
          </w:p>
        </w:tc>
        <w:tc>
          <w:tcPr>
            <w:tcW w:type="dxa" w:w="1320"/>
          </w:tcPr>
          <w:p>
            <w:pPr>
              <w:spacing w:after="0" w:line="252" w:lineRule="auto"/>
              <w:jc w:val="center"/>
            </w:pPr>
            <w:r/>
            <w:r>
              <w:rPr>
                <w:rFonts w:ascii="Arial Unicode MS" w:hAnsi="Arial Unicode MS" w:eastAsia="Arial Unicode MS"/>
                <w:b w:val="0"/>
                <w:color w:val="162B40"/>
                <w:sz w:val="20"/>
              </w:rPr>
              <w:t>64.5%</w:t>
            </w:r>
          </w:p>
        </w:tc>
        <w:tc>
          <w:tcPr>
            <w:tcW w:type="dxa" w:w="1320"/>
          </w:tcPr>
          <w:p>
            <w:pPr>
              <w:spacing w:after="0" w:line="252" w:lineRule="auto"/>
              <w:jc w:val="center"/>
            </w:pPr>
            <w:r/>
            <w:r>
              <w:rPr>
                <w:rFonts w:ascii="Arial Unicode MS" w:hAnsi="Arial Unicode MS" w:eastAsia="Arial Unicode MS"/>
                <w:b w:val="0"/>
                <w:color w:val="162B40"/>
                <w:sz w:val="20"/>
              </w:rPr>
              <w:t>64.0%</w:t>
            </w:r>
          </w:p>
        </w:tc>
        <w:tc>
          <w:tcPr>
            <w:tcW w:type="dxa" w:w="1320"/>
          </w:tcPr>
          <w:p>
            <w:pPr>
              <w:spacing w:after="0" w:line="252" w:lineRule="auto"/>
              <w:jc w:val="center"/>
            </w:pPr>
            <w:r/>
            <w:r>
              <w:rPr>
                <w:rFonts w:ascii="Arial Unicode MS" w:hAnsi="Arial Unicode MS" w:eastAsia="Arial Unicode MS"/>
                <w:b w:val="0"/>
                <w:color w:val="162B40"/>
                <w:sz w:val="20"/>
              </w:rPr>
              <w:t>66.0%</w:t>
            </w:r>
          </w:p>
        </w:tc>
        <w:tc>
          <w:tcPr>
            <w:tcW w:type="dxa" w:w="1320"/>
          </w:tcPr>
          <w:p>
            <w:pPr>
              <w:spacing w:after="0" w:line="252" w:lineRule="auto"/>
              <w:jc w:val="center"/>
            </w:pPr>
            <w:r/>
            <w:r>
              <w:rPr>
                <w:rFonts w:ascii="Arial Unicode MS" w:hAnsi="Arial Unicode MS" w:eastAsia="Arial Unicode MS"/>
                <w:b w:val="0"/>
                <w:color w:val="162B40"/>
                <w:sz w:val="20"/>
              </w:rPr>
              <w:t>66.5%</w:t>
            </w:r>
          </w:p>
        </w:tc>
      </w:tr>
    </w:tbl>
    <w:p>
      <w:pPr>
        <w:spacing w:after="20"/>
      </w:pPr>
    </w:p>
    <w:p>
      <w:pPr/>
      <w:r>
        <w:rPr>
          <w:rFonts w:ascii="Arial Unicode MS" w:hAnsi="Arial Unicode MS" w:eastAsia="Arial Unicode MS"/>
          <w:color w:val="162B40"/>
          <w:sz w:val="22"/>
        </w:rPr>
        <w:t>从四组平均看，R3 相比 R0 的变化是：clean +1.5 个百分点，random -0.5 个百分点，综合 avg +0.5 个百分点。也就是说，R3 在干净条件下有小幅优势，但随机条件下并不稳定；当前最稳妥的表述是“R3 在阶段性 paired validation 中略高于 baseline”，不能说已经完成正式 benchmark。</w:t>
      </w:r>
    </w:p>
    <w:p>
      <w:pPr>
        <w:pStyle w:val="Heading1"/>
      </w:pPr>
      <w:r>
        <w:rPr>
          <w:rFonts w:ascii="Arial Unicode MS" w:hAnsi="Arial Unicode MS" w:eastAsia="Arial Unicode MS"/>
          <w:b/>
          <w:color w:val="2E74B5"/>
          <w:sz w:val="32"/>
        </w:rPr>
        <w:t>六、为什么早期结果看起来是 baseline 更好？</w:t>
      </w:r>
    </w:p>
    <w:p>
      <w:pPr/>
      <w:r>
        <w:rPr>
          <w:rFonts w:ascii="Arial Unicode MS" w:hAnsi="Arial Unicode MS" w:eastAsia="Arial Unicode MS"/>
          <w:color w:val="162B40"/>
          <w:sz w:val="22"/>
        </w:rPr>
        <w:t>早期只做了 5 个任务、每任务 3 episodes 的 clean-only smoke：R0 为 73.3%，R3 为 66.7%。这个样本非常小，而且没有 random 条件。单个 episode 的成功或失败会直接改变 6.7 个百分点，因此很容易受任务组合和随机种子影响。</w:t>
      </w:r>
    </w:p>
    <w:p>
      <w:pPr/>
      <w:r>
        <w:rPr>
          <w:rFonts w:ascii="Arial Unicode MS" w:hAnsi="Arial Unicode MS" w:eastAsia="Arial Unicode MS"/>
          <w:color w:val="162B40"/>
          <w:sz w:val="22"/>
        </w:rPr>
        <w:t>扩大到同任务、同 episode 数的 n=10 paired validation 后，fixed5 上 R0/R3 的 clean 都是 72%，R3 在 random 上从 60% 提升到 64%；再加入 next5B/C/D 后，四组综合 avg 变成 R0 66.0%、R3 66.5%。所以早期“baseline 明显领先”不能作为最终判断，必须以更大、成对、包含 random 的验证为准。</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0" w:line="269" w:lineRule="auto"/>
            </w:pPr>
            <w:r>
              <w:rPr>
                <w:rFonts w:ascii="Arial Unicode MS" w:hAnsi="Arial Unicode MS" w:eastAsia="Arial Unicode MS"/>
                <w:b/>
                <w:color w:val="7A5A00"/>
                <w:sz w:val="21"/>
              </w:rPr>
              <w:t xml:space="preserve">重要边界  </w:t>
            </w:r>
            <w:r>
              <w:rPr>
                <w:rFonts w:ascii="Arial Unicode MS" w:hAnsi="Arial Unicode MS" w:eastAsia="Arial Unicode MS"/>
                <w:color w:val="162B40"/>
                <w:sz w:val="21"/>
              </w:rPr>
              <w:t>目前还没有完整任务集合 × 每任务 100 episodes 的正式结果。现阶段数字用于判断方向、检查流水线和定位困难任务，不用于宣称最终 benchmark 排名。</w:t>
            </w:r>
          </w:p>
        </w:tc>
      </w:tr>
    </w:tbl>
    <w:p>
      <w:pPr>
        <w:spacing w:after="20"/>
      </w:pPr>
    </w:p>
    <w:p>
      <w:pPr>
        <w:pStyle w:val="Heading1"/>
      </w:pPr>
      <w:r>
        <w:rPr>
          <w:rFonts w:ascii="Arial Unicode MS" w:hAnsi="Arial Unicode MS" w:eastAsia="Arial Unicode MS"/>
          <w:b/>
          <w:color w:val="2E74B5"/>
          <w:sz w:val="32"/>
        </w:rPr>
        <w:t>七、当前工作的真实进度</w:t>
      </w:r>
    </w:p>
    <w:tbl>
      <w:tblPr>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环节</w:t>
            </w:r>
          </w:p>
        </w:tc>
        <w:tc>
          <w:tcPr>
            <w:tcW w:type="dxa" w:w="190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状态</w:t>
            </w:r>
          </w:p>
        </w:tc>
        <w:tc>
          <w:tcPr>
            <w:tcW w:type="dxa" w:w="5260"/>
            <w:vAlign w:val="center"/>
            <w:tcMar>
              <w:top w:w="80" w:type="dxa"/>
              <w:start w:w="120" w:type="dxa"/>
              <w:bottom w:w="80" w:type="dxa"/>
              <w:end w:w="120" w:type="dxa"/>
            </w:tcMar>
            <w:shd w:fill="E8EEF5"/>
          </w:tcPr>
          <w:p>
            <w:pPr>
              <w:spacing w:after="0" w:line="252" w:lineRule="auto"/>
              <w:jc w:val="center"/>
            </w:pPr>
            <w:r/>
            <w:r>
              <w:rPr>
                <w:rFonts w:ascii="Arial Unicode MS" w:hAnsi="Arial Unicode MS" w:eastAsia="Arial Unicode MS"/>
                <w:b/>
                <w:color w:val="1F4D78"/>
                <w:sz w:val="20"/>
              </w:rPr>
              <w:t>说明</w:t>
            </w:r>
          </w:p>
        </w:tc>
      </w:tr>
      <w:tr>
        <w:tc>
          <w:tcPr>
            <w:tcW w:type="dxa" w:w="2200"/>
          </w:tcPr>
          <w:p>
            <w:pPr>
              <w:spacing w:after="0" w:line="252" w:lineRule="auto"/>
              <w:jc w:val="left"/>
            </w:pPr>
            <w:r/>
            <w:r>
              <w:rPr>
                <w:rFonts w:ascii="Arial Unicode MS" w:hAnsi="Arial Unicode MS" w:eastAsia="Arial Unicode MS"/>
                <w:b w:val="0"/>
                <w:color w:val="162B40"/>
                <w:sz w:val="20"/>
              </w:rPr>
              <w:t>代码与配置</w:t>
            </w:r>
          </w:p>
        </w:tc>
        <w:tc>
          <w:tcPr>
            <w:tcW w:type="dxa" w:w="1900"/>
          </w:tcPr>
          <w:p>
            <w:pPr>
              <w:spacing w:after="0" w:line="252" w:lineRule="auto"/>
              <w:jc w:val="center"/>
            </w:pPr>
            <w:r/>
            <w:r>
              <w:rPr>
                <w:rFonts w:ascii="Arial Unicode MS" w:hAnsi="Arial Unicode MS" w:eastAsia="Arial Unicode MS"/>
                <w:b w:val="0"/>
                <w:color w:val="162B40"/>
                <w:sz w:val="20"/>
              </w:rPr>
              <w:t>已完成</w:t>
            </w:r>
          </w:p>
        </w:tc>
        <w:tc>
          <w:tcPr>
            <w:tcW w:type="dxa" w:w="5260"/>
          </w:tcPr>
          <w:p>
            <w:pPr>
              <w:spacing w:after="0" w:line="252" w:lineRule="auto"/>
              <w:jc w:val="center"/>
            </w:pPr>
            <w:r/>
            <w:r>
              <w:rPr>
                <w:rFonts w:ascii="Arial Unicode MS" w:hAnsi="Arial Unicode MS" w:eastAsia="Arial Unicode MS"/>
                <w:b w:val="0"/>
                <w:color w:val="162B40"/>
                <w:sz w:val="20"/>
              </w:rPr>
              <w:t>R3 LoRA/FIC/project_conflicts 配置和训练/导出脚本已准备好。</w:t>
            </w:r>
          </w:p>
        </w:tc>
      </w:tr>
      <w:tr>
        <w:tc>
          <w:tcPr>
            <w:tcW w:type="dxa" w:w="2200"/>
          </w:tcPr>
          <w:p>
            <w:pPr>
              <w:spacing w:after="0" w:line="252" w:lineRule="auto"/>
              <w:jc w:val="left"/>
            </w:pPr>
            <w:r/>
            <w:r>
              <w:rPr>
                <w:rFonts w:ascii="Arial Unicode MS" w:hAnsi="Arial Unicode MS" w:eastAsia="Arial Unicode MS"/>
                <w:b w:val="0"/>
                <w:color w:val="162B40"/>
                <w:sz w:val="20"/>
              </w:rPr>
              <w:t>训练</w:t>
            </w:r>
          </w:p>
        </w:tc>
        <w:tc>
          <w:tcPr>
            <w:tcW w:type="dxa" w:w="1900"/>
          </w:tcPr>
          <w:p>
            <w:pPr>
              <w:spacing w:after="0" w:line="252" w:lineRule="auto"/>
              <w:jc w:val="center"/>
            </w:pPr>
            <w:r/>
            <w:r>
              <w:rPr>
                <w:rFonts w:ascii="Arial Unicode MS" w:hAnsi="Arial Unicode MS" w:eastAsia="Arial Unicode MS"/>
                <w:b w:val="0"/>
                <w:color w:val="162B40"/>
                <w:sz w:val="20"/>
              </w:rPr>
              <w:t>已完成阶段 checkpoint</w:t>
            </w:r>
          </w:p>
        </w:tc>
        <w:tc>
          <w:tcPr>
            <w:tcW w:type="dxa" w:w="5260"/>
          </w:tcPr>
          <w:p>
            <w:pPr>
              <w:spacing w:after="0" w:line="252" w:lineRule="auto"/>
              <w:jc w:val="center"/>
            </w:pPr>
            <w:r/>
            <w:r>
              <w:rPr>
                <w:rFonts w:ascii="Arial Unicode MS" w:hAnsi="Arial Unicode MS" w:eastAsia="Arial Unicode MS"/>
                <w:b w:val="0"/>
                <w:color w:val="162B40"/>
                <w:sz w:val="20"/>
              </w:rPr>
              <w:t>训练到 step 3000，已生成 world2wam_final.pt 和 R3 merged checkpoint。</w:t>
            </w:r>
          </w:p>
        </w:tc>
      </w:tr>
      <w:tr>
        <w:tc>
          <w:tcPr>
            <w:tcW w:type="dxa" w:w="2200"/>
          </w:tcPr>
          <w:p>
            <w:pPr>
              <w:spacing w:after="0" w:line="252" w:lineRule="auto"/>
              <w:jc w:val="left"/>
            </w:pPr>
            <w:r/>
            <w:r>
              <w:rPr>
                <w:rFonts w:ascii="Arial Unicode MS" w:hAnsi="Arial Unicode MS" w:eastAsia="Arial Unicode MS"/>
                <w:b w:val="0"/>
                <w:color w:val="162B40"/>
                <w:sz w:val="20"/>
              </w:rPr>
              <w:t>仿真资产</w:t>
            </w:r>
          </w:p>
        </w:tc>
        <w:tc>
          <w:tcPr>
            <w:tcW w:type="dxa" w:w="1900"/>
          </w:tcPr>
          <w:p>
            <w:pPr>
              <w:spacing w:after="0" w:line="252" w:lineRule="auto"/>
              <w:jc w:val="center"/>
            </w:pPr>
            <w:r/>
            <w:r>
              <w:rPr>
                <w:rFonts w:ascii="Arial Unicode MS" w:hAnsi="Arial Unicode MS" w:eastAsia="Arial Unicode MS"/>
                <w:b w:val="0"/>
                <w:color w:val="162B40"/>
                <w:sz w:val="20"/>
              </w:rPr>
              <w:t>已完成</w:t>
            </w:r>
          </w:p>
        </w:tc>
        <w:tc>
          <w:tcPr>
            <w:tcW w:type="dxa" w:w="5260"/>
          </w:tcPr>
          <w:p>
            <w:pPr>
              <w:spacing w:after="0" w:line="252" w:lineRule="auto"/>
              <w:jc w:val="center"/>
            </w:pPr>
            <w:r/>
            <w:r>
              <w:rPr>
                <w:rFonts w:ascii="Arial Unicode MS" w:hAnsi="Arial Unicode MS" w:eastAsia="Arial Unicode MS"/>
                <w:b w:val="0"/>
                <w:color w:val="162B40"/>
                <w:sz w:val="20"/>
              </w:rPr>
              <w:t>RoboTwin 资产、环境和 task_config 已准备。</w:t>
            </w:r>
          </w:p>
        </w:tc>
      </w:tr>
      <w:tr>
        <w:tc>
          <w:tcPr>
            <w:tcW w:type="dxa" w:w="2200"/>
          </w:tcPr>
          <w:p>
            <w:pPr>
              <w:spacing w:after="0" w:line="252" w:lineRule="auto"/>
              <w:jc w:val="left"/>
            </w:pPr>
            <w:r/>
            <w:r>
              <w:rPr>
                <w:rFonts w:ascii="Arial Unicode MS" w:hAnsi="Arial Unicode MS" w:eastAsia="Arial Unicode MS"/>
                <w:b w:val="0"/>
                <w:color w:val="162B40"/>
                <w:sz w:val="20"/>
              </w:rPr>
              <w:t>小样本 smoke</w:t>
            </w:r>
          </w:p>
        </w:tc>
        <w:tc>
          <w:tcPr>
            <w:tcW w:type="dxa" w:w="1900"/>
          </w:tcPr>
          <w:p>
            <w:pPr>
              <w:spacing w:after="0" w:line="252" w:lineRule="auto"/>
              <w:jc w:val="center"/>
            </w:pPr>
            <w:r/>
            <w:r>
              <w:rPr>
                <w:rFonts w:ascii="Arial Unicode MS" w:hAnsi="Arial Unicode MS" w:eastAsia="Arial Unicode MS"/>
                <w:b w:val="0"/>
                <w:color w:val="162B40"/>
                <w:sz w:val="20"/>
              </w:rPr>
              <w:t>已完成</w:t>
            </w:r>
          </w:p>
        </w:tc>
        <w:tc>
          <w:tcPr>
            <w:tcW w:type="dxa" w:w="5260"/>
          </w:tcPr>
          <w:p>
            <w:pPr>
              <w:spacing w:after="0" w:line="252" w:lineRule="auto"/>
              <w:jc w:val="center"/>
            </w:pPr>
            <w:r/>
            <w:r>
              <w:rPr>
                <w:rFonts w:ascii="Arial Unicode MS" w:hAnsi="Arial Unicode MS" w:eastAsia="Arial Unicode MS"/>
                <w:b w:val="0"/>
                <w:color w:val="162B40"/>
                <w:sz w:val="20"/>
              </w:rPr>
              <w:t>早期 n=3 结果已记录，但只作为 smoke。</w:t>
            </w:r>
          </w:p>
        </w:tc>
      </w:tr>
      <w:tr>
        <w:tc>
          <w:tcPr>
            <w:tcW w:type="dxa" w:w="2200"/>
          </w:tcPr>
          <w:p>
            <w:pPr>
              <w:spacing w:after="0" w:line="252" w:lineRule="auto"/>
              <w:jc w:val="left"/>
            </w:pPr>
            <w:r/>
            <w:r>
              <w:rPr>
                <w:rFonts w:ascii="Arial Unicode MS" w:hAnsi="Arial Unicode MS" w:eastAsia="Arial Unicode MS"/>
                <w:b w:val="0"/>
                <w:color w:val="162B40"/>
                <w:sz w:val="20"/>
              </w:rPr>
              <w:t>paired validation</w:t>
            </w:r>
          </w:p>
        </w:tc>
        <w:tc>
          <w:tcPr>
            <w:tcW w:type="dxa" w:w="1900"/>
          </w:tcPr>
          <w:p>
            <w:pPr>
              <w:spacing w:after="0" w:line="252" w:lineRule="auto"/>
              <w:jc w:val="center"/>
            </w:pPr>
            <w:r/>
            <w:r>
              <w:rPr>
                <w:rFonts w:ascii="Arial Unicode MS" w:hAnsi="Arial Unicode MS" w:eastAsia="Arial Unicode MS"/>
                <w:b w:val="0"/>
                <w:color w:val="162B40"/>
                <w:sz w:val="20"/>
              </w:rPr>
              <w:t>已完成阶段性验证</w:t>
            </w:r>
          </w:p>
        </w:tc>
        <w:tc>
          <w:tcPr>
            <w:tcW w:type="dxa" w:w="5260"/>
          </w:tcPr>
          <w:p>
            <w:pPr>
              <w:spacing w:after="0" w:line="252" w:lineRule="auto"/>
              <w:jc w:val="center"/>
            </w:pPr>
            <w:r/>
            <w:r>
              <w:rPr>
                <w:rFonts w:ascii="Arial Unicode MS" w:hAnsi="Arial Unicode MS" w:eastAsia="Arial Unicode MS"/>
                <w:b w:val="0"/>
                <w:color w:val="162B40"/>
                <w:sz w:val="20"/>
              </w:rPr>
              <w:t>4 组 × 5 任务 × 10 episodes，clean/random 均有有效 summary。</w:t>
            </w:r>
          </w:p>
        </w:tc>
      </w:tr>
      <w:tr>
        <w:tc>
          <w:tcPr>
            <w:tcW w:type="dxa" w:w="2200"/>
          </w:tcPr>
          <w:p>
            <w:pPr>
              <w:spacing w:after="0" w:line="252" w:lineRule="auto"/>
              <w:jc w:val="left"/>
            </w:pPr>
            <w:r/>
            <w:r>
              <w:rPr>
                <w:rFonts w:ascii="Arial Unicode MS" w:hAnsi="Arial Unicode MS" w:eastAsia="Arial Unicode MS"/>
                <w:b w:val="0"/>
                <w:color w:val="162B40"/>
                <w:sz w:val="20"/>
              </w:rPr>
              <w:t>完整 benchmark</w:t>
            </w:r>
          </w:p>
        </w:tc>
        <w:tc>
          <w:tcPr>
            <w:tcW w:type="dxa" w:w="1900"/>
          </w:tcPr>
          <w:p>
            <w:pPr>
              <w:spacing w:after="0" w:line="252" w:lineRule="auto"/>
              <w:jc w:val="center"/>
            </w:pPr>
            <w:r/>
            <w:r>
              <w:rPr>
                <w:rFonts w:ascii="Arial Unicode MS" w:hAnsi="Arial Unicode MS" w:eastAsia="Arial Unicode MS"/>
                <w:b w:val="0"/>
                <w:color w:val="162B40"/>
                <w:sz w:val="20"/>
              </w:rPr>
              <w:t>未完成</w:t>
            </w:r>
          </w:p>
        </w:tc>
        <w:tc>
          <w:tcPr>
            <w:tcW w:type="dxa" w:w="5260"/>
          </w:tcPr>
          <w:p>
            <w:pPr>
              <w:spacing w:after="0" w:line="252" w:lineRule="auto"/>
              <w:jc w:val="center"/>
            </w:pPr>
            <w:r/>
            <w:r>
              <w:rPr>
                <w:rFonts w:ascii="Arial Unicode MS" w:hAnsi="Arial Unicode MS" w:eastAsia="Arial Unicode MS"/>
                <w:b w:val="0"/>
                <w:color w:val="162B40"/>
                <w:sz w:val="20"/>
              </w:rPr>
              <w:t>目前服务器 GPU 被其他用户任务占用，且正式全任务评测尚未启动。</w:t>
            </w:r>
          </w:p>
        </w:tc>
      </w:tr>
    </w:tbl>
    <w:p>
      <w:pPr>
        <w:spacing w:after="20"/>
      </w:pPr>
    </w:p>
    <w:p>
      <w:pPr>
        <w:pStyle w:val="Heading1"/>
      </w:pPr>
      <w:r>
        <w:rPr>
          <w:rFonts w:ascii="Arial Unicode MS" w:hAnsi="Arial Unicode MS" w:eastAsia="Arial Unicode MS"/>
          <w:b/>
          <w:color w:val="2E74B5"/>
          <w:sz w:val="32"/>
        </w:rPr>
        <w:t>八、下一步怎么做</w:t>
      </w:r>
    </w:p>
    <w:p>
      <w:pPr>
        <w:pStyle w:val="ListNumber"/>
        <w:spacing w:after="80" w:line="264" w:lineRule="auto"/>
      </w:pPr>
      <w:r>
        <w:rPr>
          <w:rFonts w:ascii="Arial Unicode MS" w:hAnsi="Arial Unicode MS" w:eastAsia="Arial Unicode MS"/>
          <w:color w:val="162B40"/>
          <w:sz w:val="22"/>
        </w:rPr>
        <w:t>继续保持 R0 evaluator、checkpoint、任务列表和随机条件不变，不通过削弱 baseline 来制造差异。</w:t>
      </w:r>
    </w:p>
    <w:p>
      <w:pPr>
        <w:pStyle w:val="ListNumber"/>
        <w:spacing w:after="80" w:line="264" w:lineRule="auto"/>
      </w:pPr>
      <w:r>
        <w:rPr>
          <w:rFonts w:ascii="Arial Unicode MS" w:hAnsi="Arial Unicode MS" w:eastAsia="Arial Unicode MS"/>
          <w:color w:val="162B40"/>
          <w:sz w:val="22"/>
        </w:rPr>
        <w:t>服务器出现可用 GPU 后，先确认完整任务列表和运行时长，再启动正式 R0 full benchmark。</w:t>
      </w:r>
    </w:p>
    <w:p>
      <w:pPr>
        <w:pStyle w:val="ListNumber"/>
        <w:spacing w:after="80" w:line="264" w:lineRule="auto"/>
      </w:pPr>
      <w:r>
        <w:rPr>
          <w:rFonts w:ascii="Arial Unicode MS" w:hAnsi="Arial Unicode MS" w:eastAsia="Arial Unicode MS"/>
          <w:color w:val="162B40"/>
          <w:sz w:val="22"/>
        </w:rPr>
        <w:t>用完全相同的任务列表、episode 数和 clean/random 设置运行 R3 full benchmark。</w:t>
      </w:r>
    </w:p>
    <w:p>
      <w:pPr>
        <w:pStyle w:val="ListNumber"/>
        <w:spacing w:after="80" w:line="264" w:lineRule="auto"/>
      </w:pPr>
      <w:r>
        <w:rPr>
          <w:rFonts w:ascii="Arial Unicode MS" w:hAnsi="Arial Unicode MS" w:eastAsia="Arial Unicode MS"/>
          <w:color w:val="162B40"/>
          <w:sz w:val="22"/>
        </w:rPr>
        <w:t>对 full benchmark 的每个 summary.json 做统一汇总，报告任务数、episode 数、clean、random、avg 和失败任务数。</w:t>
      </w:r>
    </w:p>
    <w:p>
      <w:pPr>
        <w:pStyle w:val="ListNumber"/>
        <w:spacing w:after="80" w:line="264" w:lineRule="auto"/>
      </w:pPr>
      <w:r>
        <w:rPr>
          <w:rFonts w:ascii="Arial Unicode MS" w:hAnsi="Arial Unicode MS" w:eastAsia="Arial Unicode MS"/>
          <w:color w:val="162B40"/>
          <w:sz w:val="22"/>
        </w:rPr>
        <w:t>如果 R3 在完整结果中仍只小幅领先，应进一步分析 next5D 这类退化任务的失败轨迹，而不是只看总体平均。</w:t>
      </w:r>
    </w:p>
    <w:p>
      <w:pPr>
        <w:pStyle w:val="Heading1"/>
      </w:pPr>
      <w:r>
        <w:rPr>
          <w:rFonts w:ascii="Arial Unicode MS" w:hAnsi="Arial Unicode MS" w:eastAsia="Arial Unicode MS"/>
          <w:b/>
          <w:color w:val="2E74B5"/>
          <w:sz w:val="32"/>
        </w:rPr>
        <w:t>附录：可核验的结果位置</w:t>
      </w:r>
    </w:p>
    <w:p>
      <w:pPr/>
      <w:r>
        <w:rPr>
          <w:rFonts w:ascii="Arial Unicode MS" w:hAnsi="Arial Unicode MS" w:eastAsia="Arial Unicode MS"/>
          <w:color w:val="162B40"/>
          <w:sz w:val="22"/>
        </w:rPr>
        <w:t>服务器上的主要证据文件如下。它们用于复核训练是否完成、checkpoint 是什么、评测是否真正成功：</w:t>
      </w:r>
    </w:p>
    <w:p>
      <w:pPr>
        <w:spacing w:before="40" w:after="120" w:line="240" w:lineRule="auto"/>
        <w:ind w:left="259" w:right="259"/>
      </w:pPr>
      <w:r>
        <w:rPr>
          <w:rFonts w:ascii="Arial Unicode MS" w:hAnsi="Arial Unicode MS" w:eastAsia="Arial Unicode MS"/>
          <w:color w:val="1F4D78"/>
          <w:sz w:val="19"/>
        </w:rPr>
        <w:t>/DATA/disk0/yjh/robotwin_w2wam/runs/robotwin_lora_fic_aligned/eval/paired_n10_20260818_214252_REPORT.txt</w:t>
      </w:r>
    </w:p>
    <w:p>
      <w:pPr>
        <w:spacing w:before="40" w:after="120" w:line="240" w:lineRule="auto"/>
        <w:ind w:left="259" w:right="259"/>
      </w:pPr>
      <w:r>
        <w:rPr>
          <w:rFonts w:ascii="Arial Unicode MS" w:hAnsi="Arial Unicode MS" w:eastAsia="Arial Unicode MS"/>
          <w:color w:val="1F4D78"/>
          <w:sz w:val="19"/>
        </w:rPr>
        <w:t>/DATA/disk0/yjh/robotwin_w2wam/runs/robotwin_lora_fic_aligned/eval/R0_fixed5_both_n10_20260818_214252/summary.json</w:t>
      </w:r>
    </w:p>
    <w:p>
      <w:pPr>
        <w:spacing w:before="40" w:after="120" w:line="240" w:lineRule="auto"/>
        <w:ind w:left="259" w:right="259"/>
      </w:pPr>
      <w:r>
        <w:rPr>
          <w:rFonts w:ascii="Arial Unicode MS" w:hAnsi="Arial Unicode MS" w:eastAsia="Arial Unicode MS"/>
          <w:color w:val="1F4D78"/>
          <w:sz w:val="19"/>
        </w:rPr>
        <w:t>/DATA/disk0/yjh/robotwin_w2wam/runs/robotwin_lora_fic_aligned/eval/R3_lora_fic_fixed5_both_n10_20260818_214252/summary.json</w:t>
      </w:r>
    </w:p>
    <w:p>
      <w:pPr>
        <w:spacing w:before="40" w:after="120" w:line="240" w:lineRule="auto"/>
        <w:ind w:left="259" w:right="259"/>
      </w:pPr>
      <w:r>
        <w:rPr>
          <w:rFonts w:ascii="Arial Unicode MS" w:hAnsi="Arial Unicode MS" w:eastAsia="Arial Unicode MS"/>
          <w:color w:val="1F4D78"/>
          <w:sz w:val="19"/>
        </w:rPr>
        <w:t>/DATA/disk0/yjh/robotwin_w2wam/checkpoints/R3_lora_fic_merged.pt</w:t>
      </w:r>
    </w:p>
    <w:p>
      <w:pPr>
        <w:spacing w:before="40" w:after="120" w:line="240" w:lineRule="auto"/>
        <w:ind w:left="259" w:right="259"/>
      </w:pPr>
      <w:r>
        <w:rPr>
          <w:rFonts w:ascii="Arial Unicode MS" w:hAnsi="Arial Unicode MS" w:eastAsia="Arial Unicode MS"/>
          <w:color w:val="1F4D78"/>
          <w:sz w:val="19"/>
        </w:rPr>
        <w:t>/DATA/disk0/yjh/robotwin_w2wam/deploy/tools/eval_robotwin_physical.py</w:t>
      </w:r>
    </w:p>
    <w:p>
      <w:pPr/>
      <w:r>
        <w:rPr>
          <w:rFonts w:ascii="Arial Unicode MS" w:hAnsi="Arial Unicode MS" w:eastAsia="Arial Unicode MS"/>
          <w:color w:val="162B40"/>
          <w:sz w:val="22"/>
        </w:rPr>
        <w:t>本文档中的关键数字均来自上述 summary.json 和 paired validation report；旧的 null 成功率结果不作为有效 benchmark 数字。</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B6B7A"/>
        <w:sz w:val="18"/>
      </w:rPr>
      <w:t xml:space="preserve">2026-08-20  |  </w:t>
    </w:r>
    <w:r>
      <w:rPr>
        <w:rFonts w:ascii="Arial Unicode MS" w:hAnsi="Arial Unicode MS" w:eastAsia="Arial Unicode MS"/>
        <w:color w:val="5B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5B6B7A"/>
        <w:sz w:val="18"/>
      </w:rPr>
      <w:t>World2WAM · RoboTwin 实验说明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