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08" w:rsidRPr="00017F08" w:rsidRDefault="00017F08" w:rsidP="00017F08">
      <w:pPr>
        <w:tabs>
          <w:tab w:val="left" w:pos="3456"/>
        </w:tabs>
        <w:rPr>
          <w:rFonts w:ascii="Arial" w:hAnsi="Arial" w:cs="Arial"/>
          <w:b/>
        </w:rPr>
      </w:pPr>
      <w:r w:rsidRPr="00017F08"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1FB36" wp14:editId="3A6F12E5">
                <wp:simplePos x="0" y="0"/>
                <wp:positionH relativeFrom="column">
                  <wp:posOffset>-923925</wp:posOffset>
                </wp:positionH>
                <wp:positionV relativeFrom="paragraph">
                  <wp:posOffset>30480</wp:posOffset>
                </wp:positionV>
                <wp:extent cx="7905750" cy="6667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6667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17F08" w:rsidRPr="00F50648" w:rsidRDefault="00017F08" w:rsidP="00017F0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54DB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Request for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Expressions of Interest</w:t>
                            </w:r>
                            <w:r w:rsidR="00BA059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 Professional Medical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72.75pt;margin-top:2.4pt;width:622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" fillcolor="#17375e" stroked="f" strokeweight="2pt">
                <v:textbox>
                  <w:txbxContent>
                    <w:p w:rsidR="00017F08" w:rsidRPr="00F50648" w:rsidRDefault="00017F08" w:rsidP="00017F0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54DB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Request for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Expressions of Interest</w:t>
                      </w:r>
                      <w:r w:rsidR="00BA059C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 Professional Medical Services</w:t>
                      </w:r>
                    </w:p>
                  </w:txbxContent>
                </v:textbox>
              </v:rect>
            </w:pict>
          </mc:Fallback>
        </mc:AlternateContent>
      </w:r>
      <w:r w:rsidRPr="00017F08">
        <w:rPr>
          <w:rFonts w:ascii="Arial" w:hAnsi="Arial" w:cs="Arial"/>
          <w:b/>
        </w:rPr>
        <w:tab/>
      </w:r>
    </w:p>
    <w:p w:rsidR="00017F08" w:rsidRPr="00017F08" w:rsidRDefault="00017F08" w:rsidP="0035743D">
      <w:pPr>
        <w:jc w:val="center"/>
        <w:rPr>
          <w:rFonts w:ascii="Arial" w:hAnsi="Arial" w:cs="Arial"/>
          <w:b/>
        </w:rPr>
      </w:pPr>
    </w:p>
    <w:p w:rsidR="0035743D" w:rsidRPr="00017F08" w:rsidRDefault="0035743D" w:rsidP="00017F08">
      <w:pPr>
        <w:rPr>
          <w:rFonts w:ascii="Arial" w:hAnsi="Arial" w:cs="Arial"/>
          <w:b/>
        </w:rPr>
      </w:pPr>
    </w:p>
    <w:p w:rsidR="00FF04F6" w:rsidRPr="00017F08" w:rsidRDefault="00B6672E">
      <w:pPr>
        <w:rPr>
          <w:rFonts w:ascii="Arial" w:hAnsi="Arial" w:cs="Arial"/>
        </w:rPr>
      </w:pPr>
      <w:r w:rsidRPr="00017F08">
        <w:rPr>
          <w:rFonts w:ascii="Arial" w:hAnsi="Arial" w:cs="Arial"/>
        </w:rPr>
        <w:t>Newmont Ghana</w:t>
      </w:r>
      <w:r w:rsidR="006A15FA" w:rsidRPr="00017F08">
        <w:rPr>
          <w:rFonts w:ascii="Arial" w:hAnsi="Arial" w:cs="Arial"/>
        </w:rPr>
        <w:t xml:space="preserve">, </w:t>
      </w:r>
      <w:r w:rsidRPr="00017F08">
        <w:rPr>
          <w:rFonts w:ascii="Arial" w:hAnsi="Arial" w:cs="Arial"/>
        </w:rPr>
        <w:t xml:space="preserve">a </w:t>
      </w:r>
      <w:r w:rsidR="00FF04F6" w:rsidRPr="00017F08">
        <w:rPr>
          <w:rFonts w:ascii="Arial" w:hAnsi="Arial" w:cs="Arial"/>
        </w:rPr>
        <w:t>subsidiary of Newmont Mining Corporation</w:t>
      </w:r>
      <w:r w:rsidRPr="00017F08">
        <w:rPr>
          <w:rFonts w:ascii="Arial" w:hAnsi="Arial" w:cs="Arial"/>
        </w:rPr>
        <w:t xml:space="preserve">, one </w:t>
      </w:r>
      <w:r w:rsidR="00FF04F6" w:rsidRPr="00017F08">
        <w:rPr>
          <w:rFonts w:ascii="Arial" w:hAnsi="Arial" w:cs="Arial"/>
        </w:rPr>
        <w:t>of the world’s l</w:t>
      </w:r>
      <w:r w:rsidR="009503B8" w:rsidRPr="00017F08">
        <w:rPr>
          <w:rFonts w:ascii="Arial" w:hAnsi="Arial" w:cs="Arial"/>
        </w:rPr>
        <w:t xml:space="preserve">eading gold producers, </w:t>
      </w:r>
      <w:r w:rsidRPr="00017F08">
        <w:rPr>
          <w:rFonts w:ascii="Arial" w:hAnsi="Arial" w:cs="Arial"/>
        </w:rPr>
        <w:t>is requesting for e</w:t>
      </w:r>
      <w:r w:rsidR="00FF04F6" w:rsidRPr="00017F08">
        <w:rPr>
          <w:rFonts w:ascii="Arial" w:hAnsi="Arial" w:cs="Arial"/>
        </w:rPr>
        <w:t xml:space="preserve">xpression of </w:t>
      </w:r>
      <w:r w:rsidRPr="00017F08">
        <w:rPr>
          <w:rFonts w:ascii="Arial" w:hAnsi="Arial" w:cs="Arial"/>
        </w:rPr>
        <w:t>interest from</w:t>
      </w:r>
      <w:r w:rsidR="00FF04F6" w:rsidRPr="00017F08">
        <w:rPr>
          <w:rFonts w:ascii="Arial" w:hAnsi="Arial" w:cs="Arial"/>
        </w:rPr>
        <w:t xml:space="preserve"> eligible, capable and </w:t>
      </w:r>
      <w:r w:rsidR="002B72C1" w:rsidRPr="00017F08">
        <w:rPr>
          <w:rFonts w:ascii="Arial" w:hAnsi="Arial" w:cs="Arial"/>
        </w:rPr>
        <w:t>suitably</w:t>
      </w:r>
      <w:r w:rsidR="00FF04F6" w:rsidRPr="00017F08">
        <w:rPr>
          <w:rFonts w:ascii="Arial" w:hAnsi="Arial" w:cs="Arial"/>
        </w:rPr>
        <w:t xml:space="preserve"> qualified </w:t>
      </w:r>
      <w:r w:rsidR="006A15FA" w:rsidRPr="00017F08">
        <w:rPr>
          <w:rFonts w:ascii="Arial" w:hAnsi="Arial" w:cs="Arial"/>
        </w:rPr>
        <w:t xml:space="preserve">companies/joint ventures </w:t>
      </w:r>
      <w:r w:rsidR="009503B8" w:rsidRPr="00017F08">
        <w:rPr>
          <w:rFonts w:ascii="Arial" w:hAnsi="Arial" w:cs="Arial"/>
        </w:rPr>
        <w:t xml:space="preserve">to provide </w:t>
      </w:r>
      <w:r w:rsidR="009503B8" w:rsidRPr="00017F08">
        <w:rPr>
          <w:rFonts w:ascii="Arial" w:hAnsi="Arial" w:cs="Arial"/>
          <w:b/>
        </w:rPr>
        <w:t>professional medical services</w:t>
      </w:r>
      <w:r w:rsidR="009503B8" w:rsidRPr="00017F08">
        <w:rPr>
          <w:rFonts w:ascii="Arial" w:hAnsi="Arial" w:cs="Arial"/>
        </w:rPr>
        <w:t xml:space="preserve"> </w:t>
      </w:r>
      <w:r w:rsidRPr="00017F08">
        <w:rPr>
          <w:rFonts w:ascii="Arial" w:hAnsi="Arial" w:cs="Arial"/>
        </w:rPr>
        <w:t>at</w:t>
      </w:r>
      <w:r w:rsidR="009503B8" w:rsidRPr="00017F08">
        <w:rPr>
          <w:rFonts w:ascii="Arial" w:hAnsi="Arial" w:cs="Arial"/>
        </w:rPr>
        <w:t xml:space="preserve"> its Ahafo </w:t>
      </w:r>
      <w:r w:rsidR="00AA25BB" w:rsidRPr="00017F08">
        <w:rPr>
          <w:rFonts w:ascii="Arial" w:hAnsi="Arial" w:cs="Arial"/>
        </w:rPr>
        <w:t xml:space="preserve">and </w:t>
      </w:r>
      <w:r w:rsidR="009503B8" w:rsidRPr="00017F08">
        <w:rPr>
          <w:rFonts w:ascii="Arial" w:hAnsi="Arial" w:cs="Arial"/>
        </w:rPr>
        <w:t>Akyem</w:t>
      </w:r>
      <w:r w:rsidRPr="00017F08">
        <w:rPr>
          <w:rFonts w:ascii="Arial" w:hAnsi="Arial" w:cs="Arial"/>
        </w:rPr>
        <w:t xml:space="preserve"> </w:t>
      </w:r>
      <w:r w:rsidR="009503B8" w:rsidRPr="00017F08">
        <w:rPr>
          <w:rFonts w:ascii="Arial" w:hAnsi="Arial" w:cs="Arial"/>
        </w:rPr>
        <w:t>s</w:t>
      </w:r>
      <w:r w:rsidR="00AA25BB" w:rsidRPr="00017F08">
        <w:rPr>
          <w:rFonts w:ascii="Arial" w:hAnsi="Arial" w:cs="Arial"/>
        </w:rPr>
        <w:t>ites</w:t>
      </w:r>
      <w:r w:rsidR="009503B8" w:rsidRPr="00017F08">
        <w:rPr>
          <w:rFonts w:ascii="Arial" w:hAnsi="Arial" w:cs="Arial"/>
        </w:rPr>
        <w:t xml:space="preserve"> and Regional office in Accra</w:t>
      </w:r>
      <w:r w:rsidRPr="00017F08">
        <w:rPr>
          <w:rFonts w:ascii="Arial" w:hAnsi="Arial" w:cs="Arial"/>
        </w:rPr>
        <w:t>.</w:t>
      </w:r>
      <w:r w:rsidR="00FF04F6" w:rsidRPr="00017F08">
        <w:rPr>
          <w:rFonts w:ascii="Arial" w:hAnsi="Arial" w:cs="Arial"/>
        </w:rPr>
        <w:t xml:space="preserve"> </w:t>
      </w:r>
    </w:p>
    <w:p w:rsidR="008E13A0" w:rsidRPr="00017F08" w:rsidRDefault="008E13A0" w:rsidP="0035743D">
      <w:p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Summary</w:t>
      </w:r>
      <w:r w:rsidR="0035743D" w:rsidRPr="00017F08">
        <w:rPr>
          <w:rFonts w:ascii="Arial" w:hAnsi="Arial" w:cs="Arial"/>
        </w:rPr>
        <w:t xml:space="preserve"> scope of </w:t>
      </w:r>
      <w:r w:rsidR="00AA25BB" w:rsidRPr="00017F08">
        <w:rPr>
          <w:rFonts w:ascii="Arial" w:hAnsi="Arial" w:cs="Arial"/>
        </w:rPr>
        <w:t>Professional Medical Services</w:t>
      </w:r>
      <w:r w:rsidR="0035743D" w:rsidRPr="00017F08">
        <w:rPr>
          <w:rFonts w:ascii="Arial" w:hAnsi="Arial" w:cs="Arial"/>
        </w:rPr>
        <w:t xml:space="preserve"> requirement includes, but not </w:t>
      </w:r>
      <w:r w:rsidR="00B765A2" w:rsidRPr="00017F08">
        <w:rPr>
          <w:rFonts w:ascii="Arial" w:hAnsi="Arial" w:cs="Arial"/>
        </w:rPr>
        <w:t>limited to the following:</w:t>
      </w:r>
    </w:p>
    <w:p w:rsidR="008E13A0" w:rsidRPr="00017F08" w:rsidRDefault="008E13A0" w:rsidP="0035743D">
      <w:pPr>
        <w:jc w:val="both"/>
        <w:rPr>
          <w:rFonts w:ascii="Arial" w:hAnsi="Arial" w:cs="Arial"/>
          <w:b/>
          <w:u w:val="single"/>
        </w:rPr>
      </w:pPr>
      <w:r w:rsidRPr="00017F08">
        <w:rPr>
          <w:rFonts w:ascii="Arial" w:hAnsi="Arial" w:cs="Arial"/>
          <w:b/>
          <w:u w:val="single"/>
        </w:rPr>
        <w:t>Ahafo Site</w:t>
      </w:r>
      <w:r w:rsidR="00BC03F4" w:rsidRPr="00017F08">
        <w:rPr>
          <w:rFonts w:ascii="Arial" w:hAnsi="Arial" w:cs="Arial"/>
          <w:b/>
          <w:u w:val="single"/>
        </w:rPr>
        <w:t xml:space="preserve"> and Akyem Sites</w:t>
      </w:r>
    </w:p>
    <w:p w:rsidR="00B941CA" w:rsidRPr="00017F08" w:rsidRDefault="00B134E5" w:rsidP="00B941CA">
      <w:pPr>
        <w:jc w:val="both"/>
        <w:rPr>
          <w:rFonts w:ascii="Arial" w:hAnsi="Arial" w:cs="Arial"/>
          <w:u w:val="single"/>
        </w:rPr>
      </w:pPr>
      <w:r w:rsidRPr="00017F08">
        <w:rPr>
          <w:rFonts w:ascii="Arial" w:hAnsi="Arial" w:cs="Arial"/>
          <w:u w:val="single"/>
        </w:rPr>
        <w:t>General</w:t>
      </w:r>
    </w:p>
    <w:p w:rsidR="002C54F2" w:rsidRPr="00017F08" w:rsidRDefault="00B765A2" w:rsidP="00537E53">
      <w:pPr>
        <w:pStyle w:val="ListParagraph"/>
        <w:numPr>
          <w:ilvl w:val="0"/>
          <w:numId w:val="22"/>
        </w:numPr>
        <w:ind w:left="36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hAnsi="Arial" w:cs="Arial"/>
        </w:rPr>
        <w:t xml:space="preserve">Maintain </w:t>
      </w:r>
      <w:r w:rsidR="008E13A0" w:rsidRPr="00017F08">
        <w:rPr>
          <w:rFonts w:ascii="Arial" w:hAnsi="Arial" w:cs="Arial"/>
        </w:rPr>
        <w:t>a</w:t>
      </w:r>
      <w:r w:rsidR="00B05F13" w:rsidRPr="00017F08">
        <w:rPr>
          <w:rFonts w:ascii="Arial" w:hAnsi="Arial" w:cs="Arial"/>
        </w:rPr>
        <w:t xml:space="preserve"> permanent Mine Site Clinic (MSC) </w:t>
      </w:r>
      <w:r w:rsidRPr="00017F08">
        <w:rPr>
          <w:rFonts w:ascii="Arial" w:hAnsi="Arial" w:cs="Arial"/>
        </w:rPr>
        <w:t>to competently render</w:t>
      </w:r>
      <w:r w:rsidR="00B05F13" w:rsidRPr="00017F08">
        <w:rPr>
          <w:rFonts w:ascii="Arial" w:hAnsi="Arial" w:cs="Arial"/>
        </w:rPr>
        <w:t xml:space="preserve"> </w:t>
      </w:r>
      <w:r w:rsidR="00B05F13" w:rsidRPr="00017F08">
        <w:rPr>
          <w:rFonts w:ascii="Arial" w:eastAsia="Times New Roman" w:hAnsi="Arial" w:cs="Arial"/>
          <w:lang w:val="en-US"/>
        </w:rPr>
        <w:t>initial emergency response, resuscitation</w:t>
      </w:r>
      <w:r w:rsidR="00F75C54" w:rsidRPr="00017F08">
        <w:rPr>
          <w:rFonts w:ascii="Arial" w:eastAsia="Times New Roman" w:hAnsi="Arial" w:cs="Arial"/>
          <w:lang w:val="en-US"/>
        </w:rPr>
        <w:t>,</w:t>
      </w:r>
      <w:r w:rsidR="00B05F13" w:rsidRPr="00017F08">
        <w:rPr>
          <w:rFonts w:ascii="Arial" w:eastAsia="Times New Roman" w:hAnsi="Arial" w:cs="Arial"/>
          <w:lang w:val="en-US"/>
        </w:rPr>
        <w:t xml:space="preserve"> stabilization</w:t>
      </w:r>
      <w:r w:rsidR="00F75C54" w:rsidRPr="00017F08">
        <w:rPr>
          <w:rFonts w:ascii="Arial" w:eastAsia="Times New Roman" w:hAnsi="Arial" w:cs="Arial"/>
          <w:lang w:val="en-US"/>
        </w:rPr>
        <w:t xml:space="preserve"> and evacuation</w:t>
      </w:r>
      <w:r w:rsidR="00B05F13" w:rsidRPr="00017F08">
        <w:rPr>
          <w:rFonts w:ascii="Arial" w:eastAsia="Times New Roman" w:hAnsi="Arial" w:cs="Arial"/>
          <w:lang w:val="en-US"/>
        </w:rPr>
        <w:t xml:space="preserve"> for work related injuries/illness</w:t>
      </w:r>
      <w:r w:rsidR="00F75C54" w:rsidRPr="00017F08">
        <w:rPr>
          <w:rFonts w:ascii="Arial" w:eastAsia="Times New Roman" w:hAnsi="Arial" w:cs="Arial"/>
          <w:lang w:val="en-US"/>
        </w:rPr>
        <w:t>,</w:t>
      </w:r>
      <w:r w:rsidR="00B05F13" w:rsidRPr="00017F08">
        <w:rPr>
          <w:rFonts w:ascii="Arial" w:eastAsia="Times New Roman" w:hAnsi="Arial" w:cs="Arial"/>
          <w:color w:val="FF00FF"/>
          <w:lang w:val="en-US"/>
        </w:rPr>
        <w:t xml:space="preserve"> </w:t>
      </w:r>
      <w:r w:rsidR="00F75C54" w:rsidRPr="00017F08">
        <w:rPr>
          <w:rFonts w:ascii="Arial" w:eastAsia="Times New Roman" w:hAnsi="Arial" w:cs="Arial"/>
          <w:lang w:val="en-US"/>
        </w:rPr>
        <w:t>occupational health services,  primary health care</w:t>
      </w:r>
      <w:r w:rsidR="00B05F13" w:rsidRPr="00017F08">
        <w:rPr>
          <w:rFonts w:ascii="Arial" w:eastAsia="Times New Roman" w:hAnsi="Arial" w:cs="Arial"/>
          <w:lang w:val="en-US"/>
        </w:rPr>
        <w:t xml:space="preserve"> </w:t>
      </w:r>
      <w:r w:rsidR="00F75C54" w:rsidRPr="00017F08">
        <w:rPr>
          <w:rFonts w:ascii="Arial" w:eastAsia="Times New Roman" w:hAnsi="Arial" w:cs="Arial"/>
          <w:lang w:val="en-US"/>
        </w:rPr>
        <w:t>to Newmont employees, personnel living in the camp and MKV (includes dependents of MKV re</w:t>
      </w:r>
      <w:r w:rsidR="00D855E0" w:rsidRPr="00017F08">
        <w:rPr>
          <w:rFonts w:ascii="Arial" w:eastAsia="Times New Roman" w:hAnsi="Arial" w:cs="Arial"/>
          <w:lang w:val="en-US"/>
        </w:rPr>
        <w:t>si</w:t>
      </w:r>
      <w:r w:rsidR="00F75C54" w:rsidRPr="00017F08">
        <w:rPr>
          <w:rFonts w:ascii="Arial" w:eastAsia="Times New Roman" w:hAnsi="Arial" w:cs="Arial"/>
          <w:lang w:val="en-US"/>
        </w:rPr>
        <w:t xml:space="preserve">dents) </w:t>
      </w:r>
      <w:r w:rsidR="00FF6A39" w:rsidRPr="00017F08">
        <w:rPr>
          <w:rFonts w:ascii="Arial" w:eastAsia="Times New Roman" w:hAnsi="Arial" w:cs="Arial"/>
          <w:lang w:val="en-US"/>
        </w:rPr>
        <w:t>(approximately 4</w:t>
      </w:r>
      <w:r w:rsidR="00A20E4D" w:rsidRPr="00017F08">
        <w:rPr>
          <w:rFonts w:ascii="Arial" w:eastAsia="Times New Roman" w:hAnsi="Arial" w:cs="Arial"/>
          <w:lang w:val="en-US"/>
        </w:rPr>
        <w:t>,</w:t>
      </w:r>
      <w:r w:rsidR="00FF6A39" w:rsidRPr="00017F08">
        <w:rPr>
          <w:rFonts w:ascii="Arial" w:eastAsia="Times New Roman" w:hAnsi="Arial" w:cs="Arial"/>
          <w:lang w:val="en-US"/>
        </w:rPr>
        <w:t>000 persons)</w:t>
      </w:r>
      <w:r w:rsidR="00B05F13" w:rsidRPr="00017F08">
        <w:rPr>
          <w:rFonts w:ascii="Arial" w:eastAsia="Times New Roman" w:hAnsi="Arial" w:cs="Arial"/>
          <w:lang w:val="en-US"/>
        </w:rPr>
        <w:t xml:space="preserve"> </w:t>
      </w:r>
      <w:r w:rsidR="00F75C54" w:rsidRPr="00017F08">
        <w:rPr>
          <w:rFonts w:ascii="Arial" w:eastAsia="Times New Roman" w:hAnsi="Arial" w:cs="Arial"/>
          <w:lang w:val="en-US"/>
        </w:rPr>
        <w:t>and emergency response to personal health conditions</w:t>
      </w:r>
      <w:r w:rsidR="00B05F13" w:rsidRPr="00017F08">
        <w:rPr>
          <w:rFonts w:ascii="Arial" w:eastAsia="Times New Roman" w:hAnsi="Arial" w:cs="Arial"/>
          <w:lang w:val="en-US"/>
        </w:rPr>
        <w:t>.</w:t>
      </w:r>
      <w:r w:rsidR="00B05F13" w:rsidRPr="00017F08">
        <w:rPr>
          <w:rFonts w:ascii="Arial" w:eastAsia="Times New Roman" w:hAnsi="Arial" w:cs="Arial"/>
          <w:color w:val="FF00FF"/>
          <w:lang w:val="en-US"/>
        </w:rPr>
        <w:t xml:space="preserve">  </w:t>
      </w:r>
    </w:p>
    <w:p w:rsidR="002C54F2" w:rsidRPr="00017F08" w:rsidRDefault="002C54F2" w:rsidP="00537E53">
      <w:pPr>
        <w:pStyle w:val="ListParagraph"/>
        <w:ind w:left="36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This </w:t>
      </w:r>
      <w:r w:rsidR="006A15FA" w:rsidRPr="00017F08">
        <w:rPr>
          <w:rFonts w:ascii="Arial" w:eastAsia="Times New Roman" w:hAnsi="Arial" w:cs="Arial"/>
          <w:lang w:val="en-US"/>
        </w:rPr>
        <w:t>would</w:t>
      </w:r>
      <w:r w:rsidR="00B765A2" w:rsidRPr="00017F08">
        <w:rPr>
          <w:rFonts w:ascii="Arial" w:eastAsia="Times New Roman" w:hAnsi="Arial" w:cs="Arial"/>
          <w:lang w:val="en-US"/>
        </w:rPr>
        <w:t xml:space="preserve"> include:</w:t>
      </w:r>
    </w:p>
    <w:p w:rsidR="002C54F2" w:rsidRPr="00017F08" w:rsidRDefault="002C54F2" w:rsidP="00537E53">
      <w:pPr>
        <w:pStyle w:val="ListParagraph"/>
        <w:numPr>
          <w:ilvl w:val="1"/>
          <w:numId w:val="29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Competent primary Health Care</w:t>
      </w:r>
      <w:r w:rsidR="00C91D0B" w:rsidRPr="00017F08">
        <w:rPr>
          <w:rFonts w:ascii="Arial" w:eastAsia="Times New Roman" w:hAnsi="Arial" w:cs="Arial"/>
          <w:lang w:val="en-US"/>
        </w:rPr>
        <w:t xml:space="preserve"> including X-Ray and Laboratory Services</w:t>
      </w:r>
    </w:p>
    <w:p w:rsidR="002C54F2" w:rsidRPr="00017F08" w:rsidRDefault="002C54F2" w:rsidP="00537E53">
      <w:pPr>
        <w:pStyle w:val="ListParagraph"/>
        <w:numPr>
          <w:ilvl w:val="1"/>
          <w:numId w:val="29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24-hr emergency medical care</w:t>
      </w:r>
    </w:p>
    <w:p w:rsidR="006C3AEC" w:rsidRPr="00017F08" w:rsidRDefault="002C54F2" w:rsidP="00537E53">
      <w:pPr>
        <w:pStyle w:val="ListParagraph"/>
        <w:numPr>
          <w:ilvl w:val="1"/>
          <w:numId w:val="29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Public Health Services </w:t>
      </w:r>
      <w:r w:rsidR="00F75C54" w:rsidRPr="00017F08">
        <w:rPr>
          <w:rFonts w:ascii="Arial" w:eastAsia="Times New Roman" w:hAnsi="Arial" w:cs="Arial"/>
          <w:lang w:val="en-US"/>
        </w:rPr>
        <w:t>through consultations and health promotion</w:t>
      </w:r>
      <w:r w:rsidR="006C3AEC" w:rsidRPr="00017F08">
        <w:rPr>
          <w:rFonts w:ascii="Arial" w:eastAsia="Times New Roman" w:hAnsi="Arial" w:cs="Arial"/>
          <w:lang w:val="en-US"/>
        </w:rPr>
        <w:t xml:space="preserve"> including HIV/AIDS and other potential pandemic illnesses.</w:t>
      </w:r>
      <w:r w:rsidR="00A8088B" w:rsidRPr="00017F08">
        <w:rPr>
          <w:rFonts w:ascii="Arial" w:eastAsia="Times New Roman" w:hAnsi="Arial" w:cs="Arial"/>
          <w:lang w:val="en-US"/>
        </w:rPr>
        <w:t xml:space="preserve"> </w:t>
      </w:r>
      <w:r w:rsidR="006C3AEC" w:rsidRPr="00017F08">
        <w:rPr>
          <w:rFonts w:ascii="Arial" w:eastAsia="Times New Roman" w:hAnsi="Arial" w:cs="Arial"/>
          <w:lang w:val="en-US"/>
        </w:rPr>
        <w:t>Malaria management program through diagnosis of cases, treatment and counselling on preventative measures.</w:t>
      </w:r>
    </w:p>
    <w:p w:rsidR="009F1964" w:rsidRPr="00017F08" w:rsidRDefault="00FF6A39" w:rsidP="00537E53">
      <w:pPr>
        <w:pStyle w:val="ListParagraph"/>
        <w:numPr>
          <w:ilvl w:val="1"/>
          <w:numId w:val="29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Establishment of an Employee Wellness </w:t>
      </w:r>
      <w:r w:rsidR="006F225D" w:rsidRPr="00017F08">
        <w:rPr>
          <w:rFonts w:ascii="Arial" w:eastAsia="Times New Roman" w:hAnsi="Arial" w:cs="Arial"/>
          <w:lang w:val="en-US"/>
        </w:rPr>
        <w:t>Program. This would include</w:t>
      </w:r>
      <w:r w:rsidR="00B765A2" w:rsidRPr="00017F08">
        <w:rPr>
          <w:rFonts w:ascii="Arial" w:eastAsia="Times New Roman" w:hAnsi="Arial" w:cs="Arial"/>
          <w:lang w:val="en-US"/>
        </w:rPr>
        <w:t>:</w:t>
      </w:r>
    </w:p>
    <w:p w:rsidR="006C3AEC" w:rsidRPr="00017F08" w:rsidRDefault="006C3AEC" w:rsidP="00537E53">
      <w:pPr>
        <w:pStyle w:val="ListParagraph"/>
        <w:numPr>
          <w:ilvl w:val="2"/>
          <w:numId w:val="29"/>
        </w:numPr>
        <w:ind w:left="180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Participate and support site wellness teams to target initiatives based on clinical evidence and global practices and provide site wellness checks.</w:t>
      </w:r>
    </w:p>
    <w:p w:rsidR="00FF6A39" w:rsidRPr="00017F08" w:rsidRDefault="00FF6A39" w:rsidP="00537E53">
      <w:pPr>
        <w:pStyle w:val="ListParagraph"/>
        <w:numPr>
          <w:ilvl w:val="1"/>
          <w:numId w:val="29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Medical transportation referral and evacuation </w:t>
      </w:r>
      <w:r w:rsidR="006A15FA" w:rsidRPr="00017F08">
        <w:rPr>
          <w:rFonts w:ascii="Arial" w:eastAsia="Times New Roman" w:hAnsi="Arial" w:cs="Arial"/>
          <w:lang w:val="en-US"/>
        </w:rPr>
        <w:t xml:space="preserve">of patients </w:t>
      </w:r>
      <w:r w:rsidRPr="00017F08">
        <w:rPr>
          <w:rFonts w:ascii="Arial" w:eastAsia="Times New Roman" w:hAnsi="Arial" w:cs="Arial"/>
          <w:lang w:val="en-US"/>
        </w:rPr>
        <w:t>to Accra/Oversees</w:t>
      </w:r>
    </w:p>
    <w:p w:rsidR="002C54F2" w:rsidRPr="00017F08" w:rsidRDefault="00FF6A39" w:rsidP="00537E53">
      <w:pPr>
        <w:pStyle w:val="ListParagraph"/>
        <w:numPr>
          <w:ilvl w:val="1"/>
          <w:numId w:val="29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Medical Training (Site based first aid, emergency response with mine rescue, public health and wellness programs)</w:t>
      </w:r>
    </w:p>
    <w:p w:rsidR="00FF6A39" w:rsidRPr="00017F08" w:rsidRDefault="00FF6A39" w:rsidP="00537E53">
      <w:pPr>
        <w:pStyle w:val="ListParagraph"/>
        <w:ind w:left="900" w:right="29"/>
        <w:jc w:val="both"/>
        <w:rPr>
          <w:rFonts w:ascii="Arial" w:eastAsia="Times New Roman" w:hAnsi="Arial" w:cs="Arial"/>
          <w:lang w:val="en-US"/>
        </w:rPr>
      </w:pPr>
    </w:p>
    <w:p w:rsidR="00B05F13" w:rsidRPr="00017F08" w:rsidRDefault="00B941CA" w:rsidP="00537E53">
      <w:pPr>
        <w:pStyle w:val="ListParagraph"/>
        <w:numPr>
          <w:ilvl w:val="0"/>
          <w:numId w:val="32"/>
        </w:numPr>
        <w:ind w:left="36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Manage</w:t>
      </w:r>
      <w:r w:rsidR="0044607E" w:rsidRPr="00017F08">
        <w:rPr>
          <w:rFonts w:ascii="Arial" w:eastAsia="Times New Roman" w:hAnsi="Arial" w:cs="Arial"/>
          <w:lang w:val="en-US"/>
        </w:rPr>
        <w:t xml:space="preserve"> the establishment of an </w:t>
      </w:r>
      <w:r w:rsidR="00FF6A39" w:rsidRPr="00017F08">
        <w:rPr>
          <w:rFonts w:ascii="Arial" w:eastAsia="Times New Roman" w:hAnsi="Arial" w:cs="Arial"/>
          <w:lang w:val="en-US"/>
        </w:rPr>
        <w:t>O</w:t>
      </w:r>
      <w:r w:rsidRPr="00017F08">
        <w:rPr>
          <w:rFonts w:ascii="Arial" w:eastAsia="Times New Roman" w:hAnsi="Arial" w:cs="Arial"/>
          <w:lang w:val="en-US"/>
        </w:rPr>
        <w:t>ccupational Health S</w:t>
      </w:r>
      <w:r w:rsidR="00B05F13" w:rsidRPr="00017F08">
        <w:rPr>
          <w:rFonts w:ascii="Arial" w:eastAsia="Times New Roman" w:hAnsi="Arial" w:cs="Arial"/>
          <w:lang w:val="en-US"/>
        </w:rPr>
        <w:t xml:space="preserve">ervices, a general practice care to service a workforce of </w:t>
      </w:r>
      <w:r w:rsidR="006C3AEC" w:rsidRPr="00017F08">
        <w:rPr>
          <w:rFonts w:ascii="Arial" w:eastAsia="Times New Roman" w:hAnsi="Arial" w:cs="Arial"/>
          <w:lang w:val="en-US"/>
        </w:rPr>
        <w:t>approximately 2,000</w:t>
      </w:r>
      <w:r w:rsidR="00B05F13" w:rsidRPr="00017F08">
        <w:rPr>
          <w:rFonts w:ascii="Arial" w:eastAsia="Times New Roman" w:hAnsi="Arial" w:cs="Arial"/>
          <w:lang w:val="en-US"/>
        </w:rPr>
        <w:t xml:space="preserve"> personnel for the </w:t>
      </w:r>
      <w:r w:rsidR="006C3AEC" w:rsidRPr="00017F08">
        <w:rPr>
          <w:rFonts w:ascii="Arial" w:eastAsia="Times New Roman" w:hAnsi="Arial" w:cs="Arial"/>
          <w:lang w:val="en-US"/>
        </w:rPr>
        <w:t>mine sites and select contractors of approximately 100 personnel</w:t>
      </w:r>
      <w:r w:rsidR="00B05F13" w:rsidRPr="00017F08">
        <w:rPr>
          <w:rFonts w:ascii="Arial" w:eastAsia="Times New Roman" w:hAnsi="Arial" w:cs="Arial"/>
          <w:lang w:val="en-US"/>
        </w:rPr>
        <w:t>.</w:t>
      </w:r>
    </w:p>
    <w:p w:rsidR="00FF6A39" w:rsidRPr="00017F08" w:rsidRDefault="00FF6A39" w:rsidP="00537E53">
      <w:pPr>
        <w:ind w:left="-360" w:right="29" w:firstLine="720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This </w:t>
      </w:r>
      <w:r w:rsidR="00A20E4D" w:rsidRPr="00017F08">
        <w:rPr>
          <w:rFonts w:ascii="Arial" w:eastAsia="Times New Roman" w:hAnsi="Arial" w:cs="Arial"/>
          <w:lang w:val="en-US"/>
        </w:rPr>
        <w:t>would</w:t>
      </w:r>
      <w:r w:rsidRPr="00017F08">
        <w:rPr>
          <w:rFonts w:ascii="Arial" w:eastAsia="Times New Roman" w:hAnsi="Arial" w:cs="Arial"/>
          <w:lang w:val="en-US"/>
        </w:rPr>
        <w:t xml:space="preserve"> include</w:t>
      </w:r>
      <w:r w:rsidR="001814B7" w:rsidRPr="00017F08">
        <w:rPr>
          <w:rFonts w:ascii="Arial" w:eastAsia="Times New Roman" w:hAnsi="Arial" w:cs="Arial"/>
          <w:lang w:val="en-US"/>
        </w:rPr>
        <w:t xml:space="preserve"> program planning and implementation with regard to</w:t>
      </w:r>
      <w:r w:rsidR="00B941CA" w:rsidRPr="00017F08">
        <w:rPr>
          <w:rFonts w:ascii="Arial" w:eastAsia="Times New Roman" w:hAnsi="Arial" w:cs="Arial"/>
          <w:lang w:val="en-US"/>
        </w:rPr>
        <w:t>:</w:t>
      </w:r>
    </w:p>
    <w:p w:rsidR="00FF6A39" w:rsidRPr="00017F08" w:rsidRDefault="00FF6A39" w:rsidP="00537E53">
      <w:pPr>
        <w:pStyle w:val="ListParagraph"/>
        <w:numPr>
          <w:ilvl w:val="0"/>
          <w:numId w:val="31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Pre-</w:t>
      </w:r>
      <w:r w:rsidR="001814B7" w:rsidRPr="00017F08">
        <w:rPr>
          <w:rFonts w:ascii="Arial" w:eastAsia="Times New Roman" w:hAnsi="Arial" w:cs="Arial"/>
          <w:lang w:val="en-US"/>
        </w:rPr>
        <w:t>employment, interim employment and exit medical screening program</w:t>
      </w:r>
      <w:r w:rsidRPr="00017F08">
        <w:rPr>
          <w:rFonts w:ascii="Arial" w:eastAsia="Times New Roman" w:hAnsi="Arial" w:cs="Arial"/>
          <w:lang w:val="en-US"/>
        </w:rPr>
        <w:t xml:space="preserve"> </w:t>
      </w:r>
    </w:p>
    <w:p w:rsidR="00FF6A39" w:rsidRPr="00017F08" w:rsidRDefault="001814B7" w:rsidP="00537E53">
      <w:pPr>
        <w:pStyle w:val="ListParagraph"/>
        <w:numPr>
          <w:ilvl w:val="0"/>
          <w:numId w:val="31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Routine </w:t>
      </w:r>
      <w:r w:rsidR="00FF6A39" w:rsidRPr="00017F08">
        <w:rPr>
          <w:rFonts w:ascii="Arial" w:eastAsia="Times New Roman" w:hAnsi="Arial" w:cs="Arial"/>
          <w:lang w:val="en-US"/>
        </w:rPr>
        <w:t>(job specific) periodic medicals</w:t>
      </w:r>
    </w:p>
    <w:p w:rsidR="00FF6A39" w:rsidRPr="00017F08" w:rsidRDefault="00FF6A39" w:rsidP="00537E53">
      <w:pPr>
        <w:pStyle w:val="ListParagraph"/>
        <w:numPr>
          <w:ilvl w:val="0"/>
          <w:numId w:val="31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Drug and Alcohol </w:t>
      </w:r>
      <w:r w:rsidR="006F225D" w:rsidRPr="00017F08">
        <w:rPr>
          <w:rFonts w:ascii="Arial" w:eastAsia="Times New Roman" w:hAnsi="Arial" w:cs="Arial"/>
          <w:lang w:val="en-US"/>
        </w:rPr>
        <w:t xml:space="preserve">testing based </w:t>
      </w:r>
      <w:r w:rsidR="00B941CA" w:rsidRPr="00017F08">
        <w:rPr>
          <w:rFonts w:ascii="Arial" w:eastAsia="Times New Roman" w:hAnsi="Arial" w:cs="Arial"/>
          <w:lang w:val="en-US"/>
        </w:rPr>
        <w:t>on site drug and alcohol policy</w:t>
      </w:r>
    </w:p>
    <w:p w:rsidR="00FF6A39" w:rsidRPr="00017F08" w:rsidRDefault="00FF6A39" w:rsidP="00537E53">
      <w:pPr>
        <w:pStyle w:val="ListParagraph"/>
        <w:numPr>
          <w:ilvl w:val="0"/>
          <w:numId w:val="31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Injury/Disability Management</w:t>
      </w:r>
    </w:p>
    <w:p w:rsidR="00FF6A39" w:rsidRPr="00017F08" w:rsidRDefault="00FF6A39" w:rsidP="00537E53">
      <w:pPr>
        <w:pStyle w:val="ListParagraph"/>
        <w:numPr>
          <w:ilvl w:val="0"/>
          <w:numId w:val="31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Site Health/Hygiene Auditing</w:t>
      </w:r>
    </w:p>
    <w:p w:rsidR="006F225D" w:rsidRPr="00017F08" w:rsidRDefault="006F225D" w:rsidP="00537E53">
      <w:pPr>
        <w:pStyle w:val="ListParagraph"/>
        <w:numPr>
          <w:ilvl w:val="0"/>
          <w:numId w:val="31"/>
        </w:numPr>
        <w:ind w:left="1080"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lastRenderedPageBreak/>
        <w:t>Food handler’s surveillance program</w:t>
      </w:r>
    </w:p>
    <w:p w:rsidR="006F225D" w:rsidRPr="00017F08" w:rsidRDefault="006F225D" w:rsidP="00B765A2">
      <w:pPr>
        <w:pStyle w:val="ListParagraph"/>
        <w:numPr>
          <w:ilvl w:val="0"/>
          <w:numId w:val="31"/>
        </w:numPr>
        <w:ind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Cyanide medical response</w:t>
      </w:r>
    </w:p>
    <w:p w:rsidR="006F225D" w:rsidRPr="00017F08" w:rsidRDefault="006F225D" w:rsidP="00B765A2">
      <w:pPr>
        <w:pStyle w:val="ListParagraph"/>
        <w:numPr>
          <w:ilvl w:val="0"/>
          <w:numId w:val="31"/>
        </w:numPr>
        <w:ind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Biological monitoring program for heavy metals</w:t>
      </w:r>
    </w:p>
    <w:p w:rsidR="006F225D" w:rsidRPr="00017F08" w:rsidRDefault="006F225D" w:rsidP="00B765A2">
      <w:pPr>
        <w:pStyle w:val="ListParagraph"/>
        <w:numPr>
          <w:ilvl w:val="0"/>
          <w:numId w:val="31"/>
        </w:numPr>
        <w:ind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Hearing conversation program</w:t>
      </w:r>
    </w:p>
    <w:p w:rsidR="006F225D" w:rsidRPr="00017F08" w:rsidRDefault="006F225D" w:rsidP="00B765A2">
      <w:pPr>
        <w:pStyle w:val="ListParagraph"/>
        <w:numPr>
          <w:ilvl w:val="0"/>
          <w:numId w:val="31"/>
        </w:numPr>
        <w:ind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Heat stress program</w:t>
      </w:r>
    </w:p>
    <w:p w:rsidR="006C3AEC" w:rsidRPr="00017F08" w:rsidRDefault="006C3AEC" w:rsidP="00B765A2">
      <w:pPr>
        <w:pStyle w:val="ListParagraph"/>
        <w:numPr>
          <w:ilvl w:val="0"/>
          <w:numId w:val="31"/>
        </w:numPr>
        <w:ind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Ergonomic program</w:t>
      </w:r>
    </w:p>
    <w:p w:rsidR="0044607E" w:rsidRPr="00017F08" w:rsidRDefault="0044607E" w:rsidP="00B941CA">
      <w:pPr>
        <w:pStyle w:val="ListParagraph"/>
        <w:numPr>
          <w:ilvl w:val="0"/>
          <w:numId w:val="33"/>
        </w:numPr>
        <w:ind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 xml:space="preserve">The Occupational Health Service must conform </w:t>
      </w:r>
      <w:r w:rsidR="004216D4" w:rsidRPr="00017F08">
        <w:rPr>
          <w:rFonts w:ascii="Arial" w:eastAsia="Times New Roman" w:hAnsi="Arial" w:cs="Arial"/>
          <w:lang w:val="en-US"/>
        </w:rPr>
        <w:t xml:space="preserve">to </w:t>
      </w:r>
      <w:r w:rsidRPr="00017F08">
        <w:rPr>
          <w:rFonts w:ascii="Arial" w:eastAsia="Times New Roman" w:hAnsi="Arial" w:cs="Arial"/>
          <w:lang w:val="en-US"/>
        </w:rPr>
        <w:t xml:space="preserve">Newmont’s </w:t>
      </w:r>
      <w:r w:rsidR="009B7650" w:rsidRPr="00017F08">
        <w:rPr>
          <w:rFonts w:ascii="Arial" w:eastAsia="Times New Roman" w:hAnsi="Arial" w:cs="Arial"/>
          <w:lang w:val="en-US"/>
        </w:rPr>
        <w:t xml:space="preserve">health </w:t>
      </w:r>
      <w:r w:rsidRPr="00017F08">
        <w:rPr>
          <w:rFonts w:ascii="Arial" w:eastAsia="Times New Roman" w:hAnsi="Arial" w:cs="Arial"/>
          <w:lang w:val="en-US"/>
        </w:rPr>
        <w:t>standard</w:t>
      </w:r>
      <w:r w:rsidR="009B7650" w:rsidRPr="00017F08">
        <w:rPr>
          <w:rFonts w:ascii="Arial" w:eastAsia="Times New Roman" w:hAnsi="Arial" w:cs="Arial"/>
          <w:lang w:val="en-US"/>
        </w:rPr>
        <w:t>s</w:t>
      </w:r>
      <w:r w:rsidRPr="00017F08">
        <w:rPr>
          <w:rFonts w:ascii="Arial" w:eastAsia="Times New Roman" w:hAnsi="Arial" w:cs="Arial"/>
          <w:lang w:val="en-US"/>
        </w:rPr>
        <w:t xml:space="preserve"> </w:t>
      </w:r>
    </w:p>
    <w:p w:rsidR="00B941CA" w:rsidRPr="00017F08" w:rsidRDefault="00B941CA" w:rsidP="00B941CA">
      <w:pPr>
        <w:pStyle w:val="ListParagraph"/>
        <w:ind w:right="29"/>
        <w:jc w:val="both"/>
        <w:rPr>
          <w:rFonts w:ascii="Arial" w:eastAsia="Times New Roman" w:hAnsi="Arial" w:cs="Arial"/>
          <w:lang w:val="en-US"/>
        </w:rPr>
      </w:pPr>
    </w:p>
    <w:p w:rsidR="00B941CA" w:rsidRPr="00017F08" w:rsidRDefault="00B941CA" w:rsidP="00B941CA">
      <w:pPr>
        <w:pStyle w:val="ListParagraph"/>
        <w:ind w:right="29"/>
        <w:jc w:val="both"/>
        <w:rPr>
          <w:rFonts w:ascii="Arial" w:eastAsia="Times New Roman" w:hAnsi="Arial" w:cs="Arial"/>
          <w:lang w:val="en-US"/>
        </w:rPr>
      </w:pPr>
    </w:p>
    <w:p w:rsidR="00B134E5" w:rsidRPr="00017F08" w:rsidRDefault="00B134E5" w:rsidP="00B941CA">
      <w:pPr>
        <w:ind w:right="29"/>
        <w:jc w:val="both"/>
        <w:rPr>
          <w:rFonts w:ascii="Arial" w:eastAsia="Times New Roman" w:hAnsi="Arial" w:cs="Arial"/>
          <w:u w:val="single"/>
          <w:lang w:val="en-US"/>
        </w:rPr>
      </w:pPr>
      <w:r w:rsidRPr="00017F08">
        <w:rPr>
          <w:rFonts w:ascii="Arial" w:eastAsia="Times New Roman" w:hAnsi="Arial" w:cs="Arial"/>
          <w:u w:val="single"/>
          <w:lang w:val="en-US"/>
        </w:rPr>
        <w:t>Medical Equipment and Pharmaceutical Supplies</w:t>
      </w:r>
    </w:p>
    <w:p w:rsidR="002C54F2" w:rsidRPr="00017F08" w:rsidRDefault="0042048E" w:rsidP="006405B3">
      <w:pPr>
        <w:pStyle w:val="ListParagraph"/>
        <w:numPr>
          <w:ilvl w:val="0"/>
          <w:numId w:val="28"/>
        </w:numPr>
        <w:ind w:right="29"/>
        <w:jc w:val="both"/>
        <w:rPr>
          <w:rFonts w:ascii="Arial" w:eastAsia="Times New Roman" w:hAnsi="Arial" w:cs="Arial"/>
          <w:lang w:val="en-US"/>
        </w:rPr>
      </w:pPr>
      <w:r w:rsidRPr="00017F08">
        <w:rPr>
          <w:rFonts w:ascii="Arial" w:eastAsia="Times New Roman" w:hAnsi="Arial" w:cs="Arial"/>
          <w:lang w:val="en-US"/>
        </w:rPr>
        <w:t>Provide</w:t>
      </w:r>
      <w:r w:rsidR="00926C3B" w:rsidRPr="00017F08">
        <w:rPr>
          <w:rFonts w:ascii="Arial" w:eastAsia="Times New Roman" w:hAnsi="Arial" w:cs="Arial"/>
          <w:lang w:val="en-US"/>
        </w:rPr>
        <w:t xml:space="preserve"> standard Inventories of medical equipment and recommended drug/disposable lists in accordanc</w:t>
      </w:r>
      <w:bookmarkStart w:id="0" w:name="_GoBack"/>
      <w:bookmarkEnd w:id="0"/>
      <w:r w:rsidR="00926C3B" w:rsidRPr="00017F08">
        <w:rPr>
          <w:rFonts w:ascii="Arial" w:eastAsia="Times New Roman" w:hAnsi="Arial" w:cs="Arial"/>
          <w:lang w:val="en-US"/>
        </w:rPr>
        <w:t>e with Industry standards.</w:t>
      </w:r>
    </w:p>
    <w:p w:rsidR="008E13A0" w:rsidRPr="00017F08" w:rsidRDefault="008E13A0" w:rsidP="008E13A0">
      <w:pPr>
        <w:pStyle w:val="ListParagraph"/>
        <w:ind w:left="540"/>
        <w:jc w:val="both"/>
        <w:rPr>
          <w:rFonts w:ascii="Arial" w:hAnsi="Arial" w:cs="Arial"/>
          <w:highlight w:val="yellow"/>
        </w:rPr>
      </w:pPr>
    </w:p>
    <w:p w:rsidR="008E13A0" w:rsidRPr="00017F08" w:rsidRDefault="008E13A0" w:rsidP="008E13A0">
      <w:pPr>
        <w:pStyle w:val="ListParagraph"/>
        <w:ind w:left="540" w:hanging="540"/>
        <w:jc w:val="both"/>
        <w:rPr>
          <w:rFonts w:ascii="Arial" w:hAnsi="Arial" w:cs="Arial"/>
          <w:b/>
          <w:u w:val="single"/>
        </w:rPr>
      </w:pPr>
      <w:r w:rsidRPr="00017F08">
        <w:rPr>
          <w:rFonts w:ascii="Arial" w:hAnsi="Arial" w:cs="Arial"/>
          <w:b/>
          <w:u w:val="single"/>
        </w:rPr>
        <w:t>Accra Site</w:t>
      </w:r>
    </w:p>
    <w:p w:rsidR="00A8088B" w:rsidRPr="00017F08" w:rsidRDefault="00A8088B" w:rsidP="008E13A0">
      <w:pPr>
        <w:pStyle w:val="ListParagraph"/>
        <w:ind w:left="540" w:hanging="540"/>
        <w:jc w:val="both"/>
        <w:rPr>
          <w:rFonts w:ascii="Arial" w:hAnsi="Arial" w:cs="Arial"/>
          <w:b/>
          <w:u w:val="single"/>
        </w:rPr>
      </w:pPr>
    </w:p>
    <w:p w:rsidR="00A8088B" w:rsidRPr="00017F08" w:rsidRDefault="00A8088B" w:rsidP="0042048E">
      <w:pPr>
        <w:jc w:val="both"/>
        <w:rPr>
          <w:rFonts w:ascii="Arial" w:hAnsi="Arial" w:cs="Arial"/>
          <w:u w:val="single"/>
        </w:rPr>
      </w:pPr>
      <w:r w:rsidRPr="00017F08">
        <w:rPr>
          <w:rFonts w:ascii="Arial" w:hAnsi="Arial" w:cs="Arial"/>
          <w:u w:val="single"/>
        </w:rPr>
        <w:t>General</w:t>
      </w:r>
    </w:p>
    <w:p w:rsidR="00A8088B" w:rsidRPr="00017F08" w:rsidRDefault="00A8088B" w:rsidP="00B941CA">
      <w:p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The fully integrated medical service to be provided shall fulfil the following functions</w:t>
      </w:r>
      <w:r w:rsidR="0042048E" w:rsidRPr="00017F08">
        <w:rPr>
          <w:rFonts w:ascii="Arial" w:hAnsi="Arial" w:cs="Arial"/>
        </w:rPr>
        <w:t>:</w:t>
      </w:r>
      <w:r w:rsidRPr="00017F08">
        <w:rPr>
          <w:rFonts w:ascii="Arial" w:hAnsi="Arial" w:cs="Arial"/>
        </w:rPr>
        <w:t xml:space="preserve"> </w:t>
      </w:r>
    </w:p>
    <w:p w:rsidR="00A8088B" w:rsidRPr="00017F08" w:rsidRDefault="00A8088B" w:rsidP="006405B3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Co-ordination of non-urgent</w:t>
      </w:r>
      <w:r w:rsidR="0042048E" w:rsidRPr="00017F08">
        <w:rPr>
          <w:rFonts w:ascii="Arial" w:hAnsi="Arial" w:cs="Arial"/>
        </w:rPr>
        <w:t xml:space="preserve"> medical transfers, as required</w:t>
      </w:r>
      <w:r w:rsidRPr="00017F08">
        <w:rPr>
          <w:rFonts w:ascii="Arial" w:hAnsi="Arial" w:cs="Arial"/>
        </w:rPr>
        <w:t xml:space="preserve"> </w:t>
      </w:r>
    </w:p>
    <w:p w:rsidR="00A8088B" w:rsidRPr="00017F08" w:rsidRDefault="00A8088B" w:rsidP="006405B3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 xml:space="preserve">Provision of medical examinations in Accra (Pre-Employment, Exit Medicals, Occupational related illness and injury reviews) </w:t>
      </w:r>
    </w:p>
    <w:p w:rsidR="00A8088B" w:rsidRPr="00017F08" w:rsidRDefault="00A8088B" w:rsidP="006405B3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 xml:space="preserve">Drug and alcohol testing in Accra based on Newmont  drug and alcohol policy  </w:t>
      </w:r>
    </w:p>
    <w:p w:rsidR="00A8088B" w:rsidRPr="00017F08" w:rsidRDefault="00A8088B" w:rsidP="006405B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017F08">
        <w:rPr>
          <w:rFonts w:ascii="Arial" w:hAnsi="Arial" w:cs="Arial"/>
          <w:lang w:val="en-US"/>
        </w:rPr>
        <w:t>Participate and support site wellness teams to target initiatives based on clinical evidence and global practices and provide site wellness checks.</w:t>
      </w:r>
    </w:p>
    <w:p w:rsidR="00A8088B" w:rsidRPr="00017F08" w:rsidRDefault="00A8088B" w:rsidP="00A8088B">
      <w:pPr>
        <w:pStyle w:val="ListParagraph"/>
        <w:ind w:left="540" w:hanging="540"/>
        <w:rPr>
          <w:rFonts w:ascii="Arial" w:hAnsi="Arial" w:cs="Arial"/>
          <w:lang w:val="en-US"/>
        </w:rPr>
      </w:pPr>
    </w:p>
    <w:p w:rsidR="00A8088B" w:rsidRPr="00017F08" w:rsidRDefault="00A8088B" w:rsidP="0042048E">
      <w:pPr>
        <w:rPr>
          <w:rFonts w:ascii="Arial" w:hAnsi="Arial" w:cs="Arial"/>
          <w:bCs/>
        </w:rPr>
      </w:pPr>
      <w:r w:rsidRPr="00017F08">
        <w:rPr>
          <w:rFonts w:ascii="Arial" w:hAnsi="Arial" w:cs="Arial"/>
          <w:bCs/>
          <w:u w:val="single"/>
        </w:rPr>
        <w:t>Health Administration Services</w:t>
      </w:r>
      <w:r w:rsidRPr="00017F08">
        <w:rPr>
          <w:rFonts w:ascii="Arial" w:hAnsi="Arial" w:cs="Arial"/>
          <w:bCs/>
        </w:rPr>
        <w:t xml:space="preserve"> </w:t>
      </w:r>
    </w:p>
    <w:p w:rsidR="00A8088B" w:rsidRPr="00017F08" w:rsidRDefault="00A8088B" w:rsidP="0042048E">
      <w:pPr>
        <w:rPr>
          <w:rFonts w:ascii="Arial" w:hAnsi="Arial" w:cs="Arial"/>
        </w:rPr>
      </w:pPr>
      <w:r w:rsidRPr="00017F08">
        <w:rPr>
          <w:rFonts w:ascii="Arial" w:hAnsi="Arial" w:cs="Arial"/>
        </w:rPr>
        <w:t>This includes the establishment of a Heath Administration Service program to include b</w:t>
      </w:r>
      <w:r w:rsidR="0042048E" w:rsidRPr="00017F08">
        <w:rPr>
          <w:rFonts w:ascii="Arial" w:hAnsi="Arial" w:cs="Arial"/>
        </w:rPr>
        <w:t>ut not limited to the following: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Corporate support for the Health Administration Services (HAS)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A dedicated Medical Provider Network Team</w:t>
      </w:r>
      <w:r w:rsidR="000F4746" w:rsidRPr="00017F08">
        <w:rPr>
          <w:rFonts w:ascii="Arial" w:hAnsi="Arial" w:cs="Arial"/>
        </w:rPr>
        <w:t>.</w:t>
      </w:r>
      <w:r w:rsidRPr="00017F08">
        <w:rPr>
          <w:rFonts w:ascii="Arial" w:hAnsi="Arial" w:cs="Arial"/>
        </w:rPr>
        <w:t xml:space="preserve"> This dedicated team will </w:t>
      </w:r>
      <w:r w:rsidR="0042048E" w:rsidRPr="00017F08">
        <w:rPr>
          <w:rFonts w:ascii="Arial" w:hAnsi="Arial" w:cs="Arial"/>
        </w:rPr>
        <w:t>build</w:t>
      </w:r>
      <w:r w:rsidRPr="00017F08">
        <w:rPr>
          <w:rFonts w:ascii="Arial" w:hAnsi="Arial" w:cs="Arial"/>
        </w:rPr>
        <w:t xml:space="preserve"> a strong relationship with local medical providers using frequent communication and contact, together with periodical travel to high volume locations for face-to-face reviews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Full Management of hospital and third party provider medical inpatient / outpatient referrals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Medical management a</w:t>
      </w:r>
      <w:r w:rsidR="0042048E" w:rsidRPr="00017F08">
        <w:rPr>
          <w:rFonts w:ascii="Arial" w:hAnsi="Arial" w:cs="Arial"/>
        </w:rPr>
        <w:t>nd medical reporting/statistics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  <w:lang w:val="en-ZA"/>
        </w:rPr>
      </w:pPr>
      <w:r w:rsidRPr="00017F08">
        <w:rPr>
          <w:rFonts w:ascii="Arial" w:hAnsi="Arial" w:cs="Arial"/>
        </w:rPr>
        <w:t xml:space="preserve"> Non-emergency psychological support to employees 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  <w:lang w:val="en-ZA"/>
        </w:rPr>
      </w:pPr>
      <w:r w:rsidRPr="00017F08">
        <w:rPr>
          <w:rFonts w:ascii="Arial" w:hAnsi="Arial" w:cs="Arial"/>
        </w:rPr>
        <w:t xml:space="preserve"> Management of a Medics Software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 xml:space="preserve">A cashless medical system in combination with a purpose-built reporting system and provider network database (MEDICS) 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  <w:lang w:val="en-ZA"/>
        </w:rPr>
      </w:pPr>
      <w:r w:rsidRPr="00017F08">
        <w:rPr>
          <w:rFonts w:ascii="Arial" w:hAnsi="Arial" w:cs="Arial"/>
          <w:lang w:val="en-ZA"/>
        </w:rPr>
        <w:lastRenderedPageBreak/>
        <w:t xml:space="preserve">Performance of a random audit of 50 </w:t>
      </w:r>
      <w:r w:rsidR="00537E53" w:rsidRPr="00017F08">
        <w:rPr>
          <w:rFonts w:ascii="Arial" w:hAnsi="Arial" w:cs="Arial"/>
          <w:lang w:val="en-ZA"/>
        </w:rPr>
        <w:t>inpatients</w:t>
      </w:r>
      <w:r w:rsidRPr="00017F08">
        <w:rPr>
          <w:rFonts w:ascii="Arial" w:hAnsi="Arial" w:cs="Arial"/>
          <w:lang w:val="en-ZA"/>
        </w:rPr>
        <w:t xml:space="preserve"> and 50 outpatient invoices every quarter and report the results back to Newmont. The purpose is to</w:t>
      </w:r>
      <w:r w:rsidR="00537E53" w:rsidRPr="00017F08">
        <w:rPr>
          <w:rFonts w:ascii="Arial" w:hAnsi="Arial" w:cs="Arial"/>
          <w:lang w:val="en-ZA"/>
        </w:rPr>
        <w:t>:</w:t>
      </w:r>
      <w:r w:rsidRPr="00017F08">
        <w:rPr>
          <w:rFonts w:ascii="Arial" w:hAnsi="Arial" w:cs="Arial"/>
          <w:lang w:val="en-ZA"/>
        </w:rPr>
        <w:t xml:space="preserve">  </w:t>
      </w:r>
    </w:p>
    <w:p w:rsidR="00A8088B" w:rsidRPr="00017F08" w:rsidRDefault="00A8088B" w:rsidP="0042048E">
      <w:pPr>
        <w:pStyle w:val="ListParagraph"/>
        <w:numPr>
          <w:ilvl w:val="1"/>
          <w:numId w:val="25"/>
        </w:numPr>
        <w:ind w:left="1080"/>
        <w:jc w:val="both"/>
        <w:rPr>
          <w:rFonts w:ascii="Arial" w:hAnsi="Arial" w:cs="Arial"/>
          <w:lang w:val="en-ZA"/>
        </w:rPr>
      </w:pPr>
      <w:r w:rsidRPr="00017F08">
        <w:rPr>
          <w:rFonts w:ascii="Arial" w:hAnsi="Arial" w:cs="Arial"/>
          <w:lang w:val="en-ZA"/>
        </w:rPr>
        <w:t>determine if the costs for medical services are appropriate and detect potential fraud,</w:t>
      </w:r>
    </w:p>
    <w:p w:rsidR="00A8088B" w:rsidRPr="00017F08" w:rsidRDefault="00A8088B" w:rsidP="0042048E">
      <w:pPr>
        <w:pStyle w:val="ListParagraph"/>
        <w:numPr>
          <w:ilvl w:val="1"/>
          <w:numId w:val="25"/>
        </w:numPr>
        <w:ind w:left="1080"/>
        <w:jc w:val="both"/>
        <w:rPr>
          <w:rFonts w:ascii="Arial" w:hAnsi="Arial" w:cs="Arial"/>
          <w:lang w:val="en-ZA"/>
        </w:rPr>
      </w:pPr>
      <w:r w:rsidRPr="00017F08">
        <w:rPr>
          <w:rFonts w:ascii="Arial" w:hAnsi="Arial" w:cs="Arial"/>
          <w:lang w:val="en-ZA"/>
        </w:rPr>
        <w:t xml:space="preserve">whether the length of inpatient stay is appropriate for the procedure or reason for admission </w:t>
      </w:r>
    </w:p>
    <w:p w:rsidR="00A8088B" w:rsidRPr="00017F08" w:rsidRDefault="00A8088B" w:rsidP="0042048E">
      <w:pPr>
        <w:pStyle w:val="ListParagraph"/>
        <w:numPr>
          <w:ilvl w:val="0"/>
          <w:numId w:val="25"/>
        </w:numPr>
        <w:ind w:left="360"/>
        <w:jc w:val="both"/>
        <w:rPr>
          <w:rFonts w:ascii="Arial" w:hAnsi="Arial" w:cs="Arial"/>
          <w:lang w:val="en-US"/>
        </w:rPr>
      </w:pPr>
      <w:r w:rsidRPr="00017F08">
        <w:rPr>
          <w:rFonts w:ascii="Arial" w:hAnsi="Arial" w:cs="Arial"/>
          <w:lang w:val="en-ZA"/>
        </w:rPr>
        <w:t>Quality control and oversight by the contractor</w:t>
      </w:r>
    </w:p>
    <w:p w:rsidR="00A8088B" w:rsidRPr="00017F08" w:rsidRDefault="00A8088B" w:rsidP="0042048E">
      <w:pPr>
        <w:pStyle w:val="ListParagraph"/>
        <w:ind w:firstLine="360"/>
        <w:jc w:val="both"/>
        <w:rPr>
          <w:rFonts w:ascii="Arial" w:hAnsi="Arial" w:cs="Arial"/>
          <w:lang w:val="en-US"/>
        </w:rPr>
      </w:pPr>
    </w:p>
    <w:p w:rsidR="00537E53" w:rsidRPr="00017F08" w:rsidRDefault="00537E53" w:rsidP="00537E53">
      <w:pPr>
        <w:jc w:val="both"/>
        <w:rPr>
          <w:rFonts w:ascii="Arial" w:hAnsi="Arial" w:cs="Arial"/>
          <w:b/>
          <w:u w:val="single"/>
        </w:rPr>
      </w:pPr>
      <w:r w:rsidRPr="00017F08">
        <w:rPr>
          <w:rFonts w:ascii="Arial" w:hAnsi="Arial" w:cs="Arial"/>
          <w:b/>
          <w:u w:val="single"/>
        </w:rPr>
        <w:t>Minimum Criteria</w:t>
      </w:r>
    </w:p>
    <w:p w:rsidR="00A8088B" w:rsidRPr="00017F08" w:rsidRDefault="00A8088B" w:rsidP="00537E53">
      <w:p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 xml:space="preserve">Interested Organizations </w:t>
      </w:r>
      <w:r w:rsidR="00537E53" w:rsidRPr="00017F08">
        <w:rPr>
          <w:rFonts w:ascii="Arial" w:hAnsi="Arial" w:cs="Arial"/>
        </w:rPr>
        <w:t>must</w:t>
      </w:r>
      <w:r w:rsidRPr="00017F08">
        <w:rPr>
          <w:rFonts w:ascii="Arial" w:hAnsi="Arial" w:cs="Arial"/>
        </w:rPr>
        <w:t xml:space="preserve"> meet the following minimum criteria:</w:t>
      </w:r>
    </w:p>
    <w:p w:rsidR="00017F08" w:rsidRDefault="00A8088B" w:rsidP="006405B3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Demonstrated capability and previous records of successfully providing such services. We require submission of verifiable references to support this capability</w:t>
      </w:r>
    </w:p>
    <w:p w:rsidR="00A8088B" w:rsidRPr="00017F08" w:rsidRDefault="00A8088B" w:rsidP="006405B3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The financial strength and ability to provide uninterrupted professional medical services for a minimum of three years. We require recent financial statements (2018 and 2017) in support of this capability.</w:t>
      </w:r>
    </w:p>
    <w:p w:rsidR="00A8088B" w:rsidRPr="00017F08" w:rsidRDefault="00A8088B" w:rsidP="006405B3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Quality Assurance/Quality Control Systems (QA/QC) to monitor and effectively control professional medical services; ISO or similar certified QA/QC would be an added advantage.</w:t>
      </w:r>
    </w:p>
    <w:p w:rsidR="00A8088B" w:rsidRPr="00017F08" w:rsidRDefault="00A8088B" w:rsidP="006405B3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Demonstrated capabilities in general professional medical services and in full compliance with all applicable health and safety, environmental and any other relevant and or applicable standards</w:t>
      </w:r>
    </w:p>
    <w:p w:rsidR="00A8088B" w:rsidRPr="00017F08" w:rsidRDefault="00A8088B" w:rsidP="006405B3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>Robust, effective and proven Health, Safety and Environmental (HSE) standards and procedures, and existence of a demonstrable and proactive safety culture within the company</w:t>
      </w:r>
    </w:p>
    <w:p w:rsidR="00A8088B" w:rsidRPr="00017F08" w:rsidRDefault="00A8088B" w:rsidP="00017F0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017F08">
        <w:rPr>
          <w:rFonts w:ascii="Arial" w:hAnsi="Arial" w:cs="Arial"/>
        </w:rPr>
        <w:t xml:space="preserve">Well defined Company structure and verifiable evidence of competency of employees </w:t>
      </w:r>
    </w:p>
    <w:p w:rsidR="00537E53" w:rsidRPr="00017F08" w:rsidRDefault="00537E53" w:rsidP="00537E53">
      <w:pPr>
        <w:pStyle w:val="ListParagraph"/>
        <w:jc w:val="both"/>
        <w:rPr>
          <w:rFonts w:ascii="Arial" w:hAnsi="Arial" w:cs="Arial"/>
        </w:rPr>
      </w:pPr>
    </w:p>
    <w:p w:rsidR="00A24EB1" w:rsidRDefault="00A24EB1" w:rsidP="00A24EB1">
      <w:pPr>
        <w:rPr>
          <w:rFonts w:ascii="Arial" w:hAnsi="Arial" w:cs="Arial"/>
        </w:rPr>
      </w:pPr>
      <w:r w:rsidRPr="00A24EB1">
        <w:rPr>
          <w:rFonts w:ascii="Arial" w:hAnsi="Arial" w:cs="Arial"/>
        </w:rPr>
        <w:t xml:space="preserve">Please express your interest via e-mail to </w:t>
      </w:r>
      <w:hyperlink r:id="rId8" w:history="1">
        <w:r w:rsidRPr="00AA18AB">
          <w:rPr>
            <w:rStyle w:val="Hyperlink"/>
            <w:rFonts w:ascii="Arial" w:hAnsi="Arial" w:cs="Arial"/>
          </w:rPr>
          <w:t>VendorRegistration@Newmont.com</w:t>
        </w:r>
      </w:hyperlink>
      <w:r>
        <w:rPr>
          <w:rFonts w:ascii="Arial" w:hAnsi="Arial" w:cs="Arial"/>
        </w:rPr>
        <w:t xml:space="preserve"> </w:t>
      </w:r>
      <w:r w:rsidRPr="00A24EB1">
        <w:rPr>
          <w:rFonts w:ascii="Arial" w:hAnsi="Arial" w:cs="Arial"/>
        </w:rPr>
        <w:t>, indicating the name of your company, contact person, telephone details and including all appropriate documentation to demonstrate your capability to comply with the above minimum criteria.</w:t>
      </w:r>
    </w:p>
    <w:p w:rsidR="0035743D" w:rsidRPr="00017F08" w:rsidRDefault="000B48DB" w:rsidP="000B48DB">
      <w:pPr>
        <w:ind w:hanging="540"/>
        <w:rPr>
          <w:rFonts w:ascii="Arial" w:hAnsi="Arial" w:cs="Arial"/>
          <w:color w:val="FF0000"/>
        </w:rPr>
      </w:pPr>
      <w:r w:rsidRPr="00017F08">
        <w:rPr>
          <w:rFonts w:ascii="Arial" w:hAnsi="Arial" w:cs="Arial"/>
        </w:rPr>
        <w:t xml:space="preserve">          </w:t>
      </w:r>
      <w:r w:rsidR="0035743D" w:rsidRPr="00017F08">
        <w:rPr>
          <w:rFonts w:ascii="Arial" w:hAnsi="Arial" w:cs="Arial"/>
        </w:rPr>
        <w:t xml:space="preserve">All Expression of Interest should be submitted to the above e-mail address by close of </w:t>
      </w:r>
      <w:r w:rsidR="0035743D" w:rsidRPr="00017F08">
        <w:rPr>
          <w:rFonts w:ascii="Arial" w:hAnsi="Arial" w:cs="Arial"/>
          <w:b/>
        </w:rPr>
        <w:t xml:space="preserve">business (4:30PM GMT) </w:t>
      </w:r>
      <w:r w:rsidR="00A44CF5">
        <w:rPr>
          <w:rFonts w:ascii="Arial" w:hAnsi="Arial" w:cs="Arial"/>
          <w:b/>
        </w:rPr>
        <w:t>Monday, 13</w:t>
      </w:r>
      <w:r w:rsidR="00A44CF5">
        <w:rPr>
          <w:rFonts w:ascii="Arial" w:hAnsi="Arial" w:cs="Arial"/>
          <w:b/>
          <w:vertAlign w:val="superscript"/>
        </w:rPr>
        <w:t>th</w:t>
      </w:r>
      <w:r w:rsidR="00675AD1" w:rsidRPr="00017F08">
        <w:rPr>
          <w:rFonts w:ascii="Arial" w:hAnsi="Arial" w:cs="Arial"/>
          <w:b/>
        </w:rPr>
        <w:t xml:space="preserve"> </w:t>
      </w:r>
      <w:r w:rsidR="00A44CF5">
        <w:rPr>
          <w:rFonts w:ascii="Arial" w:hAnsi="Arial" w:cs="Arial"/>
          <w:b/>
        </w:rPr>
        <w:t>May,</w:t>
      </w:r>
      <w:r w:rsidR="00675AD1" w:rsidRPr="00017F08">
        <w:rPr>
          <w:rFonts w:ascii="Arial" w:hAnsi="Arial" w:cs="Arial"/>
          <w:b/>
        </w:rPr>
        <w:t xml:space="preserve"> 2019</w:t>
      </w:r>
      <w:r w:rsidR="0035743D" w:rsidRPr="00017F08">
        <w:rPr>
          <w:rFonts w:ascii="Arial" w:hAnsi="Arial" w:cs="Arial"/>
        </w:rPr>
        <w:t xml:space="preserve">. </w:t>
      </w:r>
    </w:p>
    <w:sectPr w:rsidR="0035743D" w:rsidRPr="00017F08" w:rsidSect="007A3E5F">
      <w:head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F4" w:rsidRDefault="00B037F4" w:rsidP="00017F08">
      <w:pPr>
        <w:spacing w:after="0" w:line="240" w:lineRule="auto"/>
      </w:pPr>
      <w:r>
        <w:separator/>
      </w:r>
    </w:p>
  </w:endnote>
  <w:endnote w:type="continuationSeparator" w:id="0">
    <w:p w:rsidR="00B037F4" w:rsidRDefault="00B037F4" w:rsidP="0001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F4" w:rsidRDefault="00B037F4" w:rsidP="00017F08">
      <w:pPr>
        <w:spacing w:after="0" w:line="240" w:lineRule="auto"/>
      </w:pPr>
      <w:r>
        <w:separator/>
      </w:r>
    </w:p>
  </w:footnote>
  <w:footnote w:type="continuationSeparator" w:id="0">
    <w:p w:rsidR="00B037F4" w:rsidRDefault="00B037F4" w:rsidP="0001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F08" w:rsidRDefault="007A3E5F" w:rsidP="007A3E5F">
    <w:pPr>
      <w:pStyle w:val="Header"/>
      <w:ind w:hanging="900"/>
    </w:pPr>
    <w:r>
      <w:rPr>
        <w:noProof/>
        <w:lang w:val="en-US"/>
      </w:rPr>
      <w:drawing>
        <wp:inline distT="0" distB="0" distL="0" distR="0" wp14:anchorId="3ED04F5C" wp14:editId="58815BF4">
          <wp:extent cx="941705" cy="607060"/>
          <wp:effectExtent l="0" t="0" r="0" b="2540"/>
          <wp:docPr id="1" name="Picture 11" descr="Newmont Goldcorp Ghana Logo 3CLRP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Newmont Goldcorp Ghana Logo 3CLRPO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A09"/>
    <w:multiLevelType w:val="hybridMultilevel"/>
    <w:tmpl w:val="6E005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2B6984"/>
    <w:multiLevelType w:val="hybridMultilevel"/>
    <w:tmpl w:val="7C80B0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5F81B63"/>
    <w:multiLevelType w:val="hybridMultilevel"/>
    <w:tmpl w:val="A8FC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96A3E"/>
    <w:multiLevelType w:val="hybridMultilevel"/>
    <w:tmpl w:val="292A81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425BC9"/>
    <w:multiLevelType w:val="hybridMultilevel"/>
    <w:tmpl w:val="DE889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67EB2"/>
    <w:multiLevelType w:val="hybridMultilevel"/>
    <w:tmpl w:val="146243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DE13F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C43A8"/>
    <w:multiLevelType w:val="hybridMultilevel"/>
    <w:tmpl w:val="A32A2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BA0118"/>
    <w:multiLevelType w:val="hybridMultilevel"/>
    <w:tmpl w:val="3628F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51B3D"/>
    <w:multiLevelType w:val="hybridMultilevel"/>
    <w:tmpl w:val="70FA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F3A29"/>
    <w:multiLevelType w:val="hybridMultilevel"/>
    <w:tmpl w:val="11D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20C38"/>
    <w:multiLevelType w:val="hybridMultilevel"/>
    <w:tmpl w:val="FAA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A4AB9"/>
    <w:multiLevelType w:val="hybridMultilevel"/>
    <w:tmpl w:val="E4986154"/>
    <w:lvl w:ilvl="0" w:tplc="538CAE9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32067106">
      <w:start w:val="1"/>
      <w:numFmt w:val="decimal"/>
      <w:lvlText w:val="%2)"/>
      <w:lvlJc w:val="left"/>
      <w:pPr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2D8A3CD5"/>
    <w:multiLevelType w:val="hybridMultilevel"/>
    <w:tmpl w:val="D81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95C7F"/>
    <w:multiLevelType w:val="hybridMultilevel"/>
    <w:tmpl w:val="94923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04F61"/>
    <w:multiLevelType w:val="hybridMultilevel"/>
    <w:tmpl w:val="FC3C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82550"/>
    <w:multiLevelType w:val="hybridMultilevel"/>
    <w:tmpl w:val="486E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935E1C"/>
    <w:multiLevelType w:val="hybridMultilevel"/>
    <w:tmpl w:val="5BA06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1C704E"/>
    <w:multiLevelType w:val="hybridMultilevel"/>
    <w:tmpl w:val="7680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43359"/>
    <w:multiLevelType w:val="multilevel"/>
    <w:tmpl w:val="5122F0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5D293224"/>
    <w:multiLevelType w:val="hybridMultilevel"/>
    <w:tmpl w:val="97DA25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D56F7"/>
    <w:multiLevelType w:val="hybridMultilevel"/>
    <w:tmpl w:val="1D50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E13F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A15C4"/>
    <w:multiLevelType w:val="hybridMultilevel"/>
    <w:tmpl w:val="80B295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68F84A59"/>
    <w:multiLevelType w:val="hybridMultilevel"/>
    <w:tmpl w:val="E592940C"/>
    <w:lvl w:ilvl="0" w:tplc="23DE73C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6928033A"/>
    <w:multiLevelType w:val="hybridMultilevel"/>
    <w:tmpl w:val="CAE66D0C"/>
    <w:lvl w:ilvl="0" w:tplc="621C5C12">
      <w:start w:val="1"/>
      <w:numFmt w:val="bullet"/>
      <w:lvlText w:val="–"/>
      <w:lvlJc w:val="left"/>
      <w:pPr>
        <w:ind w:left="720" w:hanging="360"/>
      </w:pPr>
      <w:rPr>
        <w:rFonts w:ascii="Adobe Arabic" w:hAnsi="Adobe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4013D"/>
    <w:multiLevelType w:val="hybridMultilevel"/>
    <w:tmpl w:val="429840BA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>
    <w:nsid w:val="6EDB0F9C"/>
    <w:multiLevelType w:val="hybridMultilevel"/>
    <w:tmpl w:val="0394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154C5"/>
    <w:multiLevelType w:val="hybridMultilevel"/>
    <w:tmpl w:val="F4A8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A277E"/>
    <w:multiLevelType w:val="hybridMultilevel"/>
    <w:tmpl w:val="6D4ED75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72F86314"/>
    <w:multiLevelType w:val="hybridMultilevel"/>
    <w:tmpl w:val="9B827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61EE2"/>
    <w:multiLevelType w:val="hybridMultilevel"/>
    <w:tmpl w:val="E3721D40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76EF73FA"/>
    <w:multiLevelType w:val="hybridMultilevel"/>
    <w:tmpl w:val="1B2C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E13F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D1571D"/>
    <w:multiLevelType w:val="hybridMultilevel"/>
    <w:tmpl w:val="8CC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69227B"/>
    <w:multiLevelType w:val="hybridMultilevel"/>
    <w:tmpl w:val="855A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1240C1"/>
    <w:multiLevelType w:val="hybridMultilevel"/>
    <w:tmpl w:val="0E644D50"/>
    <w:lvl w:ilvl="0" w:tplc="0409000D">
      <w:start w:val="1"/>
      <w:numFmt w:val="bullet"/>
      <w:lvlText w:val=""/>
      <w:lvlJc w:val="left"/>
      <w:pPr>
        <w:tabs>
          <w:tab w:val="num" w:pos="1287"/>
        </w:tabs>
        <w:ind w:left="1287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26"/>
        </w:tabs>
        <w:ind w:left="102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29"/>
  </w:num>
  <w:num w:numId="5">
    <w:abstractNumId w:val="27"/>
  </w:num>
  <w:num w:numId="6">
    <w:abstractNumId w:val="11"/>
  </w:num>
  <w:num w:numId="7">
    <w:abstractNumId w:val="22"/>
  </w:num>
  <w:num w:numId="8">
    <w:abstractNumId w:val="33"/>
  </w:num>
  <w:num w:numId="9">
    <w:abstractNumId w:val="3"/>
  </w:num>
  <w:num w:numId="10">
    <w:abstractNumId w:val="17"/>
  </w:num>
  <w:num w:numId="11">
    <w:abstractNumId w:val="13"/>
  </w:num>
  <w:num w:numId="12">
    <w:abstractNumId w:val="16"/>
  </w:num>
  <w:num w:numId="13">
    <w:abstractNumId w:val="18"/>
  </w:num>
  <w:num w:numId="14">
    <w:abstractNumId w:val="25"/>
  </w:num>
  <w:num w:numId="15">
    <w:abstractNumId w:val="26"/>
  </w:num>
  <w:num w:numId="16">
    <w:abstractNumId w:val="32"/>
  </w:num>
  <w:num w:numId="17">
    <w:abstractNumId w:val="24"/>
  </w:num>
  <w:num w:numId="18">
    <w:abstractNumId w:val="19"/>
  </w:num>
  <w:num w:numId="19">
    <w:abstractNumId w:val="7"/>
  </w:num>
  <w:num w:numId="20">
    <w:abstractNumId w:val="4"/>
  </w:num>
  <w:num w:numId="21">
    <w:abstractNumId w:val="28"/>
  </w:num>
  <w:num w:numId="22">
    <w:abstractNumId w:val="8"/>
  </w:num>
  <w:num w:numId="23">
    <w:abstractNumId w:val="1"/>
  </w:num>
  <w:num w:numId="24">
    <w:abstractNumId w:val="0"/>
  </w:num>
  <w:num w:numId="25">
    <w:abstractNumId w:val="2"/>
  </w:num>
  <w:num w:numId="26">
    <w:abstractNumId w:val="20"/>
  </w:num>
  <w:num w:numId="27">
    <w:abstractNumId w:val="9"/>
  </w:num>
  <w:num w:numId="28">
    <w:abstractNumId w:val="30"/>
  </w:num>
  <w:num w:numId="29">
    <w:abstractNumId w:val="23"/>
  </w:num>
  <w:num w:numId="30">
    <w:abstractNumId w:val="21"/>
  </w:num>
  <w:num w:numId="31">
    <w:abstractNumId w:val="6"/>
  </w:num>
  <w:num w:numId="32">
    <w:abstractNumId w:val="31"/>
  </w:num>
  <w:num w:numId="33">
    <w:abstractNumId w:val="14"/>
  </w:num>
  <w:num w:numId="3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win Gyimah">
    <w15:presenceInfo w15:providerId="None" w15:userId="Godwin Gyim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F6"/>
    <w:rsid w:val="00017F08"/>
    <w:rsid w:val="000369B6"/>
    <w:rsid w:val="00057C0A"/>
    <w:rsid w:val="0006694A"/>
    <w:rsid w:val="00093072"/>
    <w:rsid w:val="000B48DB"/>
    <w:rsid w:val="000F4746"/>
    <w:rsid w:val="00160E72"/>
    <w:rsid w:val="001814B7"/>
    <w:rsid w:val="00231229"/>
    <w:rsid w:val="00251B96"/>
    <w:rsid w:val="00254DD5"/>
    <w:rsid w:val="002B72C1"/>
    <w:rsid w:val="002C54F2"/>
    <w:rsid w:val="0035743D"/>
    <w:rsid w:val="00384B58"/>
    <w:rsid w:val="003E2CFC"/>
    <w:rsid w:val="0042048E"/>
    <w:rsid w:val="004216D4"/>
    <w:rsid w:val="0044607E"/>
    <w:rsid w:val="004479E8"/>
    <w:rsid w:val="00461D3C"/>
    <w:rsid w:val="00491C5A"/>
    <w:rsid w:val="004A5EFE"/>
    <w:rsid w:val="004E2E2C"/>
    <w:rsid w:val="00506ED1"/>
    <w:rsid w:val="00537E53"/>
    <w:rsid w:val="00546C27"/>
    <w:rsid w:val="0056081F"/>
    <w:rsid w:val="0058046E"/>
    <w:rsid w:val="006208B4"/>
    <w:rsid w:val="006331AF"/>
    <w:rsid w:val="006405B3"/>
    <w:rsid w:val="00675AD1"/>
    <w:rsid w:val="006A15FA"/>
    <w:rsid w:val="006A171C"/>
    <w:rsid w:val="006B5091"/>
    <w:rsid w:val="006C3AEC"/>
    <w:rsid w:val="006E5478"/>
    <w:rsid w:val="006F225D"/>
    <w:rsid w:val="00770668"/>
    <w:rsid w:val="007A3E5F"/>
    <w:rsid w:val="007B3664"/>
    <w:rsid w:val="007F0117"/>
    <w:rsid w:val="00891331"/>
    <w:rsid w:val="008C44E6"/>
    <w:rsid w:val="008E04DA"/>
    <w:rsid w:val="008E13A0"/>
    <w:rsid w:val="00926C3B"/>
    <w:rsid w:val="00944C93"/>
    <w:rsid w:val="009503B8"/>
    <w:rsid w:val="009B7650"/>
    <w:rsid w:val="009D20E4"/>
    <w:rsid w:val="009F1964"/>
    <w:rsid w:val="00A20E4D"/>
    <w:rsid w:val="00A24EB1"/>
    <w:rsid w:val="00A44CF5"/>
    <w:rsid w:val="00A8088B"/>
    <w:rsid w:val="00A93CB9"/>
    <w:rsid w:val="00AA25BB"/>
    <w:rsid w:val="00AA63A0"/>
    <w:rsid w:val="00B037F4"/>
    <w:rsid w:val="00B05F13"/>
    <w:rsid w:val="00B134E5"/>
    <w:rsid w:val="00B6672E"/>
    <w:rsid w:val="00B765A2"/>
    <w:rsid w:val="00B941CA"/>
    <w:rsid w:val="00BA059C"/>
    <w:rsid w:val="00BC03F4"/>
    <w:rsid w:val="00C071AA"/>
    <w:rsid w:val="00C238A4"/>
    <w:rsid w:val="00C47DDF"/>
    <w:rsid w:val="00C53096"/>
    <w:rsid w:val="00C66474"/>
    <w:rsid w:val="00C91D0B"/>
    <w:rsid w:val="00C97C16"/>
    <w:rsid w:val="00D019B2"/>
    <w:rsid w:val="00D10EEF"/>
    <w:rsid w:val="00D36EF2"/>
    <w:rsid w:val="00D82796"/>
    <w:rsid w:val="00D8450B"/>
    <w:rsid w:val="00D855E0"/>
    <w:rsid w:val="00DE23BC"/>
    <w:rsid w:val="00DE3EB3"/>
    <w:rsid w:val="00DF383B"/>
    <w:rsid w:val="00E103E1"/>
    <w:rsid w:val="00E2465E"/>
    <w:rsid w:val="00E94C36"/>
    <w:rsid w:val="00F0122A"/>
    <w:rsid w:val="00F04E6B"/>
    <w:rsid w:val="00F64082"/>
    <w:rsid w:val="00F75C54"/>
    <w:rsid w:val="00FF04F6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43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093072"/>
    <w:pPr>
      <w:tabs>
        <w:tab w:val="left" w:pos="720"/>
        <w:tab w:val="left" w:pos="1296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right" w:pos="8784"/>
      </w:tabs>
      <w:spacing w:after="0" w:line="240" w:lineRule="auto"/>
    </w:pPr>
    <w:rPr>
      <w:rFonts w:ascii="Arial" w:eastAsia="Times New Roman" w:hAnsi="Arial" w:cs="Times New Roman"/>
      <w:snapToGrid w:val="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93072"/>
    <w:rPr>
      <w:rFonts w:ascii="Arial" w:eastAsia="Times New Roman" w:hAnsi="Arial" w:cs="Times New Roman"/>
      <w:snapToGrid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54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C3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A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AE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AEC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0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08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43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093072"/>
    <w:pPr>
      <w:tabs>
        <w:tab w:val="left" w:pos="720"/>
        <w:tab w:val="left" w:pos="1296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right" w:pos="8784"/>
      </w:tabs>
      <w:spacing w:after="0" w:line="240" w:lineRule="auto"/>
    </w:pPr>
    <w:rPr>
      <w:rFonts w:ascii="Arial" w:eastAsia="Times New Roman" w:hAnsi="Arial" w:cs="Times New Roman"/>
      <w:snapToGrid w:val="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93072"/>
    <w:rPr>
      <w:rFonts w:ascii="Arial" w:eastAsia="Times New Roman" w:hAnsi="Arial" w:cs="Times New Roman"/>
      <w:snapToGrid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54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C3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A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AE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AEC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0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0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dorRegistration@Newmon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Newmont Mining Corporation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Abban</dc:creator>
  <cp:lastModifiedBy>Adwoa Boadua Boadu</cp:lastModifiedBy>
  <cp:revision>3</cp:revision>
  <cp:lastPrinted>2019-04-08T13:56:00Z</cp:lastPrinted>
  <dcterms:created xsi:type="dcterms:W3CDTF">2019-04-24T17:04:00Z</dcterms:created>
  <dcterms:modified xsi:type="dcterms:W3CDTF">2019-04-30T08:36:00Z</dcterms:modified>
</cp:coreProperties>
</file>