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ABC" w:rsidRPr="001B5AB3" w:rsidRDefault="00547ABC" w:rsidP="00547ABC">
      <w:pPr>
        <w:spacing w:line="200" w:lineRule="atLeast"/>
        <w:ind w:left="3580"/>
        <w:rPr>
          <w:sz w:val="20"/>
        </w:rPr>
      </w:pPr>
    </w:p>
    <w:p w:rsidR="00207E8E" w:rsidRDefault="00207E8E" w:rsidP="00547ABC">
      <w:pPr>
        <w:pStyle w:val="Text"/>
        <w:jc w:val="center"/>
        <w:rPr>
          <w:b/>
          <w:bCs/>
          <w:sz w:val="28"/>
        </w:rPr>
      </w:pPr>
      <w:r w:rsidRPr="00E945B5">
        <w:rPr>
          <w:noProof/>
        </w:rPr>
        <w:drawing>
          <wp:inline distT="0" distB="0" distL="0" distR="0">
            <wp:extent cx="11430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066800"/>
                    </a:xfrm>
                    <a:prstGeom prst="rect">
                      <a:avLst/>
                    </a:prstGeom>
                    <a:noFill/>
                    <a:ln>
                      <a:noFill/>
                    </a:ln>
                  </pic:spPr>
                </pic:pic>
              </a:graphicData>
            </a:graphic>
          </wp:inline>
        </w:drawing>
      </w:r>
    </w:p>
    <w:p w:rsidR="00207E8E" w:rsidRPr="004D5FAD" w:rsidRDefault="00207E8E" w:rsidP="00207E8E">
      <w:pPr>
        <w:spacing w:line="360" w:lineRule="auto"/>
        <w:jc w:val="center"/>
        <w:rPr>
          <w:rFonts w:ascii="Arial" w:hAnsi="Arial" w:cs="Arial"/>
          <w:sz w:val="42"/>
          <w:szCs w:val="42"/>
        </w:rPr>
      </w:pPr>
      <w:r w:rsidRPr="004D5FAD">
        <w:rPr>
          <w:rFonts w:ascii="Arial" w:hAnsi="Arial" w:cs="Arial"/>
          <w:b/>
          <w:sz w:val="42"/>
          <w:szCs w:val="42"/>
        </w:rPr>
        <w:t>Millennium Development Authority (MiDA)</w:t>
      </w:r>
    </w:p>
    <w:p w:rsidR="00207E8E" w:rsidRDefault="00207E8E" w:rsidP="00207E8E">
      <w:pPr>
        <w:jc w:val="center"/>
        <w:rPr>
          <w:rFonts w:ascii="Arial" w:hAnsi="Arial" w:cs="Arial"/>
          <w:b/>
          <w:sz w:val="36"/>
          <w:szCs w:val="36"/>
        </w:rPr>
      </w:pPr>
      <w:r>
        <w:rPr>
          <w:rFonts w:ascii="Arial" w:hAnsi="Arial" w:cs="Arial"/>
          <w:b/>
          <w:sz w:val="36"/>
          <w:szCs w:val="36"/>
        </w:rPr>
        <w:t xml:space="preserve">SPECIFIC </w:t>
      </w:r>
      <w:r w:rsidRPr="00D26A7C">
        <w:rPr>
          <w:rFonts w:ascii="Arial" w:hAnsi="Arial" w:cs="Arial"/>
          <w:b/>
          <w:sz w:val="36"/>
          <w:szCs w:val="36"/>
        </w:rPr>
        <w:t>PROCUREMENT NOTICE</w:t>
      </w:r>
    </w:p>
    <w:p w:rsidR="00207E8E" w:rsidRPr="00630CB7" w:rsidRDefault="00207E8E" w:rsidP="00207E8E">
      <w:pPr>
        <w:jc w:val="center"/>
        <w:rPr>
          <w:b/>
          <w:sz w:val="36"/>
          <w:szCs w:val="36"/>
        </w:rPr>
      </w:pPr>
      <w:r w:rsidRPr="00630CB7">
        <w:rPr>
          <w:b/>
          <w:sz w:val="36"/>
          <w:szCs w:val="36"/>
        </w:rPr>
        <w:t>----------------------</w:t>
      </w:r>
      <w:r>
        <w:rPr>
          <w:b/>
          <w:sz w:val="36"/>
          <w:szCs w:val="36"/>
        </w:rPr>
        <w:t>------------------------</w:t>
      </w:r>
    </w:p>
    <w:p w:rsidR="00207E8E" w:rsidRDefault="00207E8E" w:rsidP="00547ABC">
      <w:pPr>
        <w:jc w:val="center"/>
        <w:rPr>
          <w:b/>
          <w:sz w:val="28"/>
          <w:szCs w:val="28"/>
        </w:rPr>
      </w:pPr>
    </w:p>
    <w:p w:rsidR="00547ABC" w:rsidRPr="00207E8E" w:rsidRDefault="00207E8E" w:rsidP="00547ABC">
      <w:pPr>
        <w:jc w:val="center"/>
        <w:rPr>
          <w:b/>
          <w:bCs/>
          <w:sz w:val="32"/>
          <w:szCs w:val="32"/>
        </w:rPr>
      </w:pPr>
      <w:r w:rsidRPr="00207E8E">
        <w:rPr>
          <w:b/>
          <w:sz w:val="32"/>
          <w:szCs w:val="32"/>
        </w:rPr>
        <w:t xml:space="preserve">RE: </w:t>
      </w:r>
      <w:r w:rsidRPr="00207E8E">
        <w:rPr>
          <w:b/>
          <w:bCs/>
          <w:spacing w:val="-2"/>
          <w:sz w:val="32"/>
          <w:szCs w:val="32"/>
        </w:rPr>
        <w:t xml:space="preserve">CONTRACTORS FOR DEPLOYMENT OF LV BIFURCATION AND NETWORK IMPROVEMENT - </w:t>
      </w:r>
      <w:r w:rsidRPr="00207E8E">
        <w:rPr>
          <w:b/>
          <w:bCs/>
          <w:sz w:val="32"/>
          <w:szCs w:val="32"/>
        </w:rPr>
        <w:t>IDIQ (INDEFINITE DELIVERY-INDEFINITE QUANTITY) – MULTIPLE AWARD</w:t>
      </w:r>
      <w:r w:rsidR="000C54DB">
        <w:rPr>
          <w:b/>
          <w:bCs/>
          <w:sz w:val="32"/>
          <w:szCs w:val="32"/>
        </w:rPr>
        <w:t>S</w:t>
      </w:r>
      <w:bookmarkStart w:id="0" w:name="_GoBack"/>
      <w:bookmarkEnd w:id="0"/>
    </w:p>
    <w:p w:rsidR="00547ABC" w:rsidRPr="00207E8E" w:rsidRDefault="00547ABC" w:rsidP="00547ABC">
      <w:pPr>
        <w:jc w:val="center"/>
        <w:rPr>
          <w:b/>
          <w:sz w:val="32"/>
          <w:szCs w:val="32"/>
        </w:rPr>
      </w:pPr>
    </w:p>
    <w:p w:rsidR="00547ABC" w:rsidRPr="00207E8E" w:rsidRDefault="00207E8E" w:rsidP="00547ABC">
      <w:pPr>
        <w:jc w:val="center"/>
        <w:rPr>
          <w:bCs/>
          <w:i/>
          <w:iCs/>
          <w:sz w:val="32"/>
          <w:szCs w:val="32"/>
        </w:rPr>
      </w:pPr>
      <w:r w:rsidRPr="00207E8E">
        <w:rPr>
          <w:b/>
          <w:sz w:val="32"/>
          <w:szCs w:val="32"/>
        </w:rPr>
        <w:t xml:space="preserve">CB NO: </w:t>
      </w:r>
      <w:r w:rsidRPr="00207E8E">
        <w:rPr>
          <w:b/>
          <w:bCs/>
          <w:iCs/>
          <w:sz w:val="32"/>
          <w:szCs w:val="32"/>
        </w:rPr>
        <w:t>5140200/IFB/CB/01/19</w:t>
      </w:r>
    </w:p>
    <w:p w:rsidR="00547ABC" w:rsidRPr="00207E8E" w:rsidRDefault="00547ABC" w:rsidP="00547ABC">
      <w:pPr>
        <w:jc w:val="center"/>
        <w:rPr>
          <w:b/>
          <w:bCs/>
          <w:spacing w:val="-2"/>
          <w:sz w:val="32"/>
          <w:szCs w:val="32"/>
        </w:rPr>
      </w:pPr>
    </w:p>
    <w:p w:rsidR="00547ABC" w:rsidRPr="005654A6" w:rsidRDefault="00547ABC" w:rsidP="00547ABC">
      <w:pPr>
        <w:tabs>
          <w:tab w:val="left" w:pos="720"/>
          <w:tab w:val="right" w:leader="dot" w:pos="8640"/>
        </w:tabs>
        <w:ind w:left="270" w:hanging="270"/>
      </w:pPr>
    </w:p>
    <w:p w:rsidR="00547ABC" w:rsidRDefault="00547ABC" w:rsidP="00B41CA2">
      <w:pPr>
        <w:pStyle w:val="ListParagraph"/>
        <w:widowControl w:val="0"/>
        <w:numPr>
          <w:ilvl w:val="0"/>
          <w:numId w:val="2"/>
        </w:numPr>
        <w:tabs>
          <w:tab w:val="left" w:pos="270"/>
        </w:tabs>
        <w:suppressAutoHyphens w:val="0"/>
        <w:overflowPunct/>
        <w:ind w:left="270" w:hanging="270"/>
        <w:jc w:val="both"/>
        <w:textAlignment w:val="auto"/>
      </w:pPr>
      <w:r w:rsidRPr="005654A6">
        <w:t>The Republic of Ghana and the United States of America acting through the Millennium Challenge Corporation (“</w:t>
      </w:r>
      <w:r w:rsidRPr="005654A6">
        <w:rPr>
          <w:b/>
        </w:rPr>
        <w:t>MCC</w:t>
      </w:r>
      <w:r w:rsidRPr="005654A6">
        <w:t>”) have entered into a Millennium Challenge Compact on August 5, 2014 under which MCC will provide funding to the Government of Ghana (the “</w:t>
      </w:r>
      <w:r w:rsidRPr="005654A6">
        <w:rPr>
          <w:b/>
        </w:rPr>
        <w:t>Government</w:t>
      </w:r>
      <w:r w:rsidRPr="005654A6">
        <w:t>”), in an amount not to exceed Four Hundred and Ninety-Eight Million, Two Hundred Thousand United States Dollars (US$ 498,200,000) (“</w:t>
      </w:r>
      <w:r w:rsidRPr="005654A6">
        <w:rPr>
          <w:b/>
        </w:rPr>
        <w:t>MCC Funding</w:t>
      </w:r>
      <w:r w:rsidRPr="005654A6">
        <w:t>”) to facilitate poverty reduction through economic growth (the “</w:t>
      </w:r>
      <w:r w:rsidRPr="005654A6">
        <w:rPr>
          <w:b/>
        </w:rPr>
        <w:t>Compact</w:t>
      </w:r>
      <w:r w:rsidRPr="005654A6">
        <w:t xml:space="preserve">”). Pursuant to the terms of the Compact, the Government committed to provide funding as a Government contribution to support </w:t>
      </w:r>
      <w:r>
        <w:t>the</w:t>
      </w:r>
      <w:r w:rsidRPr="005654A6">
        <w:t xml:space="preserve"> implementation of the Compact in an amount equal to no less than seven and one-half percent (7.5%) of the amount of funding provided by MCC in the Compact (the “</w:t>
      </w:r>
      <w:r w:rsidRPr="005654A6">
        <w:rPr>
          <w:b/>
        </w:rPr>
        <w:t>Government Contribution</w:t>
      </w:r>
      <w:r w:rsidRPr="005654A6">
        <w:t>”).</w:t>
      </w:r>
    </w:p>
    <w:p w:rsidR="00547ABC" w:rsidRPr="005654A6" w:rsidRDefault="00547ABC" w:rsidP="00B41CA2">
      <w:pPr>
        <w:pStyle w:val="ListParagraph"/>
        <w:tabs>
          <w:tab w:val="left" w:pos="180"/>
        </w:tabs>
        <w:jc w:val="both"/>
      </w:pPr>
    </w:p>
    <w:p w:rsidR="00547ABC" w:rsidRDefault="00547ABC" w:rsidP="00B41CA2">
      <w:pPr>
        <w:pStyle w:val="SimpleList"/>
        <w:numPr>
          <w:ilvl w:val="0"/>
          <w:numId w:val="2"/>
        </w:numPr>
        <w:ind w:left="270" w:hanging="270"/>
      </w:pPr>
      <w:r w:rsidRPr="005654A6">
        <w:t>The Government of Ghana (“</w:t>
      </w:r>
      <w:r>
        <w:t xml:space="preserve">the </w:t>
      </w:r>
      <w:r w:rsidRPr="005654A6">
        <w:rPr>
          <w:b/>
        </w:rPr>
        <w:t>Go</w:t>
      </w:r>
      <w:r>
        <w:rPr>
          <w:b/>
        </w:rPr>
        <w:t>vernment</w:t>
      </w:r>
      <w:r w:rsidRPr="005654A6">
        <w:t>”), , acting through the Millennium Development Authority</w:t>
      </w:r>
      <w:r w:rsidRPr="005654A6">
        <w:rPr>
          <w:b/>
        </w:rPr>
        <w:t xml:space="preserve"> </w:t>
      </w:r>
      <w:r w:rsidRPr="005654A6">
        <w:t>(“</w:t>
      </w:r>
      <w:r w:rsidRPr="005654A6">
        <w:rPr>
          <w:b/>
        </w:rPr>
        <w:t>MiDA</w:t>
      </w:r>
      <w:r w:rsidRPr="005654A6">
        <w:t>” or “</w:t>
      </w:r>
      <w:r w:rsidRPr="005654A6">
        <w:rPr>
          <w:b/>
        </w:rPr>
        <w:t>MCA Entity</w:t>
      </w:r>
      <w:r w:rsidRPr="005654A6">
        <w:t xml:space="preserve">”), </w:t>
      </w:r>
      <w:r w:rsidRPr="001B5AB3">
        <w:t xml:space="preserve">intends to apply a </w:t>
      </w:r>
      <w:r w:rsidRPr="00CE5260">
        <w:t>portion of the MCC Funding to eligible payments under a contract for which this Invitation for Quotation (“IFQ” or "Invitation") is issued. Any payments made by the MCA Entity under</w:t>
      </w:r>
      <w:r w:rsidRPr="005654A6">
        <w:t xml:space="preserve"> the proposed contract will be subject, in all respects, to the terms and conditions of the Compact and related documents, including restrictions on the use and distribution of MCC Funding. No party other than the Government and the MCA Entity shall derive any rights from the Compact or have any claim to the proceeds of MCC Funding. The Compact and its related documents can be found on the MCC website (</w:t>
      </w:r>
      <w:hyperlink r:id="rId8" w:history="1">
        <w:r w:rsidRPr="005654A6">
          <w:rPr>
            <w:rStyle w:val="Hyperlink"/>
          </w:rPr>
          <w:t>www.mcc.gov</w:t>
        </w:r>
      </w:hyperlink>
      <w:r w:rsidRPr="005654A6">
        <w:t>) and on the website of the MCA Entity</w:t>
      </w:r>
      <w:r>
        <w:t xml:space="preserve"> (</w:t>
      </w:r>
      <w:hyperlink r:id="rId9" w:history="1">
        <w:r w:rsidRPr="005C6B45">
          <w:rPr>
            <w:rStyle w:val="Hyperlink"/>
          </w:rPr>
          <w:t>www.mida.gov.gh</w:t>
        </w:r>
      </w:hyperlink>
      <w:r>
        <w:t xml:space="preserve"> )</w:t>
      </w:r>
      <w:r w:rsidRPr="005654A6">
        <w:t>.</w:t>
      </w:r>
    </w:p>
    <w:p w:rsidR="00547ABC" w:rsidRDefault="00547ABC" w:rsidP="00B41CA2">
      <w:pPr>
        <w:pStyle w:val="ListParagraph"/>
        <w:ind w:left="270"/>
        <w:jc w:val="both"/>
      </w:pPr>
    </w:p>
    <w:p w:rsidR="00547ABC" w:rsidRPr="005654A6" w:rsidRDefault="00547ABC" w:rsidP="00B41CA2">
      <w:pPr>
        <w:numPr>
          <w:ilvl w:val="0"/>
          <w:numId w:val="2"/>
        </w:numPr>
        <w:suppressAutoHyphens w:val="0"/>
        <w:overflowPunct/>
        <w:autoSpaceDE/>
        <w:autoSpaceDN/>
        <w:adjustRightInd/>
        <w:ind w:left="270" w:hanging="270"/>
        <w:jc w:val="both"/>
        <w:textAlignment w:val="auto"/>
        <w:rPr>
          <w:szCs w:val="28"/>
        </w:rPr>
      </w:pPr>
      <w:r w:rsidRPr="005654A6">
        <w:rPr>
          <w:szCs w:val="28"/>
        </w:rPr>
        <w:lastRenderedPageBreak/>
        <w:t>The goal of the Compact program is to reduce poverty through economic growth in Ghana. The objectives of the Compact program are to</w:t>
      </w:r>
      <w:r>
        <w:rPr>
          <w:szCs w:val="28"/>
        </w:rPr>
        <w:t>;</w:t>
      </w:r>
    </w:p>
    <w:p w:rsidR="00547ABC" w:rsidRPr="005654A6" w:rsidRDefault="00547ABC" w:rsidP="00B41CA2">
      <w:pPr>
        <w:ind w:left="1440" w:hanging="360"/>
        <w:jc w:val="both"/>
        <w:rPr>
          <w:szCs w:val="28"/>
        </w:rPr>
      </w:pPr>
      <w:r w:rsidRPr="005654A6">
        <w:rPr>
          <w:szCs w:val="28"/>
        </w:rPr>
        <w:t>(a) Increase private sector investment and productivity and profitability of micro, small, medium and large-scale businesses;</w:t>
      </w:r>
    </w:p>
    <w:p w:rsidR="00547ABC" w:rsidRPr="005654A6" w:rsidRDefault="00547ABC" w:rsidP="00B41CA2">
      <w:pPr>
        <w:ind w:left="1440" w:hanging="360"/>
        <w:jc w:val="both"/>
        <w:rPr>
          <w:szCs w:val="28"/>
        </w:rPr>
      </w:pPr>
      <w:r w:rsidRPr="005654A6">
        <w:rPr>
          <w:szCs w:val="28"/>
        </w:rPr>
        <w:t>(b) Increase employment opportunities for men and women; and</w:t>
      </w:r>
    </w:p>
    <w:p w:rsidR="00547ABC" w:rsidRPr="005654A6" w:rsidRDefault="00547ABC" w:rsidP="00B41CA2">
      <w:pPr>
        <w:ind w:left="1440" w:hanging="360"/>
        <w:jc w:val="both"/>
        <w:rPr>
          <w:szCs w:val="28"/>
        </w:rPr>
      </w:pPr>
      <w:r w:rsidRPr="005654A6">
        <w:rPr>
          <w:szCs w:val="28"/>
        </w:rPr>
        <w:t>(c) Raise earning potential from self-employment and improved outcomes for men and women.</w:t>
      </w:r>
    </w:p>
    <w:p w:rsidR="00547ABC" w:rsidRDefault="00547ABC" w:rsidP="00B41CA2">
      <w:pPr>
        <w:ind w:left="270"/>
        <w:jc w:val="both"/>
        <w:rPr>
          <w:szCs w:val="28"/>
        </w:rPr>
      </w:pPr>
    </w:p>
    <w:p w:rsidR="00547ABC" w:rsidRPr="005654A6" w:rsidRDefault="00547ABC" w:rsidP="00B41CA2">
      <w:pPr>
        <w:tabs>
          <w:tab w:val="left" w:pos="8910"/>
        </w:tabs>
        <w:ind w:left="270"/>
        <w:jc w:val="both"/>
        <w:rPr>
          <w:szCs w:val="28"/>
        </w:rPr>
      </w:pPr>
      <w:r w:rsidRPr="005654A6">
        <w:rPr>
          <w:szCs w:val="28"/>
        </w:rPr>
        <w:t xml:space="preserve">The Program consists of six (6) </w:t>
      </w:r>
      <w:r>
        <w:rPr>
          <w:szCs w:val="28"/>
        </w:rPr>
        <w:t>P</w:t>
      </w:r>
      <w:r w:rsidRPr="005654A6">
        <w:rPr>
          <w:szCs w:val="28"/>
        </w:rPr>
        <w:t xml:space="preserve">rojects: (i) the ECG Financial and Operational Turnaround Project; (ii) the NEDCo Financial and Operational Turnaround Project; (iii) the Regulatory Strengthening and Capacity Building Project; </w:t>
      </w:r>
      <w:proofErr w:type="gramStart"/>
      <w:r w:rsidRPr="005654A6">
        <w:rPr>
          <w:szCs w:val="28"/>
        </w:rPr>
        <w:t>(iv) the</w:t>
      </w:r>
      <w:proofErr w:type="gramEnd"/>
      <w:r w:rsidRPr="005654A6">
        <w:rPr>
          <w:szCs w:val="28"/>
        </w:rPr>
        <w:t xml:space="preserve"> Access Project; (v) the Power Generation Sector Improvement Project; and (vi) the Energy Efficiency and Demand Side Management Project.</w:t>
      </w:r>
      <w:r w:rsidR="00B41CA2">
        <w:rPr>
          <w:szCs w:val="28"/>
        </w:rPr>
        <w:t xml:space="preserve"> </w:t>
      </w:r>
    </w:p>
    <w:p w:rsidR="00547ABC" w:rsidRPr="005654A6" w:rsidRDefault="00547ABC" w:rsidP="00B41CA2">
      <w:pPr>
        <w:ind w:left="270"/>
        <w:jc w:val="both"/>
        <w:rPr>
          <w:szCs w:val="28"/>
        </w:rPr>
      </w:pPr>
      <w:r w:rsidRPr="005654A6">
        <w:rPr>
          <w:szCs w:val="28"/>
        </w:rPr>
        <w:t>MCC’s assistance will be provided in a manner that responds to constraints to economic growth by aiming to improve the reliability and quality of power in Ghana.</w:t>
      </w:r>
    </w:p>
    <w:p w:rsidR="00547ABC" w:rsidRPr="005654A6" w:rsidRDefault="00547ABC" w:rsidP="00B41CA2">
      <w:pPr>
        <w:jc w:val="both"/>
        <w:rPr>
          <w:szCs w:val="28"/>
        </w:rPr>
      </w:pPr>
    </w:p>
    <w:p w:rsidR="00547ABC" w:rsidRDefault="00547ABC" w:rsidP="00B41CA2">
      <w:pPr>
        <w:ind w:left="270"/>
        <w:jc w:val="both"/>
        <w:rPr>
          <w:szCs w:val="28"/>
        </w:rPr>
      </w:pPr>
      <w:r w:rsidRPr="005654A6">
        <w:rPr>
          <w:szCs w:val="28"/>
        </w:rPr>
        <w:t>The Compact Program will be executed over a period of five (5) years upon Entry into Force (EIF) of the Compact on 6</w:t>
      </w:r>
      <w:r w:rsidRPr="005654A6">
        <w:rPr>
          <w:szCs w:val="28"/>
          <w:vertAlign w:val="superscript"/>
        </w:rPr>
        <w:t>th</w:t>
      </w:r>
      <w:r w:rsidRPr="005654A6">
        <w:rPr>
          <w:szCs w:val="28"/>
        </w:rPr>
        <w:t xml:space="preserve"> September, 2016.</w:t>
      </w:r>
    </w:p>
    <w:p w:rsidR="00547ABC" w:rsidRDefault="00547ABC" w:rsidP="00B41CA2">
      <w:pPr>
        <w:ind w:left="270"/>
        <w:jc w:val="both"/>
        <w:rPr>
          <w:szCs w:val="28"/>
        </w:rPr>
      </w:pPr>
      <w:r w:rsidRPr="005654A6">
        <w:rPr>
          <w:szCs w:val="28"/>
        </w:rPr>
        <w:t xml:space="preserve"> </w:t>
      </w:r>
    </w:p>
    <w:p w:rsidR="00547ABC" w:rsidRPr="009B1E32" w:rsidRDefault="00547ABC" w:rsidP="00B41CA2">
      <w:pPr>
        <w:pStyle w:val="SimpleList"/>
        <w:numPr>
          <w:ilvl w:val="0"/>
          <w:numId w:val="2"/>
        </w:numPr>
        <w:ind w:left="360"/>
        <w:rPr>
          <w:szCs w:val="24"/>
        </w:rPr>
      </w:pPr>
      <w:r w:rsidRPr="00CE5260">
        <w:t xml:space="preserve">This IFQ follows the General Procurement Notice that appeared in dgMarket on and UNDB </w:t>
      </w:r>
      <w:r w:rsidRPr="00496CF6">
        <w:rPr>
          <w:szCs w:val="24"/>
        </w:rPr>
        <w:t>Online on 24</w:t>
      </w:r>
      <w:r w:rsidRPr="00496CF6">
        <w:rPr>
          <w:szCs w:val="24"/>
          <w:vertAlign w:val="superscript"/>
        </w:rPr>
        <w:t>th</w:t>
      </w:r>
      <w:r w:rsidRPr="00496CF6">
        <w:rPr>
          <w:szCs w:val="24"/>
        </w:rPr>
        <w:t xml:space="preserve"> October, 2018, the MiDA website </w:t>
      </w:r>
      <w:hyperlink r:id="rId10" w:history="1">
        <w:r w:rsidRPr="00496CF6">
          <w:rPr>
            <w:rStyle w:val="Hyperlink"/>
            <w:szCs w:val="24"/>
          </w:rPr>
          <w:t>www.mida.gov.gh</w:t>
        </w:r>
      </w:hyperlink>
      <w:r w:rsidRPr="00496CF6">
        <w:rPr>
          <w:szCs w:val="24"/>
        </w:rPr>
        <w:t xml:space="preserve"> on 24</w:t>
      </w:r>
      <w:r w:rsidRPr="00496CF6">
        <w:rPr>
          <w:szCs w:val="24"/>
          <w:vertAlign w:val="superscript"/>
        </w:rPr>
        <w:t>th</w:t>
      </w:r>
      <w:r w:rsidRPr="00496CF6">
        <w:rPr>
          <w:szCs w:val="24"/>
        </w:rPr>
        <w:t xml:space="preserve"> October 2018, and in the </w:t>
      </w:r>
      <w:r w:rsidRPr="008A108F">
        <w:rPr>
          <w:szCs w:val="24"/>
        </w:rPr>
        <w:t>local newspapers;</w:t>
      </w:r>
      <w:r w:rsidRPr="009B1E32">
        <w:rPr>
          <w:szCs w:val="24"/>
        </w:rPr>
        <w:t xml:space="preserve"> Business &amp; Financial Times on 26</w:t>
      </w:r>
      <w:r w:rsidRPr="009B1E32">
        <w:rPr>
          <w:szCs w:val="24"/>
          <w:vertAlign w:val="superscript"/>
        </w:rPr>
        <w:t>th</w:t>
      </w:r>
      <w:r w:rsidRPr="008A108F">
        <w:rPr>
          <w:szCs w:val="24"/>
        </w:rPr>
        <w:t xml:space="preserve"> Oct</w:t>
      </w:r>
      <w:r w:rsidRPr="009B1E32">
        <w:rPr>
          <w:szCs w:val="24"/>
        </w:rPr>
        <w:t>ober 2018, Ghanaian Times on the 30</w:t>
      </w:r>
      <w:r w:rsidRPr="009B1E32">
        <w:rPr>
          <w:szCs w:val="24"/>
          <w:vertAlign w:val="superscript"/>
        </w:rPr>
        <w:t>th</w:t>
      </w:r>
      <w:r w:rsidRPr="008A108F">
        <w:rPr>
          <w:szCs w:val="24"/>
        </w:rPr>
        <w:t xml:space="preserve"> October 2018 and Daily Graphic</w:t>
      </w:r>
      <w:r w:rsidRPr="009B1E32">
        <w:rPr>
          <w:szCs w:val="24"/>
        </w:rPr>
        <w:t xml:space="preserve"> on the 29</w:t>
      </w:r>
      <w:r w:rsidRPr="009B1E32">
        <w:rPr>
          <w:szCs w:val="24"/>
          <w:vertAlign w:val="superscript"/>
        </w:rPr>
        <w:t>th</w:t>
      </w:r>
      <w:r w:rsidRPr="008A108F">
        <w:rPr>
          <w:szCs w:val="24"/>
        </w:rPr>
        <w:t xml:space="preserve"> October 2018</w:t>
      </w:r>
      <w:r w:rsidRPr="009B1E32">
        <w:rPr>
          <w:szCs w:val="24"/>
        </w:rPr>
        <w:t>.</w:t>
      </w:r>
    </w:p>
    <w:p w:rsidR="00547ABC" w:rsidRPr="00CE5260" w:rsidRDefault="00547ABC" w:rsidP="00B41CA2">
      <w:pPr>
        <w:pStyle w:val="SimpleList"/>
        <w:numPr>
          <w:ilvl w:val="0"/>
          <w:numId w:val="0"/>
        </w:numPr>
      </w:pPr>
    </w:p>
    <w:p w:rsidR="00547ABC" w:rsidRPr="00CE5260" w:rsidRDefault="00547ABC" w:rsidP="00B41CA2">
      <w:pPr>
        <w:pStyle w:val="SimpleList"/>
        <w:numPr>
          <w:ilvl w:val="0"/>
          <w:numId w:val="2"/>
        </w:numPr>
        <w:ind w:left="360"/>
      </w:pPr>
      <w:r w:rsidRPr="00CE5260">
        <w:t xml:space="preserve">The MCA Entity </w:t>
      </w:r>
      <w:r w:rsidRPr="00CE5260">
        <w:rPr>
          <w:rFonts w:eastAsia="Times New Roman"/>
        </w:rPr>
        <w:t xml:space="preserve">intends to award multiple, </w:t>
      </w:r>
      <w:r w:rsidRPr="00CE5260">
        <w:rPr>
          <w:rFonts w:eastAsia="Times New Roman"/>
          <w:b/>
        </w:rPr>
        <w:t xml:space="preserve">up to three (3) </w:t>
      </w:r>
      <w:r w:rsidRPr="00CE5260">
        <w:rPr>
          <w:rFonts w:eastAsia="Times New Roman"/>
        </w:rPr>
        <w:t xml:space="preserve">[to cover Accra East and Accra West Regions of ECG and Tamale </w:t>
      </w:r>
      <w:r>
        <w:rPr>
          <w:rFonts w:eastAsia="Times New Roman"/>
        </w:rPr>
        <w:t>Service Area</w:t>
      </w:r>
      <w:r w:rsidRPr="00CE5260">
        <w:rPr>
          <w:rFonts w:eastAsia="Times New Roman"/>
        </w:rPr>
        <w:t xml:space="preserve">] Indefinite Delivery/Indefinite Quantity (“IDIQ”) </w:t>
      </w:r>
      <w:r w:rsidRPr="00CE5260">
        <w:t xml:space="preserve">Works </w:t>
      </w:r>
      <w:r>
        <w:t xml:space="preserve">Head </w:t>
      </w:r>
      <w:r w:rsidRPr="00CE5260">
        <w:t xml:space="preserve">Contracts pursuant to this Invitation, which provides for the selection of </w:t>
      </w:r>
      <w:r w:rsidRPr="00CE5260">
        <w:rPr>
          <w:szCs w:val="24"/>
        </w:rPr>
        <w:t xml:space="preserve">qualified Contractors with the appropriate technical and financial capacity, competence and expertise to perform the </w:t>
      </w:r>
      <w:r w:rsidRPr="00CE5260">
        <w:rPr>
          <w:b/>
          <w:szCs w:val="24"/>
        </w:rPr>
        <w:t xml:space="preserve">Deployment of Low Voltage (LV) Bifurcation </w:t>
      </w:r>
      <w:r w:rsidRPr="00CE5260">
        <w:rPr>
          <w:szCs w:val="24"/>
        </w:rPr>
        <w:t>under individual Work Orders</w:t>
      </w:r>
      <w:r>
        <w:rPr>
          <w:szCs w:val="24"/>
        </w:rPr>
        <w:t xml:space="preserve"> (WOs)</w:t>
      </w:r>
      <w:r w:rsidRPr="00CE5260">
        <w:rPr>
          <w:szCs w:val="24"/>
        </w:rPr>
        <w:t xml:space="preserve">. </w:t>
      </w:r>
      <w:r w:rsidRPr="00CE5260">
        <w:rPr>
          <w:szCs w:val="24"/>
          <w:lang w:val="en-GB"/>
        </w:rPr>
        <w:t>MiDA reserves the right to award fewer contracts</w:t>
      </w:r>
      <w:r w:rsidRPr="00CE5260">
        <w:rPr>
          <w:szCs w:val="24"/>
        </w:rPr>
        <w:t xml:space="preserve">. The IDIQ Works Contract awards related to this assignment would be for a period of </w:t>
      </w:r>
      <w:r>
        <w:rPr>
          <w:szCs w:val="24"/>
        </w:rPr>
        <w:t xml:space="preserve">approximately </w:t>
      </w:r>
      <w:r w:rsidRPr="00CE5260">
        <w:rPr>
          <w:b/>
          <w:szCs w:val="24"/>
        </w:rPr>
        <w:t>t</w:t>
      </w:r>
      <w:r>
        <w:rPr>
          <w:b/>
          <w:szCs w:val="24"/>
        </w:rPr>
        <w:t>wen</w:t>
      </w:r>
      <w:r w:rsidRPr="00CE5260">
        <w:rPr>
          <w:b/>
          <w:szCs w:val="24"/>
        </w:rPr>
        <w:t>ty</w:t>
      </w:r>
      <w:r>
        <w:rPr>
          <w:b/>
          <w:szCs w:val="24"/>
        </w:rPr>
        <w:t>-eight</w:t>
      </w:r>
      <w:r w:rsidRPr="00CE5260">
        <w:rPr>
          <w:b/>
        </w:rPr>
        <w:t xml:space="preserve"> (</w:t>
      </w:r>
      <w:r>
        <w:rPr>
          <w:b/>
        </w:rPr>
        <w:t>28</w:t>
      </w:r>
      <w:r w:rsidRPr="00CE5260">
        <w:rPr>
          <w:b/>
        </w:rPr>
        <w:t>) calendar months</w:t>
      </w:r>
      <w:r>
        <w:rPr>
          <w:b/>
        </w:rPr>
        <w:t xml:space="preserve"> </w:t>
      </w:r>
      <w:r w:rsidRPr="009B1E32">
        <w:t>or</w:t>
      </w:r>
      <w:r>
        <w:rPr>
          <w:b/>
        </w:rPr>
        <w:t xml:space="preserve"> up to end of Compact on 6</w:t>
      </w:r>
      <w:r w:rsidRPr="009B1E32">
        <w:rPr>
          <w:b/>
          <w:vertAlign w:val="superscript"/>
        </w:rPr>
        <w:t>th</w:t>
      </w:r>
      <w:r>
        <w:rPr>
          <w:b/>
        </w:rPr>
        <w:t xml:space="preserve"> September 2021, </w:t>
      </w:r>
      <w:r w:rsidRPr="009B1E32">
        <w:t xml:space="preserve">whichever comes </w:t>
      </w:r>
      <w:r w:rsidRPr="008A108F">
        <w:t>first</w:t>
      </w:r>
      <w:r>
        <w:rPr>
          <w:b/>
        </w:rPr>
        <w:t>.</w:t>
      </w:r>
    </w:p>
    <w:p w:rsidR="00547ABC" w:rsidRPr="00CE5260" w:rsidRDefault="00547ABC" w:rsidP="00B41CA2">
      <w:pPr>
        <w:pStyle w:val="SimpleList"/>
        <w:numPr>
          <w:ilvl w:val="0"/>
          <w:numId w:val="0"/>
        </w:numPr>
      </w:pPr>
    </w:p>
    <w:p w:rsidR="00547ABC" w:rsidRPr="00CE5260" w:rsidRDefault="00547ABC" w:rsidP="00B41CA2">
      <w:pPr>
        <w:pStyle w:val="SimpleList"/>
        <w:numPr>
          <w:ilvl w:val="0"/>
          <w:numId w:val="2"/>
        </w:numPr>
        <w:ind w:left="360"/>
      </w:pPr>
      <w:r w:rsidRPr="00CE5260">
        <w:t>MiDA reserves the right to award no contracts.</w:t>
      </w:r>
    </w:p>
    <w:p w:rsidR="00547ABC" w:rsidRPr="00CE5260" w:rsidRDefault="00547ABC" w:rsidP="00B41CA2">
      <w:pPr>
        <w:pStyle w:val="SimpleList"/>
        <w:numPr>
          <w:ilvl w:val="0"/>
          <w:numId w:val="0"/>
        </w:numPr>
      </w:pPr>
    </w:p>
    <w:p w:rsidR="00547ABC" w:rsidRPr="00DF58CA" w:rsidRDefault="00547ABC" w:rsidP="00B41CA2">
      <w:pPr>
        <w:pStyle w:val="SimpleList"/>
        <w:numPr>
          <w:ilvl w:val="0"/>
          <w:numId w:val="2"/>
        </w:numPr>
        <w:ind w:left="360"/>
      </w:pPr>
      <w:r w:rsidRPr="00CE5260">
        <w:t>Each of the Contractors selected under this IFQ will sign a separate IDIQ Contract with the MCA Entity. These IDIQ Contracts will not constitute award of works. Instead, Work Orders will be awarded</w:t>
      </w:r>
      <w:r w:rsidRPr="001B5AB3">
        <w:t xml:space="preserve"> to execute the works as they become available. Prior to the award of any specific WO, the IDIQ Contractors will be required by the MCA Entity through a Work Request (WR) to submit priced Bills of Quantities on the basis of the fully-loaded rates in their respective IDIQ Works Contract. </w:t>
      </w:r>
      <w:r w:rsidRPr="009573E1">
        <w:rPr>
          <w:b/>
        </w:rPr>
        <w:t>Each WO will be issued to the IDIQ Contractor who will offer the lowest responsive and reasonable price against each Work Request</w:t>
      </w:r>
      <w:r>
        <w:rPr>
          <w:b/>
        </w:rPr>
        <w:t>.</w:t>
      </w:r>
    </w:p>
    <w:p w:rsidR="00547ABC" w:rsidRPr="009573E1" w:rsidRDefault="00547ABC" w:rsidP="00B41CA2">
      <w:pPr>
        <w:pStyle w:val="SimpleList"/>
        <w:numPr>
          <w:ilvl w:val="0"/>
          <w:numId w:val="0"/>
        </w:numPr>
      </w:pPr>
    </w:p>
    <w:p w:rsidR="00547ABC" w:rsidRPr="00DF58CA" w:rsidRDefault="00547ABC" w:rsidP="00B41CA2">
      <w:pPr>
        <w:pStyle w:val="SimpleList"/>
        <w:numPr>
          <w:ilvl w:val="0"/>
          <w:numId w:val="2"/>
        </w:numPr>
        <w:ind w:left="360"/>
      </w:pPr>
      <w:r w:rsidRPr="001B5AB3">
        <w:t xml:space="preserve">The IDIQ Works Contractors </w:t>
      </w:r>
      <w:r w:rsidRPr="001B5AB3">
        <w:rPr>
          <w:lang w:eastAsia="en-US"/>
        </w:rPr>
        <w:t>will not be assured of award of specific WOs, however each Contractor will have the opportunity to compete under separate WOs</w:t>
      </w:r>
      <w:r>
        <w:rPr>
          <w:b/>
          <w:lang w:eastAsia="en-US"/>
        </w:rPr>
        <w:t>.</w:t>
      </w:r>
    </w:p>
    <w:p w:rsidR="00547ABC" w:rsidRPr="001B5AB3" w:rsidRDefault="00547ABC" w:rsidP="00B41CA2">
      <w:pPr>
        <w:pStyle w:val="SimpleList"/>
        <w:numPr>
          <w:ilvl w:val="0"/>
          <w:numId w:val="0"/>
        </w:numPr>
      </w:pPr>
    </w:p>
    <w:p w:rsidR="00547ABC" w:rsidRDefault="00547ABC" w:rsidP="00B41CA2">
      <w:pPr>
        <w:pStyle w:val="SimpleList"/>
        <w:numPr>
          <w:ilvl w:val="0"/>
          <w:numId w:val="2"/>
        </w:numPr>
        <w:ind w:left="360"/>
      </w:pPr>
      <w:r w:rsidRPr="001B5AB3">
        <w:t xml:space="preserve">The MCA Entity now invites quotations from legally constituted firms to provide the Construction Works described above. More details on the scope of these works are provided </w:t>
      </w:r>
      <w:r w:rsidRPr="00B02C63">
        <w:t xml:space="preserve">in </w:t>
      </w:r>
      <w:r w:rsidRPr="00DF58CA">
        <w:t>Part</w:t>
      </w:r>
      <w:r w:rsidRPr="00B02C63">
        <w:t xml:space="preserve"> 2.</w:t>
      </w:r>
      <w:r w:rsidRPr="001B5AB3">
        <w:t xml:space="preserve"> Works Requirements of these Bidding Documents.</w:t>
      </w:r>
    </w:p>
    <w:p w:rsidR="00547ABC" w:rsidRPr="001B5AB3" w:rsidRDefault="00547ABC" w:rsidP="00B41CA2">
      <w:pPr>
        <w:pStyle w:val="SimpleList"/>
        <w:numPr>
          <w:ilvl w:val="0"/>
          <w:numId w:val="0"/>
        </w:numPr>
      </w:pPr>
    </w:p>
    <w:p w:rsidR="00547ABC" w:rsidRDefault="00547ABC" w:rsidP="00B41CA2">
      <w:pPr>
        <w:pStyle w:val="SimpleList"/>
        <w:numPr>
          <w:ilvl w:val="0"/>
          <w:numId w:val="2"/>
        </w:numPr>
        <w:ind w:left="360"/>
      </w:pPr>
      <w:r w:rsidRPr="00CE5260">
        <w:t>This IFQ is open</w:t>
      </w:r>
      <w:r w:rsidRPr="001B5AB3">
        <w:t xml:space="preserve"> to all eligible entities who wish to respond. Subject to restrictions noted in the Bidding Documents, bidders may associate in order to enhance their capacity to successfully carry out the assignment.</w:t>
      </w:r>
    </w:p>
    <w:p w:rsidR="00547ABC" w:rsidRPr="001B5AB3" w:rsidRDefault="00547ABC" w:rsidP="00B41CA2">
      <w:pPr>
        <w:pStyle w:val="SimpleList"/>
        <w:numPr>
          <w:ilvl w:val="0"/>
          <w:numId w:val="0"/>
        </w:numPr>
      </w:pPr>
    </w:p>
    <w:p w:rsidR="00547ABC" w:rsidRPr="00DF58CA" w:rsidRDefault="00547ABC" w:rsidP="00B41CA2">
      <w:pPr>
        <w:pStyle w:val="SimpleList"/>
        <w:numPr>
          <w:ilvl w:val="0"/>
          <w:numId w:val="2"/>
        </w:numPr>
        <w:ind w:left="360"/>
        <w:rPr>
          <w:szCs w:val="24"/>
        </w:rPr>
      </w:pPr>
      <w:r w:rsidRPr="001B5AB3">
        <w:t xml:space="preserve">Contractors will be selected using the Competitive Bidding procedures as described in this Bidding Document </w:t>
      </w:r>
      <w:r>
        <w:t>and</w:t>
      </w:r>
      <w:r w:rsidRPr="001B5AB3">
        <w:t xml:space="preserve"> in accordance with the “MCC Program Procurement Guidelines”, which are provided on the MCC website (</w:t>
      </w:r>
      <w:hyperlink r:id="rId11" w:history="1">
        <w:r w:rsidRPr="001B5AB3">
          <w:rPr>
            <w:rStyle w:val="Hyperlink"/>
          </w:rPr>
          <w:t>www.mcc.gov/ppg</w:t>
        </w:r>
      </w:hyperlink>
      <w:r w:rsidRPr="001B5AB3">
        <w:t>)</w:t>
      </w:r>
      <w:r w:rsidRPr="001B5AB3">
        <w:rPr>
          <w:rStyle w:val="CommentReference"/>
          <w:lang w:val="en-GB"/>
        </w:rPr>
        <w:t xml:space="preserve">. </w:t>
      </w:r>
      <w:r w:rsidRPr="001B5AB3">
        <w:t>The selection process, as described, will include a review and verification of qualifications and past performance, including a reference check, prior to the contract award.</w:t>
      </w:r>
    </w:p>
    <w:p w:rsidR="00547ABC" w:rsidRDefault="00547ABC" w:rsidP="00B41CA2">
      <w:pPr>
        <w:pStyle w:val="ListParagraph"/>
        <w:jc w:val="both"/>
        <w:rPr>
          <w:szCs w:val="24"/>
        </w:rPr>
      </w:pPr>
    </w:p>
    <w:p w:rsidR="00547ABC" w:rsidRPr="00B23053" w:rsidRDefault="00547ABC" w:rsidP="00B41CA2">
      <w:pPr>
        <w:numPr>
          <w:ilvl w:val="0"/>
          <w:numId w:val="2"/>
        </w:numPr>
        <w:suppressAutoHyphens w:val="0"/>
        <w:overflowPunct/>
        <w:autoSpaceDE/>
        <w:autoSpaceDN/>
        <w:adjustRightInd/>
        <w:ind w:hanging="450"/>
        <w:jc w:val="both"/>
        <w:textAlignment w:val="auto"/>
      </w:pPr>
      <w:bookmarkStart w:id="1" w:name="_Hlk497694766"/>
      <w:r w:rsidRPr="00B23053">
        <w:t>Please note that a pre-Bid Meeting will</w:t>
      </w:r>
      <w:r w:rsidRPr="00B23053">
        <w:rPr>
          <w:b/>
        </w:rPr>
        <w:t xml:space="preserve"> </w:t>
      </w:r>
      <w:r w:rsidRPr="00B23053">
        <w:t>be</w:t>
      </w:r>
      <w:r w:rsidRPr="00B23053">
        <w:rPr>
          <w:b/>
        </w:rPr>
        <w:t xml:space="preserve"> </w:t>
      </w:r>
      <w:r w:rsidRPr="00B23053">
        <w:t xml:space="preserve">held at </w:t>
      </w:r>
      <w:r w:rsidRPr="00B23053">
        <w:rPr>
          <w:color w:val="000000"/>
        </w:rPr>
        <w:t xml:space="preserve">the </w:t>
      </w:r>
      <w:r w:rsidR="00BD0827" w:rsidRPr="00BD0827">
        <w:rPr>
          <w:b/>
        </w:rPr>
        <w:t>Swiss Spirit Alisa Hotel, 8</w:t>
      </w:r>
      <w:r w:rsidR="00BD0827" w:rsidRPr="00BD0827">
        <w:rPr>
          <w:b/>
          <w:vertAlign w:val="superscript"/>
        </w:rPr>
        <w:t>th</w:t>
      </w:r>
      <w:r w:rsidR="00BD0827" w:rsidRPr="00BD0827">
        <w:rPr>
          <w:b/>
        </w:rPr>
        <w:t xml:space="preserve"> Avenue Extension, North Ridge, Accra</w:t>
      </w:r>
      <w:r w:rsidRPr="00B23053">
        <w:t xml:space="preserve"> on </w:t>
      </w:r>
      <w:r w:rsidRPr="00B23053">
        <w:rPr>
          <w:b/>
        </w:rPr>
        <w:t>2</w:t>
      </w:r>
      <w:r w:rsidR="00B23053" w:rsidRPr="00B23053">
        <w:rPr>
          <w:b/>
        </w:rPr>
        <w:t>9</w:t>
      </w:r>
      <w:r w:rsidR="00B23053" w:rsidRPr="00B23053">
        <w:rPr>
          <w:b/>
          <w:vertAlign w:val="superscript"/>
        </w:rPr>
        <w:t>th</w:t>
      </w:r>
      <w:r w:rsidR="00B23053" w:rsidRPr="00B23053">
        <w:rPr>
          <w:b/>
        </w:rPr>
        <w:t xml:space="preserve"> </w:t>
      </w:r>
      <w:r w:rsidRPr="00B23053">
        <w:rPr>
          <w:b/>
        </w:rPr>
        <w:t>January,</w:t>
      </w:r>
      <w:r w:rsidRPr="00B23053">
        <w:t xml:space="preserve"> </w:t>
      </w:r>
      <w:r w:rsidRPr="00B23053">
        <w:rPr>
          <w:b/>
        </w:rPr>
        <w:t xml:space="preserve">2019 at 10:00 hours </w:t>
      </w:r>
      <w:r w:rsidRPr="00B23053">
        <w:t>as described in the Bid Data Sheet (“BDS”),</w:t>
      </w:r>
      <w:r w:rsidRPr="00B23053">
        <w:rPr>
          <w:b/>
        </w:rPr>
        <w:t xml:space="preserve"> </w:t>
      </w:r>
      <w:r w:rsidRPr="00B23053">
        <w:t>Section II of this Bidding Document. Please note that a site visit will not be</w:t>
      </w:r>
      <w:r w:rsidRPr="00B23053">
        <w:rPr>
          <w:b/>
        </w:rPr>
        <w:t xml:space="preserve"> </w:t>
      </w:r>
      <w:r w:rsidRPr="00B23053">
        <w:t xml:space="preserve">organized. </w:t>
      </w:r>
      <w:bookmarkEnd w:id="1"/>
    </w:p>
    <w:p w:rsidR="00547ABC" w:rsidRPr="001B5AB3" w:rsidRDefault="00547ABC" w:rsidP="00B41CA2">
      <w:pPr>
        <w:pStyle w:val="SimpleList"/>
        <w:numPr>
          <w:ilvl w:val="0"/>
          <w:numId w:val="0"/>
        </w:numPr>
        <w:ind w:left="360"/>
        <w:rPr>
          <w:szCs w:val="24"/>
        </w:rPr>
      </w:pPr>
    </w:p>
    <w:p w:rsidR="00547ABC" w:rsidRPr="001B5AB3" w:rsidRDefault="00547ABC" w:rsidP="00B41CA2">
      <w:pPr>
        <w:pStyle w:val="ListParagraph"/>
        <w:numPr>
          <w:ilvl w:val="0"/>
          <w:numId w:val="2"/>
        </w:numPr>
        <w:suppressAutoHyphens w:val="0"/>
        <w:overflowPunct/>
        <w:autoSpaceDE/>
        <w:autoSpaceDN/>
        <w:adjustRightInd/>
        <w:ind w:left="360"/>
        <w:jc w:val="both"/>
        <w:textAlignment w:val="auto"/>
        <w:rPr>
          <w:szCs w:val="24"/>
        </w:rPr>
      </w:pPr>
      <w:r w:rsidRPr="001B5AB3">
        <w:rPr>
          <w:szCs w:val="24"/>
        </w:rPr>
        <w:t>The Bidding Document includes the following Sections:</w:t>
      </w:r>
    </w:p>
    <w:p w:rsidR="00547ABC" w:rsidRPr="001B5AB3" w:rsidRDefault="00547ABC" w:rsidP="00B41CA2">
      <w:pPr>
        <w:pStyle w:val="itbrightnobullet"/>
        <w:tabs>
          <w:tab w:val="left" w:pos="972"/>
        </w:tabs>
        <w:spacing w:before="0" w:after="0"/>
        <w:ind w:left="720" w:hanging="360"/>
        <w:rPr>
          <w:b/>
        </w:rPr>
      </w:pPr>
      <w:r w:rsidRPr="001B5AB3">
        <w:rPr>
          <w:b/>
        </w:rPr>
        <w:t>PART 1 Selection of IDIQ Contractors</w:t>
      </w:r>
    </w:p>
    <w:p w:rsidR="00547ABC" w:rsidRPr="001B5AB3" w:rsidRDefault="00547ABC" w:rsidP="00B41CA2">
      <w:pPr>
        <w:pStyle w:val="itbrightnobullet"/>
        <w:tabs>
          <w:tab w:val="clear" w:pos="576"/>
          <w:tab w:val="left" w:pos="972"/>
        </w:tabs>
        <w:spacing w:before="0" w:after="0"/>
        <w:ind w:left="720" w:hanging="360"/>
      </w:pPr>
      <w:r w:rsidRPr="001B5AB3">
        <w:t>Section I. Instructions to Bidders</w:t>
      </w:r>
    </w:p>
    <w:p w:rsidR="00547ABC" w:rsidRPr="001B5AB3" w:rsidRDefault="00547ABC" w:rsidP="00B41CA2">
      <w:pPr>
        <w:pStyle w:val="itbrightnobullet"/>
        <w:tabs>
          <w:tab w:val="clear" w:pos="576"/>
          <w:tab w:val="left" w:pos="972"/>
        </w:tabs>
        <w:spacing w:before="0" w:after="0"/>
        <w:ind w:left="720" w:hanging="360"/>
      </w:pPr>
      <w:r w:rsidRPr="001B5AB3">
        <w:t>Section II. Bid Data Sheet</w:t>
      </w:r>
    </w:p>
    <w:p w:rsidR="00547ABC" w:rsidRPr="001B5AB3" w:rsidRDefault="00547ABC" w:rsidP="00B41CA2">
      <w:pPr>
        <w:pStyle w:val="itbrightnobullet"/>
        <w:tabs>
          <w:tab w:val="clear" w:pos="576"/>
          <w:tab w:val="left" w:pos="972"/>
        </w:tabs>
        <w:spacing w:before="0" w:after="0"/>
        <w:ind w:left="720" w:hanging="360"/>
      </w:pPr>
      <w:r w:rsidRPr="001B5AB3">
        <w:t>Section III. Evaluation Criteria and Bidder Qualification Requirements</w:t>
      </w:r>
    </w:p>
    <w:p w:rsidR="00547ABC" w:rsidRPr="001B5AB3" w:rsidRDefault="00547ABC" w:rsidP="00B41CA2">
      <w:pPr>
        <w:pStyle w:val="itbrightnobullet"/>
        <w:tabs>
          <w:tab w:val="clear" w:pos="576"/>
          <w:tab w:val="left" w:pos="972"/>
        </w:tabs>
        <w:spacing w:before="0" w:after="0"/>
        <w:ind w:left="720" w:hanging="360"/>
      </w:pPr>
      <w:r w:rsidRPr="001B5AB3">
        <w:t>Section IV.  Quotation Forms</w:t>
      </w:r>
    </w:p>
    <w:p w:rsidR="00547ABC" w:rsidRPr="001B5AB3" w:rsidRDefault="00547ABC" w:rsidP="00B41CA2">
      <w:pPr>
        <w:pStyle w:val="itbrightnobullet"/>
        <w:tabs>
          <w:tab w:val="clear" w:pos="576"/>
          <w:tab w:val="left" w:pos="972"/>
        </w:tabs>
        <w:spacing w:before="0" w:after="0"/>
        <w:ind w:left="720" w:hanging="360"/>
        <w:rPr>
          <w:b/>
        </w:rPr>
      </w:pPr>
      <w:r w:rsidRPr="001B5AB3">
        <w:rPr>
          <w:b/>
        </w:rPr>
        <w:t>PART 2 Works Requirements</w:t>
      </w:r>
    </w:p>
    <w:p w:rsidR="00547ABC" w:rsidRPr="001B5AB3" w:rsidRDefault="00547ABC" w:rsidP="00B41CA2">
      <w:pPr>
        <w:pStyle w:val="itbrightnobullet"/>
        <w:tabs>
          <w:tab w:val="clear" w:pos="576"/>
          <w:tab w:val="left" w:pos="972"/>
        </w:tabs>
        <w:spacing w:before="0" w:after="0"/>
        <w:ind w:left="720" w:hanging="360"/>
      </w:pPr>
      <w:r w:rsidRPr="001B5AB3">
        <w:t>Section V.  Works Requirements</w:t>
      </w:r>
    </w:p>
    <w:p w:rsidR="00547ABC" w:rsidRPr="001B5AB3" w:rsidRDefault="00547ABC" w:rsidP="00B41CA2">
      <w:pPr>
        <w:pStyle w:val="itbrightnobullet"/>
        <w:tabs>
          <w:tab w:val="clear" w:pos="576"/>
          <w:tab w:val="left" w:pos="972"/>
        </w:tabs>
        <w:spacing w:before="0" w:after="0"/>
        <w:ind w:left="720" w:hanging="360"/>
        <w:rPr>
          <w:b/>
        </w:rPr>
      </w:pPr>
      <w:r w:rsidRPr="001B5AB3">
        <w:rPr>
          <w:b/>
        </w:rPr>
        <w:t>PART 3 Conditions of Contract and Contract Forms</w:t>
      </w:r>
    </w:p>
    <w:p w:rsidR="00547ABC" w:rsidRPr="001B5AB3" w:rsidRDefault="00547ABC" w:rsidP="00B41CA2">
      <w:pPr>
        <w:pStyle w:val="itbrightnobullet"/>
        <w:tabs>
          <w:tab w:val="clear" w:pos="576"/>
          <w:tab w:val="left" w:pos="972"/>
        </w:tabs>
        <w:spacing w:before="0" w:after="0"/>
        <w:ind w:left="720" w:hanging="360"/>
      </w:pPr>
      <w:r w:rsidRPr="001B5AB3">
        <w:t>Section VI. General Conditions of Contract</w:t>
      </w:r>
    </w:p>
    <w:p w:rsidR="00547ABC" w:rsidRPr="001B5AB3" w:rsidRDefault="00547ABC" w:rsidP="00B41CA2">
      <w:pPr>
        <w:pStyle w:val="itbrightnobullet"/>
        <w:tabs>
          <w:tab w:val="clear" w:pos="576"/>
          <w:tab w:val="left" w:pos="972"/>
        </w:tabs>
        <w:spacing w:before="0" w:after="0"/>
        <w:ind w:left="720" w:hanging="360"/>
      </w:pPr>
      <w:r w:rsidRPr="001B5AB3">
        <w:t>Section VII.  Form of Particular Conditions of Contract and Annex to Contract</w:t>
      </w:r>
    </w:p>
    <w:p w:rsidR="00547ABC" w:rsidRPr="001B5AB3" w:rsidRDefault="00547ABC" w:rsidP="00B41CA2">
      <w:pPr>
        <w:pStyle w:val="itbrightnobullet"/>
        <w:tabs>
          <w:tab w:val="clear" w:pos="576"/>
          <w:tab w:val="left" w:pos="972"/>
        </w:tabs>
        <w:spacing w:before="0" w:after="0"/>
        <w:ind w:left="720" w:hanging="360"/>
      </w:pPr>
      <w:r w:rsidRPr="001B5AB3">
        <w:t>Section VIII.  Forms for Award, Contract and Securities</w:t>
      </w:r>
    </w:p>
    <w:p w:rsidR="00547ABC" w:rsidRDefault="00547ABC" w:rsidP="00B41CA2">
      <w:pPr>
        <w:pStyle w:val="itbrightnobullet"/>
        <w:tabs>
          <w:tab w:val="clear" w:pos="576"/>
          <w:tab w:val="left" w:pos="972"/>
        </w:tabs>
        <w:spacing w:before="0" w:after="0"/>
        <w:ind w:left="720" w:hanging="360"/>
      </w:pPr>
      <w:r w:rsidRPr="001B5AB3">
        <w:t>Section IX. Sample Work Request and Work Order Forms</w:t>
      </w:r>
    </w:p>
    <w:p w:rsidR="00547ABC" w:rsidRPr="001B5AB3" w:rsidRDefault="00547ABC" w:rsidP="00B41CA2">
      <w:pPr>
        <w:pStyle w:val="itbrightnobullet"/>
        <w:tabs>
          <w:tab w:val="clear" w:pos="576"/>
          <w:tab w:val="left" w:pos="972"/>
        </w:tabs>
        <w:spacing w:before="0" w:after="0"/>
        <w:ind w:left="720" w:hanging="360"/>
      </w:pPr>
    </w:p>
    <w:p w:rsidR="00547ABC" w:rsidRDefault="00547ABC" w:rsidP="00B41CA2">
      <w:pPr>
        <w:pStyle w:val="List"/>
        <w:numPr>
          <w:ilvl w:val="0"/>
          <w:numId w:val="2"/>
        </w:numPr>
        <w:suppressAutoHyphens w:val="0"/>
        <w:overflowPunct/>
        <w:autoSpaceDE/>
        <w:autoSpaceDN/>
        <w:adjustRightInd/>
        <w:ind w:left="360"/>
        <w:jc w:val="both"/>
        <w:textAlignment w:val="auto"/>
      </w:pPr>
      <w:r w:rsidRPr="001B5AB3">
        <w:t>Bidders are requested to quote fully loaded rates (including all costs), which should be reasonable based on the rates quoted before by the bidders in past contracts carried out by them. Bidders quoting unreasonable rates will not be selected/qualified for award of any IDIQ Works Contract.</w:t>
      </w:r>
    </w:p>
    <w:p w:rsidR="00547ABC" w:rsidRPr="001B5AB3" w:rsidRDefault="00547ABC" w:rsidP="00B41CA2">
      <w:pPr>
        <w:pStyle w:val="List"/>
        <w:suppressAutoHyphens w:val="0"/>
        <w:overflowPunct/>
        <w:autoSpaceDE/>
        <w:autoSpaceDN/>
        <w:adjustRightInd/>
        <w:ind w:firstLine="0"/>
        <w:jc w:val="both"/>
        <w:textAlignment w:val="auto"/>
      </w:pPr>
    </w:p>
    <w:p w:rsidR="00547ABC" w:rsidRDefault="00547ABC" w:rsidP="00B41CA2">
      <w:pPr>
        <w:pStyle w:val="List"/>
        <w:numPr>
          <w:ilvl w:val="0"/>
          <w:numId w:val="2"/>
        </w:numPr>
        <w:suppressAutoHyphens w:val="0"/>
        <w:overflowPunct/>
        <w:autoSpaceDE/>
        <w:autoSpaceDN/>
        <w:adjustRightInd/>
        <w:ind w:left="360"/>
        <w:jc w:val="both"/>
        <w:textAlignment w:val="auto"/>
      </w:pPr>
      <w:r w:rsidRPr="001B5AB3">
        <w:t>To be selected/qualified for the award of an IDIQ Works Contract, each Bidder must demonstrate minimum requirements of eligibility, construction and financial capabilities sufficient to support the MCA Entity in the implementation of the assignment.</w:t>
      </w:r>
    </w:p>
    <w:p w:rsidR="00547ABC" w:rsidRPr="001B5AB3" w:rsidRDefault="00547ABC" w:rsidP="00B41CA2">
      <w:pPr>
        <w:pStyle w:val="List"/>
        <w:suppressAutoHyphens w:val="0"/>
        <w:overflowPunct/>
        <w:autoSpaceDE/>
        <w:autoSpaceDN/>
        <w:adjustRightInd/>
        <w:ind w:left="0" w:firstLine="0"/>
        <w:jc w:val="both"/>
        <w:textAlignment w:val="auto"/>
      </w:pPr>
    </w:p>
    <w:p w:rsidR="00547ABC" w:rsidRDefault="00547ABC" w:rsidP="00B41CA2">
      <w:pPr>
        <w:pStyle w:val="ListParagraph"/>
        <w:numPr>
          <w:ilvl w:val="0"/>
          <w:numId w:val="2"/>
        </w:numPr>
        <w:ind w:left="446"/>
        <w:jc w:val="both"/>
        <w:rPr>
          <w:szCs w:val="24"/>
        </w:rPr>
      </w:pPr>
      <w:r w:rsidRPr="00DF58CA">
        <w:rPr>
          <w:szCs w:val="28"/>
        </w:rPr>
        <w:t>Prospective Bidders interested in submitting a Bid should request the Bid Document by sending an e-mail, giving full contact details (full physical address, phone numbers and email address (</w:t>
      </w:r>
      <w:proofErr w:type="spellStart"/>
      <w:r w:rsidRPr="00DF58CA">
        <w:rPr>
          <w:szCs w:val="28"/>
        </w:rPr>
        <w:t>es</w:t>
      </w:r>
      <w:proofErr w:type="spellEnd"/>
      <w:r w:rsidRPr="00DF58CA">
        <w:rPr>
          <w:szCs w:val="28"/>
        </w:rPr>
        <w:t xml:space="preserve">)) of the organization and relevant contact person(s) to the MiDA Procurement Agent at </w:t>
      </w:r>
      <w:hyperlink r:id="rId12" w:history="1">
        <w:r w:rsidRPr="007C1F8A">
          <w:rPr>
            <w:rStyle w:val="Hyperlink"/>
            <w:szCs w:val="28"/>
          </w:rPr>
          <w:t>paghana@charleskendall.com</w:t>
        </w:r>
      </w:hyperlink>
      <w:r w:rsidRPr="00DF58CA">
        <w:rPr>
          <w:szCs w:val="28"/>
        </w:rPr>
        <w:t xml:space="preserve">. </w:t>
      </w:r>
      <w:r w:rsidRPr="004E2353">
        <w:t>The Bid Document, and any subsequent information, will be issued on receipt of complete information by the MiDA Procurement Agent</w:t>
      </w:r>
      <w:r w:rsidRPr="009D6559">
        <w:rPr>
          <w:szCs w:val="24"/>
        </w:rPr>
        <w:t>.</w:t>
      </w:r>
    </w:p>
    <w:p w:rsidR="00547ABC" w:rsidRPr="00B23053" w:rsidRDefault="00547ABC" w:rsidP="00B41CA2">
      <w:pPr>
        <w:pStyle w:val="SimpleList"/>
        <w:numPr>
          <w:ilvl w:val="0"/>
          <w:numId w:val="2"/>
        </w:numPr>
        <w:ind w:left="360"/>
        <w:rPr>
          <w:bCs/>
        </w:rPr>
      </w:pPr>
      <w:r w:rsidRPr="00B23053">
        <w:rPr>
          <w:szCs w:val="24"/>
        </w:rPr>
        <w:t>Quotations must be delivered to the address specified in BDS ITB 21.1 and in the manner specified in ITB 20.2,</w:t>
      </w:r>
      <w:r w:rsidRPr="00B23053">
        <w:rPr>
          <w:b/>
          <w:szCs w:val="24"/>
        </w:rPr>
        <w:t xml:space="preserve"> </w:t>
      </w:r>
      <w:r w:rsidRPr="00B23053">
        <w:rPr>
          <w:szCs w:val="24"/>
        </w:rPr>
        <w:t xml:space="preserve">no later than </w:t>
      </w:r>
      <w:r w:rsidRPr="00B23053">
        <w:rPr>
          <w:b/>
        </w:rPr>
        <w:t xml:space="preserve">10:00 Hours local Ghana time on </w:t>
      </w:r>
      <w:r w:rsidR="00B23053" w:rsidRPr="00B23053">
        <w:rPr>
          <w:b/>
        </w:rPr>
        <w:t>8</w:t>
      </w:r>
      <w:r w:rsidR="00B23053" w:rsidRPr="00B23053">
        <w:rPr>
          <w:b/>
          <w:vertAlign w:val="superscript"/>
        </w:rPr>
        <w:t>th</w:t>
      </w:r>
      <w:r w:rsidR="00B23053" w:rsidRPr="00B23053">
        <w:rPr>
          <w:b/>
        </w:rPr>
        <w:t xml:space="preserve"> </w:t>
      </w:r>
      <w:r w:rsidRPr="00B23053">
        <w:rPr>
          <w:b/>
        </w:rPr>
        <w:t>March</w:t>
      </w:r>
      <w:r w:rsidRPr="00B23053">
        <w:rPr>
          <w:b/>
          <w:szCs w:val="24"/>
        </w:rPr>
        <w:t>, 2019</w:t>
      </w:r>
      <w:r w:rsidRPr="00B23053">
        <w:rPr>
          <w:szCs w:val="24"/>
        </w:rPr>
        <w:t xml:space="preserve">.  Bids will be opened in a public Bid opening at the address and time specified in BDS ITB 24.1. </w:t>
      </w:r>
    </w:p>
    <w:p w:rsidR="00547ABC" w:rsidRPr="001B5AB3" w:rsidRDefault="00547ABC" w:rsidP="00B41CA2">
      <w:pPr>
        <w:pStyle w:val="SimpleList"/>
        <w:numPr>
          <w:ilvl w:val="0"/>
          <w:numId w:val="0"/>
        </w:numPr>
        <w:rPr>
          <w:bCs/>
        </w:rPr>
      </w:pPr>
    </w:p>
    <w:p w:rsidR="00547ABC" w:rsidRDefault="00547ABC" w:rsidP="00B41CA2">
      <w:pPr>
        <w:pStyle w:val="SimpleList"/>
        <w:numPr>
          <w:ilvl w:val="0"/>
          <w:numId w:val="2"/>
        </w:numPr>
        <w:tabs>
          <w:tab w:val="left" w:pos="360"/>
        </w:tabs>
        <w:ind w:left="360"/>
      </w:pPr>
      <w:r w:rsidRPr="001B5AB3">
        <w:rPr>
          <w:bCs/>
        </w:rPr>
        <w:t xml:space="preserve">Bidders should be aware that distance and customs formalities may require longer than expected delivery time. Late </w:t>
      </w:r>
      <w:r w:rsidRPr="001B5AB3">
        <w:t>Quotations will not be accepted under any circumstances and will be returned unopened at the written request and cost of the Bidder.</w:t>
      </w:r>
    </w:p>
    <w:p w:rsidR="00547ABC" w:rsidRPr="001B5AB3" w:rsidRDefault="00547ABC" w:rsidP="00B41CA2">
      <w:pPr>
        <w:pStyle w:val="SimpleList"/>
        <w:numPr>
          <w:ilvl w:val="0"/>
          <w:numId w:val="0"/>
        </w:numPr>
        <w:tabs>
          <w:tab w:val="left" w:pos="360"/>
        </w:tabs>
      </w:pPr>
    </w:p>
    <w:p w:rsidR="00547ABC" w:rsidRPr="001B5AB3" w:rsidRDefault="00547ABC" w:rsidP="00B41CA2">
      <w:pPr>
        <w:pStyle w:val="SimpleList"/>
        <w:numPr>
          <w:ilvl w:val="0"/>
          <w:numId w:val="2"/>
        </w:numPr>
        <w:ind w:left="360"/>
      </w:pPr>
      <w:r w:rsidRPr="001B5AB3">
        <w:t xml:space="preserve">Please note that electronic quotations </w:t>
      </w:r>
      <w:r w:rsidRPr="00DF58CA">
        <w:rPr>
          <w:rFonts w:ascii="Times New Roman Bold" w:hAnsi="Times New Roman Bold"/>
          <w:b/>
        </w:rPr>
        <w:t>shall not</w:t>
      </w:r>
      <w:r w:rsidRPr="001B5AB3">
        <w:t xml:space="preserve"> be accepted.</w:t>
      </w:r>
    </w:p>
    <w:p w:rsidR="00547ABC" w:rsidRDefault="00547ABC" w:rsidP="00B41CA2">
      <w:pPr>
        <w:ind w:left="360" w:hanging="360"/>
        <w:jc w:val="both"/>
      </w:pPr>
    </w:p>
    <w:p w:rsidR="00547ABC" w:rsidRDefault="00547ABC" w:rsidP="00547ABC">
      <w:pPr>
        <w:ind w:left="360" w:hanging="360"/>
        <w:jc w:val="both"/>
      </w:pPr>
    </w:p>
    <w:p w:rsidR="00547ABC" w:rsidRDefault="00547ABC" w:rsidP="00547ABC">
      <w:pPr>
        <w:ind w:left="360" w:hanging="360"/>
        <w:jc w:val="both"/>
      </w:pPr>
    </w:p>
    <w:p w:rsidR="00547ABC" w:rsidRDefault="00547ABC" w:rsidP="00547ABC">
      <w:pPr>
        <w:ind w:left="360" w:hanging="360"/>
        <w:jc w:val="both"/>
      </w:pPr>
    </w:p>
    <w:p w:rsidR="00547ABC" w:rsidRPr="009D6559" w:rsidRDefault="00547ABC" w:rsidP="00547ABC">
      <w:pPr>
        <w:tabs>
          <w:tab w:val="num" w:pos="0"/>
        </w:tabs>
        <w:suppressAutoHyphens w:val="0"/>
        <w:overflowPunct/>
        <w:autoSpaceDE/>
        <w:autoSpaceDN/>
        <w:adjustRightInd/>
        <w:spacing w:after="200"/>
        <w:textAlignment w:val="auto"/>
        <w:rPr>
          <w:szCs w:val="24"/>
        </w:rPr>
      </w:pPr>
      <w:r w:rsidRPr="009D6559">
        <w:rPr>
          <w:szCs w:val="24"/>
        </w:rPr>
        <w:t>Yours sincerely,</w:t>
      </w:r>
    </w:p>
    <w:p w:rsidR="00547ABC" w:rsidRPr="00E80F36" w:rsidRDefault="00547ABC" w:rsidP="00547ABC">
      <w:pPr>
        <w:tabs>
          <w:tab w:val="num" w:pos="0"/>
        </w:tabs>
        <w:suppressAutoHyphens w:val="0"/>
        <w:overflowPunct/>
        <w:autoSpaceDE/>
        <w:autoSpaceDN/>
        <w:adjustRightInd/>
        <w:textAlignment w:val="auto"/>
        <w:rPr>
          <w:b/>
          <w:szCs w:val="24"/>
        </w:rPr>
      </w:pPr>
      <w:r w:rsidRPr="00E80F36">
        <w:rPr>
          <w:b/>
          <w:szCs w:val="24"/>
        </w:rPr>
        <w:t>Procurement Agent,</w:t>
      </w:r>
    </w:p>
    <w:p w:rsidR="00547ABC" w:rsidRDefault="00547ABC" w:rsidP="00547ABC">
      <w:pPr>
        <w:tabs>
          <w:tab w:val="num" w:pos="0"/>
        </w:tabs>
        <w:suppressAutoHyphens w:val="0"/>
        <w:overflowPunct/>
        <w:autoSpaceDE/>
        <w:autoSpaceDN/>
        <w:adjustRightInd/>
        <w:textAlignment w:val="auto"/>
        <w:rPr>
          <w:b/>
          <w:szCs w:val="24"/>
        </w:rPr>
      </w:pPr>
      <w:r w:rsidRPr="00E80F36">
        <w:rPr>
          <w:b/>
          <w:szCs w:val="24"/>
          <w:lang w:val="en-GB"/>
        </w:rPr>
        <w:t>For Millennium Development Authority (MiDA)</w:t>
      </w:r>
      <w:r w:rsidRPr="00E80F36">
        <w:rPr>
          <w:b/>
          <w:szCs w:val="24"/>
        </w:rPr>
        <w:t xml:space="preserve"> </w:t>
      </w:r>
    </w:p>
    <w:p w:rsidR="00547ABC" w:rsidRPr="00E80F36" w:rsidRDefault="00547ABC" w:rsidP="00547ABC">
      <w:pPr>
        <w:tabs>
          <w:tab w:val="num" w:pos="0"/>
        </w:tabs>
        <w:suppressAutoHyphens w:val="0"/>
        <w:overflowPunct/>
        <w:autoSpaceDE/>
        <w:autoSpaceDN/>
        <w:adjustRightInd/>
        <w:textAlignment w:val="auto"/>
        <w:rPr>
          <w:b/>
          <w:szCs w:val="24"/>
        </w:rPr>
      </w:pPr>
      <w:r>
        <w:rPr>
          <w:b/>
          <w:szCs w:val="24"/>
        </w:rPr>
        <w:t>4</w:t>
      </w:r>
      <w:r w:rsidRPr="00CE5260">
        <w:rPr>
          <w:b/>
          <w:szCs w:val="24"/>
          <w:vertAlign w:val="superscript"/>
        </w:rPr>
        <w:t>th</w:t>
      </w:r>
      <w:r>
        <w:rPr>
          <w:b/>
          <w:szCs w:val="24"/>
        </w:rPr>
        <w:t xml:space="preserve"> </w:t>
      </w:r>
      <w:r w:rsidRPr="00E80F36">
        <w:rPr>
          <w:b/>
          <w:szCs w:val="24"/>
        </w:rPr>
        <w:t>Floor, Heritage Tower</w:t>
      </w:r>
    </w:p>
    <w:p w:rsidR="00547ABC" w:rsidRPr="00E80F36" w:rsidRDefault="00547ABC" w:rsidP="00547ABC">
      <w:pPr>
        <w:tabs>
          <w:tab w:val="num" w:pos="0"/>
        </w:tabs>
        <w:suppressAutoHyphens w:val="0"/>
        <w:overflowPunct/>
        <w:autoSpaceDE/>
        <w:autoSpaceDN/>
        <w:adjustRightInd/>
        <w:textAlignment w:val="auto"/>
        <w:rPr>
          <w:b/>
          <w:szCs w:val="24"/>
        </w:rPr>
      </w:pPr>
      <w:r w:rsidRPr="00E80F36">
        <w:rPr>
          <w:b/>
          <w:szCs w:val="24"/>
        </w:rPr>
        <w:t>6</w:t>
      </w:r>
      <w:r w:rsidRPr="00E80F36">
        <w:rPr>
          <w:b/>
          <w:szCs w:val="24"/>
          <w:vertAlign w:val="superscript"/>
        </w:rPr>
        <w:t>th</w:t>
      </w:r>
      <w:r w:rsidRPr="00E80F36">
        <w:rPr>
          <w:b/>
          <w:szCs w:val="24"/>
        </w:rPr>
        <w:t xml:space="preserve"> Avenue Ridge West</w:t>
      </w:r>
    </w:p>
    <w:p w:rsidR="00547ABC" w:rsidRPr="00E80F36" w:rsidRDefault="00547ABC" w:rsidP="00547ABC">
      <w:pPr>
        <w:tabs>
          <w:tab w:val="num" w:pos="0"/>
        </w:tabs>
        <w:suppressAutoHyphens w:val="0"/>
        <w:overflowPunct/>
        <w:autoSpaceDE/>
        <w:autoSpaceDN/>
        <w:adjustRightInd/>
        <w:textAlignment w:val="auto"/>
        <w:rPr>
          <w:b/>
          <w:szCs w:val="24"/>
        </w:rPr>
      </w:pPr>
      <w:r w:rsidRPr="00E80F36">
        <w:rPr>
          <w:b/>
          <w:szCs w:val="24"/>
        </w:rPr>
        <w:t>Accra, Ghana</w:t>
      </w:r>
    </w:p>
    <w:p w:rsidR="00547ABC" w:rsidRDefault="00547ABC" w:rsidP="00547ABC">
      <w:pPr>
        <w:ind w:left="360" w:hanging="360"/>
        <w:jc w:val="both"/>
        <w:rPr>
          <w:b/>
        </w:rPr>
      </w:pPr>
      <w:r w:rsidRPr="00E80F36">
        <w:rPr>
          <w:b/>
          <w:szCs w:val="24"/>
          <w:lang w:val="fr-FR"/>
        </w:rPr>
        <w:t>Email</w:t>
      </w:r>
      <w:r>
        <w:rPr>
          <w:b/>
          <w:szCs w:val="24"/>
          <w:lang w:val="fr-FR"/>
        </w:rPr>
        <w:t xml:space="preserve">: </w:t>
      </w:r>
      <w:hyperlink r:id="rId13" w:history="1">
        <w:r w:rsidRPr="00E80F36">
          <w:rPr>
            <w:b/>
            <w:color w:val="0000FF"/>
            <w:szCs w:val="24"/>
            <w:u w:val="single"/>
            <w:lang w:val="fr-FR"/>
          </w:rPr>
          <w:t>paghana@charleskendall.com</w:t>
        </w:r>
      </w:hyperlink>
      <w:r w:rsidRPr="00E80F36">
        <w:rPr>
          <w:b/>
          <w:szCs w:val="24"/>
          <w:lang w:val="fr-FR"/>
        </w:rPr>
        <w:t xml:space="preserve">   </w:t>
      </w:r>
    </w:p>
    <w:p w:rsidR="00547ABC" w:rsidRDefault="00547ABC" w:rsidP="00547ABC">
      <w:pPr>
        <w:ind w:left="360" w:hanging="360"/>
        <w:jc w:val="both"/>
        <w:rPr>
          <w:b/>
        </w:rPr>
      </w:pPr>
    </w:p>
    <w:p w:rsidR="006E627C" w:rsidRDefault="006E627C" w:rsidP="00547ABC">
      <w:pPr>
        <w:ind w:left="360" w:hanging="360"/>
        <w:jc w:val="both"/>
        <w:rPr>
          <w:b/>
        </w:rPr>
      </w:pPr>
    </w:p>
    <w:p w:rsidR="006E627C" w:rsidRDefault="006E627C" w:rsidP="006E627C">
      <w:pPr>
        <w:ind w:left="360" w:hanging="360"/>
        <w:jc w:val="right"/>
        <w:rPr>
          <w:b/>
        </w:rPr>
      </w:pPr>
      <w:r>
        <w:rPr>
          <w:b/>
        </w:rPr>
        <w:t xml:space="preserve">SPN Issued Date: </w:t>
      </w:r>
      <w:r w:rsidR="00B23053">
        <w:rPr>
          <w:b/>
        </w:rPr>
        <w:t>14</w:t>
      </w:r>
      <w:r w:rsidR="00B23053" w:rsidRPr="00B23053">
        <w:rPr>
          <w:b/>
          <w:vertAlign w:val="superscript"/>
        </w:rPr>
        <w:t>th</w:t>
      </w:r>
      <w:r w:rsidR="00B23053">
        <w:rPr>
          <w:b/>
        </w:rPr>
        <w:t xml:space="preserve"> </w:t>
      </w:r>
      <w:r>
        <w:rPr>
          <w:b/>
        </w:rPr>
        <w:t>January, 2019.</w:t>
      </w:r>
    </w:p>
    <w:p w:rsidR="00547ABC" w:rsidRDefault="00547ABC" w:rsidP="00547ABC">
      <w:pPr>
        <w:ind w:left="360" w:hanging="360"/>
        <w:jc w:val="both"/>
        <w:rPr>
          <w:b/>
        </w:rPr>
      </w:pPr>
    </w:p>
    <w:p w:rsidR="00547ABC" w:rsidRPr="001B5AB3" w:rsidRDefault="00547ABC" w:rsidP="00547ABC">
      <w:pPr>
        <w:ind w:left="360" w:hanging="360"/>
        <w:jc w:val="both"/>
        <w:rPr>
          <w:b/>
        </w:rPr>
      </w:pPr>
    </w:p>
    <w:p w:rsidR="00547ABC" w:rsidRPr="001B5AB3" w:rsidRDefault="00547ABC" w:rsidP="00547ABC">
      <w:pPr>
        <w:ind w:left="360" w:hanging="360"/>
        <w:jc w:val="both"/>
        <w:rPr>
          <w:b/>
        </w:rPr>
      </w:pPr>
    </w:p>
    <w:p w:rsidR="005934FB" w:rsidRDefault="005934FB"/>
    <w:sectPr w:rsidR="005934F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300" w:rsidRDefault="00290300" w:rsidP="00207E8E">
      <w:r>
        <w:separator/>
      </w:r>
    </w:p>
  </w:endnote>
  <w:endnote w:type="continuationSeparator" w:id="0">
    <w:p w:rsidR="00290300" w:rsidRDefault="00290300" w:rsidP="00207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183595"/>
      <w:docPartObj>
        <w:docPartGallery w:val="Page Numbers (Bottom of Page)"/>
        <w:docPartUnique/>
      </w:docPartObj>
    </w:sdtPr>
    <w:sdtEndPr>
      <w:rPr>
        <w:color w:val="7F7F7F" w:themeColor="background1" w:themeShade="7F"/>
        <w:spacing w:val="60"/>
      </w:rPr>
    </w:sdtEndPr>
    <w:sdtContent>
      <w:p w:rsidR="00207E8E" w:rsidRDefault="00207E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54DB">
          <w:rPr>
            <w:noProof/>
          </w:rPr>
          <w:t>2</w:t>
        </w:r>
        <w:r>
          <w:rPr>
            <w:noProof/>
          </w:rPr>
          <w:fldChar w:fldCharType="end"/>
        </w:r>
        <w:r>
          <w:t xml:space="preserve"> | </w:t>
        </w:r>
        <w:r>
          <w:rPr>
            <w:color w:val="7F7F7F" w:themeColor="background1" w:themeShade="7F"/>
            <w:spacing w:val="60"/>
          </w:rPr>
          <w:t>Page</w:t>
        </w:r>
      </w:p>
    </w:sdtContent>
  </w:sdt>
  <w:p w:rsidR="00207E8E" w:rsidRDefault="00207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300" w:rsidRDefault="00290300" w:rsidP="00207E8E">
      <w:r>
        <w:separator/>
      </w:r>
    </w:p>
  </w:footnote>
  <w:footnote w:type="continuationSeparator" w:id="0">
    <w:p w:rsidR="00290300" w:rsidRDefault="00290300" w:rsidP="00207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D6B5D"/>
    <w:multiLevelType w:val="hybridMultilevel"/>
    <w:tmpl w:val="4CACC72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870DD6"/>
    <w:multiLevelType w:val="hybridMultilevel"/>
    <w:tmpl w:val="7DE0671A"/>
    <w:lvl w:ilvl="0" w:tplc="A8901A66">
      <w:start w:val="1"/>
      <w:numFmt w:val="decimal"/>
      <w:pStyle w:val="SimpleList"/>
      <w:lvlText w:val="%1."/>
      <w:lvlJc w:val="left"/>
      <w:pPr>
        <w:tabs>
          <w:tab w:val="num" w:pos="720"/>
        </w:tabs>
        <w:ind w:left="720" w:hanging="720"/>
      </w:pPr>
      <w:rPr>
        <w:rFonts w:ascii="Times New Roman" w:hAnsi="Times New Roman" w:cs="Times New Roman"/>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BC"/>
    <w:rsid w:val="000C54DB"/>
    <w:rsid w:val="00207E8E"/>
    <w:rsid w:val="00290300"/>
    <w:rsid w:val="00300A09"/>
    <w:rsid w:val="003F3E2E"/>
    <w:rsid w:val="00547ABC"/>
    <w:rsid w:val="005934FB"/>
    <w:rsid w:val="005A17E0"/>
    <w:rsid w:val="006E627C"/>
    <w:rsid w:val="006F060E"/>
    <w:rsid w:val="007867ED"/>
    <w:rsid w:val="0098557C"/>
    <w:rsid w:val="00B13D79"/>
    <w:rsid w:val="00B23053"/>
    <w:rsid w:val="00B41CA2"/>
    <w:rsid w:val="00BD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70FBD-A84E-46D1-8970-01E640B2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ABC"/>
    <w:pPr>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547ABC"/>
    <w:rPr>
      <w:sz w:val="16"/>
      <w:szCs w:val="16"/>
    </w:rPr>
  </w:style>
  <w:style w:type="character" w:styleId="Hyperlink">
    <w:name w:val="Hyperlink"/>
    <w:aliases w:val="TOC ADB"/>
    <w:uiPriority w:val="99"/>
    <w:qFormat/>
    <w:rsid w:val="00547ABC"/>
    <w:rPr>
      <w:color w:val="0000FF"/>
      <w:u w:val="single"/>
    </w:rPr>
  </w:style>
  <w:style w:type="paragraph" w:styleId="List">
    <w:name w:val="List"/>
    <w:aliases w:val="1. List"/>
    <w:basedOn w:val="Normal"/>
    <w:rsid w:val="00547ABC"/>
    <w:pPr>
      <w:ind w:left="360" w:hanging="360"/>
    </w:pPr>
  </w:style>
  <w:style w:type="paragraph" w:customStyle="1" w:styleId="Text">
    <w:name w:val="Text"/>
    <w:basedOn w:val="Normal"/>
    <w:link w:val="TextChar"/>
    <w:qFormat/>
    <w:rsid w:val="00547ABC"/>
    <w:pPr>
      <w:spacing w:before="120" w:after="120"/>
      <w:jc w:val="both"/>
    </w:pPr>
    <w:rPr>
      <w:szCs w:val="24"/>
    </w:rPr>
  </w:style>
  <w:style w:type="character" w:customStyle="1" w:styleId="TextChar">
    <w:name w:val="Text Char"/>
    <w:link w:val="Text"/>
    <w:rsid w:val="00547ABC"/>
    <w:rPr>
      <w:rFonts w:ascii="Times New Roman" w:eastAsia="Times New Roman" w:hAnsi="Times New Roman" w:cs="Times New Roman"/>
      <w:sz w:val="24"/>
      <w:szCs w:val="24"/>
    </w:rPr>
  </w:style>
  <w:style w:type="paragraph" w:customStyle="1" w:styleId="itbrightnobullet">
    <w:name w:val="itb right (no bullet)"/>
    <w:basedOn w:val="Text"/>
    <w:link w:val="itbrightnobulletChar"/>
    <w:rsid w:val="00547ABC"/>
    <w:pPr>
      <w:widowControl w:val="0"/>
      <w:tabs>
        <w:tab w:val="left" w:pos="576"/>
      </w:tabs>
      <w:suppressAutoHyphens w:val="0"/>
      <w:overflowPunct/>
      <w:ind w:left="576"/>
      <w:textAlignment w:val="auto"/>
    </w:pPr>
    <w:rPr>
      <w:rFonts w:eastAsia="SimSun"/>
      <w:szCs w:val="28"/>
      <w:lang w:eastAsia="zh-CN"/>
    </w:rPr>
  </w:style>
  <w:style w:type="character" w:customStyle="1" w:styleId="itbrightnobulletChar">
    <w:name w:val="itb right (no bullet) Char"/>
    <w:link w:val="itbrightnobullet"/>
    <w:rsid w:val="00547ABC"/>
    <w:rPr>
      <w:rFonts w:ascii="Times New Roman" w:eastAsia="SimSun" w:hAnsi="Times New Roman" w:cs="Times New Roman"/>
      <w:sz w:val="24"/>
      <w:szCs w:val="28"/>
      <w:lang w:eastAsia="zh-CN"/>
    </w:rPr>
  </w:style>
  <w:style w:type="paragraph" w:styleId="ListParagraph">
    <w:name w:val="List Paragraph"/>
    <w:aliases w:val="kepala,Citation List,Graphic,List Paragraph1,Table of contents numbered,List Paragraph (bulleted list),Bullet 1 List,Bullet Styles para,Figure_name,Equipment,Numbered Indented Text,List Paragraph Char Char Char,List Paragraph Char Char,Ha"/>
    <w:basedOn w:val="Normal"/>
    <w:link w:val="ListParagraphChar"/>
    <w:uiPriority w:val="34"/>
    <w:qFormat/>
    <w:rsid w:val="00547ABC"/>
    <w:pPr>
      <w:ind w:left="720"/>
    </w:pPr>
  </w:style>
  <w:style w:type="paragraph" w:customStyle="1" w:styleId="SimpleList">
    <w:name w:val="Simple List"/>
    <w:basedOn w:val="Text"/>
    <w:rsid w:val="00547ABC"/>
    <w:pPr>
      <w:widowControl w:val="0"/>
      <w:numPr>
        <w:numId w:val="1"/>
      </w:numPr>
      <w:tabs>
        <w:tab w:val="clear" w:pos="720"/>
        <w:tab w:val="num" w:pos="360"/>
      </w:tabs>
      <w:suppressAutoHyphens w:val="0"/>
      <w:overflowPunct/>
      <w:spacing w:before="0" w:after="0"/>
      <w:ind w:left="0" w:firstLine="0"/>
      <w:textAlignment w:val="auto"/>
    </w:pPr>
    <w:rPr>
      <w:rFonts w:eastAsia="SimSun"/>
      <w:szCs w:val="28"/>
      <w:lang w:eastAsia="zh-CN"/>
    </w:rPr>
  </w:style>
  <w:style w:type="character" w:customStyle="1" w:styleId="ListParagraphChar">
    <w:name w:val="List Paragraph Char"/>
    <w:aliases w:val="kepala Char,Citation List Char,Graphic Char,List Paragraph1 Char,Table of contents numbered Char,List Paragraph (bulleted list) Char,Bullet 1 List Char,Bullet Styles para Char,Figure_name Char,Equipment Char,Ha Char"/>
    <w:link w:val="ListParagraph"/>
    <w:uiPriority w:val="34"/>
    <w:qFormat/>
    <w:locked/>
    <w:rsid w:val="00547ABC"/>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207E8E"/>
    <w:pPr>
      <w:tabs>
        <w:tab w:val="center" w:pos="4680"/>
        <w:tab w:val="right" w:pos="9360"/>
      </w:tabs>
    </w:pPr>
  </w:style>
  <w:style w:type="character" w:customStyle="1" w:styleId="HeaderChar">
    <w:name w:val="Header Char"/>
    <w:basedOn w:val="DefaultParagraphFont"/>
    <w:link w:val="Header"/>
    <w:uiPriority w:val="99"/>
    <w:rsid w:val="00207E8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07E8E"/>
    <w:pPr>
      <w:tabs>
        <w:tab w:val="center" w:pos="4680"/>
        <w:tab w:val="right" w:pos="9360"/>
      </w:tabs>
    </w:pPr>
  </w:style>
  <w:style w:type="character" w:customStyle="1" w:styleId="FooterChar">
    <w:name w:val="Footer Char"/>
    <w:basedOn w:val="DefaultParagraphFont"/>
    <w:link w:val="Footer"/>
    <w:uiPriority w:val="99"/>
    <w:rsid w:val="00207E8E"/>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C54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4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c.gov" TargetMode="External"/><Relationship Id="rId13" Type="http://schemas.openxmlformats.org/officeDocument/2006/relationships/hyperlink" Target="mailto:paghana@charleskendal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aghana@charleskendal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cc.gov/p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ida.gov.gh" TargetMode="External"/><Relationship Id="rId4" Type="http://schemas.openxmlformats.org/officeDocument/2006/relationships/webSettings" Target="webSettings.xml"/><Relationship Id="rId9" Type="http://schemas.openxmlformats.org/officeDocument/2006/relationships/hyperlink" Target="http://www.mida.gov.g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Ansu - Tutu</dc:creator>
  <cp:keywords/>
  <dc:description/>
  <cp:lastModifiedBy>Francis Baffoe - Ashun</cp:lastModifiedBy>
  <cp:revision>5</cp:revision>
  <cp:lastPrinted>2019-01-14T09:56:00Z</cp:lastPrinted>
  <dcterms:created xsi:type="dcterms:W3CDTF">2019-01-10T16:09:00Z</dcterms:created>
  <dcterms:modified xsi:type="dcterms:W3CDTF">2019-01-14T10:24:00Z</dcterms:modified>
</cp:coreProperties>
</file>