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9718" w14:textId="77777777" w:rsidR="009238A6" w:rsidRDefault="00000000">
      <w:pPr>
        <w:pStyle w:val="aa"/>
        <w:jc w:val="center"/>
      </w:pPr>
      <w:r>
        <w:t>404STREETWEAR</w:t>
      </w:r>
      <w:r>
        <w:br/>
        <w:t>Financial Plan</w:t>
      </w:r>
    </w:p>
    <w:p w14:paraId="40373C40" w14:textId="77777777" w:rsidR="009238A6" w:rsidRDefault="00000000">
      <w:pPr>
        <w:jc w:val="center"/>
      </w:pPr>
      <w:r>
        <w:t>Prepared by: Daniyar</w:t>
      </w:r>
    </w:p>
    <w:p w14:paraId="220F367F" w14:textId="77777777" w:rsidR="009238A6" w:rsidRDefault="00000000">
      <w:pPr>
        <w:jc w:val="center"/>
      </w:pPr>
      <w:r>
        <w:t>Date: 19 May 2025</w:t>
      </w:r>
    </w:p>
    <w:p w14:paraId="3CAA7869" w14:textId="77777777" w:rsidR="009238A6" w:rsidRDefault="00000000">
      <w:r>
        <w:br w:type="page"/>
      </w:r>
    </w:p>
    <w:p w14:paraId="72DA188D" w14:textId="77777777" w:rsidR="009238A6" w:rsidRDefault="00000000">
      <w:pPr>
        <w:pStyle w:val="1"/>
      </w:pPr>
      <w:r>
        <w:lastRenderedPageBreak/>
        <w:t>Table of Contents</w:t>
      </w:r>
    </w:p>
    <w:p w14:paraId="33ECD335" w14:textId="77777777" w:rsidR="009238A6" w:rsidRDefault="00000000">
      <w:pPr>
        <w:pStyle w:val="a"/>
      </w:pPr>
      <w:r>
        <w:t>1. Introduction &amp; Purpose</w:t>
      </w:r>
    </w:p>
    <w:p w14:paraId="1F6F6701" w14:textId="77777777" w:rsidR="009238A6" w:rsidRDefault="00000000">
      <w:pPr>
        <w:pStyle w:val="a"/>
      </w:pPr>
      <w:r>
        <w:t>2. Financial Objectives</w:t>
      </w:r>
    </w:p>
    <w:p w14:paraId="0FCF6789" w14:textId="77777777" w:rsidR="009238A6" w:rsidRDefault="00000000">
      <w:pPr>
        <w:pStyle w:val="a"/>
      </w:pPr>
      <w:r>
        <w:t>3. Revenue Model</w:t>
      </w:r>
    </w:p>
    <w:p w14:paraId="22C3A1E7" w14:textId="77777777" w:rsidR="009238A6" w:rsidRDefault="00000000">
      <w:pPr>
        <w:pStyle w:val="a"/>
      </w:pPr>
      <w:r>
        <w:t>4. Sales Forecast</w:t>
      </w:r>
    </w:p>
    <w:p w14:paraId="4626D80F" w14:textId="77777777" w:rsidR="009238A6" w:rsidRDefault="00000000">
      <w:pPr>
        <w:pStyle w:val="a"/>
      </w:pPr>
      <w:r>
        <w:t>5. Cost of Goods Sold (COGS) &amp; Gross Margin</w:t>
      </w:r>
    </w:p>
    <w:p w14:paraId="5B3B99AE" w14:textId="77777777" w:rsidR="009238A6" w:rsidRDefault="00000000">
      <w:pPr>
        <w:pStyle w:val="a"/>
      </w:pPr>
      <w:r>
        <w:t>6. Operating Expenditures (OPEX)</w:t>
      </w:r>
    </w:p>
    <w:p w14:paraId="18838713" w14:textId="77777777" w:rsidR="009238A6" w:rsidRDefault="00000000">
      <w:pPr>
        <w:pStyle w:val="a"/>
      </w:pPr>
      <w:r>
        <w:t>7. Capital Expenditures (CAPEX)</w:t>
      </w:r>
    </w:p>
    <w:p w14:paraId="08E195BC" w14:textId="77777777" w:rsidR="009238A6" w:rsidRDefault="00000000">
      <w:pPr>
        <w:pStyle w:val="a"/>
      </w:pPr>
      <w:r>
        <w:t>8. Cash Flow Projection</w:t>
      </w:r>
    </w:p>
    <w:p w14:paraId="5139F8C1" w14:textId="77777777" w:rsidR="009238A6" w:rsidRDefault="00000000">
      <w:pPr>
        <w:pStyle w:val="a"/>
      </w:pPr>
      <w:r>
        <w:t>9. Break-even Analysis</w:t>
      </w:r>
    </w:p>
    <w:p w14:paraId="3808EB71" w14:textId="77777777" w:rsidR="009238A6" w:rsidRDefault="00000000">
      <w:pPr>
        <w:pStyle w:val="a"/>
      </w:pPr>
      <w:r>
        <w:t>10. Profit &amp; Loss Projection</w:t>
      </w:r>
    </w:p>
    <w:p w14:paraId="493D1409" w14:textId="77777777" w:rsidR="009238A6" w:rsidRDefault="00000000">
      <w:pPr>
        <w:pStyle w:val="a"/>
      </w:pPr>
      <w:r>
        <w:t>11. Sensitivity Analysis</w:t>
      </w:r>
    </w:p>
    <w:p w14:paraId="473669C5" w14:textId="77777777" w:rsidR="009238A6" w:rsidRDefault="00000000">
      <w:pPr>
        <w:pStyle w:val="a"/>
      </w:pPr>
      <w:r>
        <w:t>12. Funding Requirements &amp; Use of Funds</w:t>
      </w:r>
    </w:p>
    <w:p w14:paraId="0D8495DE" w14:textId="77777777" w:rsidR="009238A6" w:rsidRDefault="00000000">
      <w:pPr>
        <w:pStyle w:val="a"/>
      </w:pPr>
      <w:r>
        <w:t>13. Risk Analysis &amp; Mitigation</w:t>
      </w:r>
    </w:p>
    <w:p w14:paraId="32761D52" w14:textId="77777777" w:rsidR="009238A6" w:rsidRDefault="00000000">
      <w:pPr>
        <w:pStyle w:val="a"/>
      </w:pPr>
      <w:r>
        <w:t>14. Key Financial Ratios &amp; Metrics</w:t>
      </w:r>
    </w:p>
    <w:p w14:paraId="784FAB0D" w14:textId="77777777" w:rsidR="009238A6" w:rsidRDefault="00000000">
      <w:pPr>
        <w:pStyle w:val="a"/>
      </w:pPr>
      <w:r>
        <w:t>15. Appendices: Assumptions</w:t>
      </w:r>
    </w:p>
    <w:p w14:paraId="236210E1" w14:textId="77777777" w:rsidR="009238A6" w:rsidRDefault="00000000">
      <w:r>
        <w:br w:type="page"/>
      </w:r>
    </w:p>
    <w:p w14:paraId="042E44A9" w14:textId="77777777" w:rsidR="009238A6" w:rsidRDefault="00000000">
      <w:pPr>
        <w:pStyle w:val="1"/>
      </w:pPr>
      <w:r>
        <w:lastRenderedPageBreak/>
        <w:t>1. Introduction &amp; Purpose</w:t>
      </w:r>
    </w:p>
    <w:p w14:paraId="7E0CAE5B" w14:textId="77777777" w:rsidR="009238A6" w:rsidRDefault="00000000">
      <w:r>
        <w:t>The purpose of this financial plan is to provide a detailed, data-driven overview of 404STREETWEAR’s projected financial performance over the next three fiscal years. It is intended for academic evaluation and to guide management decision‑making as the brand transitions from launch phase to sustainable growth. The document anticipates common scrutiny points—cash sufficiency, margin resilience, and risk exposure—often raised by instructors and investment analysts alike.</w:t>
      </w:r>
    </w:p>
    <w:p w14:paraId="4789C448" w14:textId="77777777" w:rsidR="009238A6" w:rsidRDefault="00000000">
      <w:pPr>
        <w:pStyle w:val="1"/>
      </w:pPr>
      <w:r>
        <w:t>2. Financial Objectives</w:t>
      </w:r>
    </w:p>
    <w:p w14:paraId="0B3BD54D" w14:textId="77777777" w:rsidR="009238A6" w:rsidRDefault="00000000">
      <w:pPr>
        <w:pStyle w:val="a0"/>
      </w:pPr>
      <w:r>
        <w:t>Achieve monthly break‑even by Month 10 of Year 1.</w:t>
      </w:r>
    </w:p>
    <w:p w14:paraId="1172A7F8" w14:textId="77777777" w:rsidR="009238A6" w:rsidRDefault="00000000">
      <w:pPr>
        <w:pStyle w:val="a0"/>
      </w:pPr>
      <w:r>
        <w:t>Reach a cumulative gross margin of ≥60 % by the end of Year 1.</w:t>
      </w:r>
    </w:p>
    <w:p w14:paraId="76A28306" w14:textId="77777777" w:rsidR="009238A6" w:rsidRDefault="00000000">
      <w:pPr>
        <w:pStyle w:val="a0"/>
      </w:pPr>
      <w:r>
        <w:t>Repay 100 % of initial equity investment (₸12.1 million) within 12 months.</w:t>
      </w:r>
    </w:p>
    <w:p w14:paraId="53896448" w14:textId="77777777" w:rsidR="009238A6" w:rsidRDefault="00000000">
      <w:pPr>
        <w:pStyle w:val="a0"/>
      </w:pPr>
      <w:r>
        <w:t>Maintain a minimum cash buffer equivalent to two months of fixed OPEX.</w:t>
      </w:r>
    </w:p>
    <w:p w14:paraId="58D8F599" w14:textId="77777777" w:rsidR="009238A6" w:rsidRDefault="00000000">
      <w:pPr>
        <w:pStyle w:val="a0"/>
      </w:pPr>
      <w:r>
        <w:t>Expand SKU count by 30 % annually without compromising inventory turnover (target: ≤90 days).</w:t>
      </w:r>
    </w:p>
    <w:p w14:paraId="1652C773" w14:textId="77777777" w:rsidR="009238A6" w:rsidRDefault="00000000">
      <w:pPr>
        <w:pStyle w:val="1"/>
      </w:pPr>
      <w:r>
        <w:t>3. Revenue Model</w:t>
      </w:r>
    </w:p>
    <w:p w14:paraId="00BA4A97" w14:textId="77777777" w:rsidR="009238A6" w:rsidRDefault="00000000">
      <w:r>
        <w:t>404STREETWEAR generates revenue primarily through direct‑to‑consumer online sales, supplemented by temporary pop‑up stores and fashion‑event booths. The average retail price (ARP) per unit is projected at ₸18 000 (≈US$40). Ancillary revenue streams—custom embroidery, limited drops, and branded accessories—are expected to contribute 8 % of total sales beginning in Year 2.</w:t>
      </w:r>
    </w:p>
    <w:p w14:paraId="05CC4519" w14:textId="77777777" w:rsidR="009238A6" w:rsidRDefault="00000000">
      <w:pPr>
        <w:pStyle w:val="1"/>
      </w:pPr>
      <w:r>
        <w:t>4. Sales Forecast (Units &amp; Revenue)</w:t>
      </w:r>
    </w:p>
    <w:tbl>
      <w:tblPr>
        <w:tblStyle w:val="aff0"/>
        <w:tblW w:w="0" w:type="auto"/>
        <w:tblLook w:val="04A0" w:firstRow="1" w:lastRow="0" w:firstColumn="1" w:lastColumn="0" w:noHBand="0" w:noVBand="1"/>
      </w:tblPr>
      <w:tblGrid>
        <w:gridCol w:w="1728"/>
        <w:gridCol w:w="1728"/>
        <w:gridCol w:w="1728"/>
        <w:gridCol w:w="1728"/>
        <w:gridCol w:w="1728"/>
      </w:tblGrid>
      <w:tr w:rsidR="009238A6" w14:paraId="22D7BA24" w14:textId="77777777">
        <w:tc>
          <w:tcPr>
            <w:tcW w:w="1728" w:type="dxa"/>
          </w:tcPr>
          <w:p w14:paraId="08837314" w14:textId="77777777" w:rsidR="009238A6" w:rsidRDefault="00000000">
            <w:r>
              <w:t>Year</w:t>
            </w:r>
          </w:p>
        </w:tc>
        <w:tc>
          <w:tcPr>
            <w:tcW w:w="1728" w:type="dxa"/>
          </w:tcPr>
          <w:p w14:paraId="35E27E92" w14:textId="77777777" w:rsidR="009238A6" w:rsidRDefault="00000000">
            <w:r>
              <w:t>Units Sold</w:t>
            </w:r>
          </w:p>
        </w:tc>
        <w:tc>
          <w:tcPr>
            <w:tcW w:w="1728" w:type="dxa"/>
          </w:tcPr>
          <w:p w14:paraId="4D1E795E" w14:textId="77777777" w:rsidR="009238A6" w:rsidRDefault="00000000">
            <w:r>
              <w:t>Average Retail Price (₸)</w:t>
            </w:r>
          </w:p>
        </w:tc>
        <w:tc>
          <w:tcPr>
            <w:tcW w:w="1728" w:type="dxa"/>
          </w:tcPr>
          <w:p w14:paraId="2522DE65" w14:textId="77777777" w:rsidR="009238A6" w:rsidRDefault="00000000">
            <w:r>
              <w:t>Gross Revenue (₸ mil.)</w:t>
            </w:r>
          </w:p>
        </w:tc>
        <w:tc>
          <w:tcPr>
            <w:tcW w:w="1728" w:type="dxa"/>
          </w:tcPr>
          <w:p w14:paraId="45BA9AF6" w14:textId="77777777" w:rsidR="009238A6" w:rsidRDefault="00000000">
            <w:r>
              <w:t>YoY Growth %</w:t>
            </w:r>
          </w:p>
        </w:tc>
      </w:tr>
      <w:tr w:rsidR="009238A6" w14:paraId="19384155" w14:textId="77777777">
        <w:tc>
          <w:tcPr>
            <w:tcW w:w="1728" w:type="dxa"/>
          </w:tcPr>
          <w:p w14:paraId="490CCAB3" w14:textId="77777777" w:rsidR="009238A6" w:rsidRDefault="00000000">
            <w:r>
              <w:t>Year 1</w:t>
            </w:r>
          </w:p>
        </w:tc>
        <w:tc>
          <w:tcPr>
            <w:tcW w:w="1728" w:type="dxa"/>
          </w:tcPr>
          <w:p w14:paraId="0AC903C8" w14:textId="77777777" w:rsidR="009238A6" w:rsidRDefault="00000000">
            <w:r>
              <w:t>6 000</w:t>
            </w:r>
          </w:p>
        </w:tc>
        <w:tc>
          <w:tcPr>
            <w:tcW w:w="1728" w:type="dxa"/>
          </w:tcPr>
          <w:p w14:paraId="5CA2BF76" w14:textId="77777777" w:rsidR="009238A6" w:rsidRDefault="00000000">
            <w:r>
              <w:t>18 000</w:t>
            </w:r>
          </w:p>
        </w:tc>
        <w:tc>
          <w:tcPr>
            <w:tcW w:w="1728" w:type="dxa"/>
          </w:tcPr>
          <w:p w14:paraId="6A97E75C" w14:textId="77777777" w:rsidR="009238A6" w:rsidRDefault="00000000">
            <w:r>
              <w:t>108</w:t>
            </w:r>
          </w:p>
        </w:tc>
        <w:tc>
          <w:tcPr>
            <w:tcW w:w="1728" w:type="dxa"/>
          </w:tcPr>
          <w:p w14:paraId="609397ED" w14:textId="77777777" w:rsidR="009238A6" w:rsidRDefault="00000000">
            <w:r>
              <w:t>—</w:t>
            </w:r>
          </w:p>
        </w:tc>
      </w:tr>
      <w:tr w:rsidR="009238A6" w14:paraId="7E57A8FB" w14:textId="77777777">
        <w:tc>
          <w:tcPr>
            <w:tcW w:w="1728" w:type="dxa"/>
          </w:tcPr>
          <w:p w14:paraId="1E2F1261" w14:textId="77777777" w:rsidR="009238A6" w:rsidRDefault="00000000">
            <w:r>
              <w:t>Year 2</w:t>
            </w:r>
          </w:p>
        </w:tc>
        <w:tc>
          <w:tcPr>
            <w:tcW w:w="1728" w:type="dxa"/>
          </w:tcPr>
          <w:p w14:paraId="0EE0C512" w14:textId="77777777" w:rsidR="009238A6" w:rsidRDefault="00000000">
            <w:r>
              <w:t>9 000</w:t>
            </w:r>
          </w:p>
        </w:tc>
        <w:tc>
          <w:tcPr>
            <w:tcW w:w="1728" w:type="dxa"/>
          </w:tcPr>
          <w:p w14:paraId="5FF4EEFF" w14:textId="77777777" w:rsidR="009238A6" w:rsidRDefault="00000000">
            <w:r>
              <w:t>18 900</w:t>
            </w:r>
          </w:p>
        </w:tc>
        <w:tc>
          <w:tcPr>
            <w:tcW w:w="1728" w:type="dxa"/>
          </w:tcPr>
          <w:p w14:paraId="528193F6" w14:textId="77777777" w:rsidR="009238A6" w:rsidRDefault="00000000">
            <w:r>
              <w:t>170.1</w:t>
            </w:r>
          </w:p>
        </w:tc>
        <w:tc>
          <w:tcPr>
            <w:tcW w:w="1728" w:type="dxa"/>
          </w:tcPr>
          <w:p w14:paraId="501630B6" w14:textId="77777777" w:rsidR="009238A6" w:rsidRDefault="00000000">
            <w:r>
              <w:t>57 %</w:t>
            </w:r>
          </w:p>
        </w:tc>
      </w:tr>
      <w:tr w:rsidR="009238A6" w14:paraId="42B2DAC3" w14:textId="77777777">
        <w:tc>
          <w:tcPr>
            <w:tcW w:w="1728" w:type="dxa"/>
          </w:tcPr>
          <w:p w14:paraId="03FA907C" w14:textId="77777777" w:rsidR="009238A6" w:rsidRDefault="00000000">
            <w:r>
              <w:t>Year 3</w:t>
            </w:r>
          </w:p>
        </w:tc>
        <w:tc>
          <w:tcPr>
            <w:tcW w:w="1728" w:type="dxa"/>
          </w:tcPr>
          <w:p w14:paraId="3E859CB8" w14:textId="77777777" w:rsidR="009238A6" w:rsidRDefault="00000000">
            <w:r>
              <w:t>12 600</w:t>
            </w:r>
          </w:p>
        </w:tc>
        <w:tc>
          <w:tcPr>
            <w:tcW w:w="1728" w:type="dxa"/>
          </w:tcPr>
          <w:p w14:paraId="26DA171C" w14:textId="77777777" w:rsidR="009238A6" w:rsidRDefault="00000000">
            <w:r>
              <w:t>19 845</w:t>
            </w:r>
          </w:p>
        </w:tc>
        <w:tc>
          <w:tcPr>
            <w:tcW w:w="1728" w:type="dxa"/>
          </w:tcPr>
          <w:p w14:paraId="17B565F7" w14:textId="77777777" w:rsidR="009238A6" w:rsidRDefault="00000000">
            <w:r>
              <w:t>250.0</w:t>
            </w:r>
          </w:p>
        </w:tc>
        <w:tc>
          <w:tcPr>
            <w:tcW w:w="1728" w:type="dxa"/>
          </w:tcPr>
          <w:p w14:paraId="25157193" w14:textId="77777777" w:rsidR="009238A6" w:rsidRDefault="00000000">
            <w:r>
              <w:t>47 %</w:t>
            </w:r>
          </w:p>
        </w:tc>
      </w:tr>
    </w:tbl>
    <w:p w14:paraId="627F33D1" w14:textId="77777777" w:rsidR="009238A6" w:rsidRDefault="00000000">
      <w:r>
        <w:t>Unit projections assume a 50 % sales ramp in Year 2 driven by expanded product lines and a 40 % increase in digital ad spend efficiency. Year 3 growth moderates as the brand approaches market saturation within the primary demographic.</w:t>
      </w:r>
    </w:p>
    <w:p w14:paraId="44F3D5FB" w14:textId="77777777" w:rsidR="009238A6" w:rsidRDefault="00000000">
      <w:r>
        <w:br w:type="page"/>
      </w:r>
    </w:p>
    <w:p w14:paraId="5964DE17" w14:textId="77777777" w:rsidR="009238A6" w:rsidRDefault="00000000">
      <w:pPr>
        <w:pStyle w:val="1"/>
      </w:pPr>
      <w:r>
        <w:lastRenderedPageBreak/>
        <w:t>5. Cost of Goods Sold (COGS) &amp; Gross Margin</w:t>
      </w:r>
    </w:p>
    <w:p w14:paraId="0D50D028" w14:textId="77777777" w:rsidR="001959E0" w:rsidRPr="001959E0" w:rsidRDefault="001959E0" w:rsidP="001959E0">
      <w:pPr>
        <w:rPr>
          <w:lang w:val="ru-KZ"/>
        </w:rPr>
      </w:pPr>
      <w:r w:rsidRPr="001959E0">
        <w:rPr>
          <w:b/>
          <w:bCs/>
          <w:lang w:val="ru-KZ"/>
        </w:rPr>
        <w:t>5. Cost of Goods Sold (COGS) &amp; Gross Margin</w:t>
      </w:r>
      <w:r w:rsidRPr="001959E0">
        <w:rPr>
          <w:lang w:val="ru-KZ"/>
        </w:rPr>
        <w:br/>
        <w:t xml:space="preserve">COGS comprises manufacturing (fabric, trims, labor), inbound freight, quality control, and packaging. The initial per-unit COGS is </w:t>
      </w:r>
      <w:r w:rsidRPr="001959E0">
        <w:rPr>
          <w:b/>
          <w:bCs/>
          <w:lang w:val="ru-KZ"/>
        </w:rPr>
        <w:t>₸7 000 ≈ US $14</w:t>
      </w:r>
      <w:r w:rsidRPr="001959E0">
        <w:rPr>
          <w:lang w:val="ru-KZ"/>
        </w:rPr>
        <w:t>, yielding a gross margin of ≈ 61 %. Scale economies and supplier negotiations are forecast to lower COGS by 5 % annually.</w:t>
      </w:r>
    </w:p>
    <w:p w14:paraId="704E3F9B" w14:textId="77777777" w:rsidR="001959E0" w:rsidRPr="001959E0" w:rsidRDefault="001959E0" w:rsidP="001959E0">
      <w:pPr>
        <w:rPr>
          <w:lang w:val="ru-KZ"/>
        </w:rPr>
      </w:pPr>
      <w:r w:rsidRPr="001959E0">
        <w:rPr>
          <w:b/>
          <w:bCs/>
          <w:lang w:val="ru-KZ"/>
        </w:rPr>
        <w:t>Country of Origin:</w:t>
      </w:r>
      <w:r w:rsidRPr="001959E0">
        <w:rPr>
          <w:lang w:val="ru-KZ"/>
        </w:rPr>
        <w:t xml:space="preserve"> Financial projections assume that 70 % of Year 1 volume will be sourced from partner factories in </w:t>
      </w:r>
      <w:r w:rsidRPr="001959E0">
        <w:rPr>
          <w:b/>
          <w:bCs/>
          <w:lang w:val="ru-KZ"/>
        </w:rPr>
        <w:t>Turkey (Istanbul)</w:t>
      </w:r>
      <w:r w:rsidRPr="001959E0">
        <w:rPr>
          <w:lang w:val="ru-KZ"/>
        </w:rPr>
        <w:t xml:space="preserve"> and 30 % from factories in </w:t>
      </w:r>
      <w:r w:rsidRPr="001959E0">
        <w:rPr>
          <w:b/>
          <w:bCs/>
          <w:lang w:val="ru-KZ"/>
        </w:rPr>
        <w:t>Uzbekistan (Tashkent)</w:t>
      </w:r>
      <w:r w:rsidRPr="001959E0">
        <w:rPr>
          <w:lang w:val="ru-KZ"/>
        </w:rPr>
        <w:t xml:space="preserve">, with an average FOB cost of </w:t>
      </w:r>
      <w:r w:rsidRPr="001959E0">
        <w:rPr>
          <w:b/>
          <w:bCs/>
          <w:lang w:val="ru-KZ"/>
        </w:rPr>
        <w:t>US $14</w:t>
      </w:r>
      <w:r w:rsidRPr="001959E0">
        <w:rPr>
          <w:lang w:val="ru-KZ"/>
        </w:rPr>
        <w:t xml:space="preserve"> per unit.</w:t>
      </w:r>
    </w:p>
    <w:p w14:paraId="284018BB" w14:textId="77777777" w:rsidR="009238A6" w:rsidRDefault="00000000">
      <w:pPr>
        <w:pStyle w:val="1"/>
      </w:pPr>
      <w:r>
        <w:t>6. Operating Expenditures (Monthly Average, Year 1)</w:t>
      </w:r>
    </w:p>
    <w:tbl>
      <w:tblPr>
        <w:tblStyle w:val="aff0"/>
        <w:tblW w:w="0" w:type="auto"/>
        <w:tblLook w:val="04A0" w:firstRow="1" w:lastRow="0" w:firstColumn="1" w:lastColumn="0" w:noHBand="0" w:noVBand="1"/>
      </w:tblPr>
      <w:tblGrid>
        <w:gridCol w:w="2880"/>
        <w:gridCol w:w="2880"/>
        <w:gridCol w:w="2880"/>
      </w:tblGrid>
      <w:tr w:rsidR="009238A6" w14:paraId="4ADFCD58" w14:textId="77777777">
        <w:tc>
          <w:tcPr>
            <w:tcW w:w="2880" w:type="dxa"/>
          </w:tcPr>
          <w:p w14:paraId="3E018424" w14:textId="77777777" w:rsidR="009238A6" w:rsidRDefault="00000000">
            <w:r>
              <w:t>Category</w:t>
            </w:r>
          </w:p>
        </w:tc>
        <w:tc>
          <w:tcPr>
            <w:tcW w:w="2880" w:type="dxa"/>
          </w:tcPr>
          <w:p w14:paraId="5B373A7C" w14:textId="77777777" w:rsidR="009238A6" w:rsidRDefault="00000000">
            <w:r>
              <w:t>Monthly Cost (₸ ’000)</w:t>
            </w:r>
          </w:p>
        </w:tc>
        <w:tc>
          <w:tcPr>
            <w:tcW w:w="2880" w:type="dxa"/>
          </w:tcPr>
          <w:p w14:paraId="70CB85FA" w14:textId="77777777" w:rsidR="009238A6" w:rsidRDefault="00000000">
            <w:r>
              <w:t>Share of OPEX</w:t>
            </w:r>
          </w:p>
        </w:tc>
      </w:tr>
      <w:tr w:rsidR="009238A6" w14:paraId="5CEC8930" w14:textId="77777777">
        <w:tc>
          <w:tcPr>
            <w:tcW w:w="2880" w:type="dxa"/>
          </w:tcPr>
          <w:p w14:paraId="2A78707E" w14:textId="77777777" w:rsidR="009238A6" w:rsidRDefault="00000000">
            <w:r>
              <w:t>Payroll (6 FTE)</w:t>
            </w:r>
          </w:p>
        </w:tc>
        <w:tc>
          <w:tcPr>
            <w:tcW w:w="2880" w:type="dxa"/>
          </w:tcPr>
          <w:p w14:paraId="69804CBD" w14:textId="77777777" w:rsidR="009238A6" w:rsidRDefault="00000000">
            <w:r>
              <w:t>2 100</w:t>
            </w:r>
          </w:p>
        </w:tc>
        <w:tc>
          <w:tcPr>
            <w:tcW w:w="2880" w:type="dxa"/>
          </w:tcPr>
          <w:p w14:paraId="7A0CECFC" w14:textId="77777777" w:rsidR="009238A6" w:rsidRDefault="00000000">
            <w:r>
              <w:t>21 %</w:t>
            </w:r>
          </w:p>
        </w:tc>
      </w:tr>
      <w:tr w:rsidR="009238A6" w14:paraId="43452B25" w14:textId="77777777">
        <w:tc>
          <w:tcPr>
            <w:tcW w:w="2880" w:type="dxa"/>
          </w:tcPr>
          <w:p w14:paraId="7957EA33" w14:textId="77777777" w:rsidR="009238A6" w:rsidRDefault="00000000">
            <w:r>
              <w:t>Rent &amp; Utilities</w:t>
            </w:r>
          </w:p>
        </w:tc>
        <w:tc>
          <w:tcPr>
            <w:tcW w:w="2880" w:type="dxa"/>
          </w:tcPr>
          <w:p w14:paraId="3CC098B8" w14:textId="77777777" w:rsidR="009238A6" w:rsidRDefault="00000000">
            <w:r>
              <w:t>1 174</w:t>
            </w:r>
          </w:p>
        </w:tc>
        <w:tc>
          <w:tcPr>
            <w:tcW w:w="2880" w:type="dxa"/>
          </w:tcPr>
          <w:p w14:paraId="43AF9DCA" w14:textId="77777777" w:rsidR="009238A6" w:rsidRDefault="00000000">
            <w:r>
              <w:t>12 %</w:t>
            </w:r>
          </w:p>
        </w:tc>
      </w:tr>
      <w:tr w:rsidR="009238A6" w14:paraId="5D19E39F" w14:textId="77777777">
        <w:tc>
          <w:tcPr>
            <w:tcW w:w="2880" w:type="dxa"/>
          </w:tcPr>
          <w:p w14:paraId="4F94FF56" w14:textId="77777777" w:rsidR="009238A6" w:rsidRDefault="00000000">
            <w:r>
              <w:t>Manufacturing (variable)</w:t>
            </w:r>
          </w:p>
        </w:tc>
        <w:tc>
          <w:tcPr>
            <w:tcW w:w="2880" w:type="dxa"/>
          </w:tcPr>
          <w:p w14:paraId="2214585E" w14:textId="77777777" w:rsidR="009238A6" w:rsidRDefault="00000000">
            <w:r>
              <w:t>3 500</w:t>
            </w:r>
          </w:p>
        </w:tc>
        <w:tc>
          <w:tcPr>
            <w:tcW w:w="2880" w:type="dxa"/>
          </w:tcPr>
          <w:p w14:paraId="018EC4A0" w14:textId="77777777" w:rsidR="009238A6" w:rsidRDefault="00000000">
            <w:r>
              <w:t>35 %</w:t>
            </w:r>
          </w:p>
        </w:tc>
      </w:tr>
      <w:tr w:rsidR="009238A6" w14:paraId="178673AA" w14:textId="77777777">
        <w:tc>
          <w:tcPr>
            <w:tcW w:w="2880" w:type="dxa"/>
          </w:tcPr>
          <w:p w14:paraId="453E3F20" w14:textId="77777777" w:rsidR="009238A6" w:rsidRDefault="00000000">
            <w:r>
              <w:t>Marketing &amp; Advertising</w:t>
            </w:r>
          </w:p>
        </w:tc>
        <w:tc>
          <w:tcPr>
            <w:tcW w:w="2880" w:type="dxa"/>
          </w:tcPr>
          <w:p w14:paraId="0008974E" w14:textId="77777777" w:rsidR="009238A6" w:rsidRDefault="00000000">
            <w:r>
              <w:t>1 000</w:t>
            </w:r>
          </w:p>
        </w:tc>
        <w:tc>
          <w:tcPr>
            <w:tcW w:w="2880" w:type="dxa"/>
          </w:tcPr>
          <w:p w14:paraId="64A1354B" w14:textId="77777777" w:rsidR="009238A6" w:rsidRDefault="00000000">
            <w:r>
              <w:t>10 %</w:t>
            </w:r>
          </w:p>
        </w:tc>
      </w:tr>
      <w:tr w:rsidR="009238A6" w14:paraId="5FA9AF5A" w14:textId="77777777">
        <w:tc>
          <w:tcPr>
            <w:tcW w:w="2880" w:type="dxa"/>
          </w:tcPr>
          <w:p w14:paraId="1C0FF3B6" w14:textId="77777777" w:rsidR="009238A6" w:rsidRDefault="00000000">
            <w:r>
              <w:t>Fulfilment &amp; Shipping</w:t>
            </w:r>
          </w:p>
        </w:tc>
        <w:tc>
          <w:tcPr>
            <w:tcW w:w="2880" w:type="dxa"/>
          </w:tcPr>
          <w:p w14:paraId="2B055460" w14:textId="77777777" w:rsidR="009238A6" w:rsidRDefault="00000000">
            <w:r>
              <w:t>900</w:t>
            </w:r>
          </w:p>
        </w:tc>
        <w:tc>
          <w:tcPr>
            <w:tcW w:w="2880" w:type="dxa"/>
          </w:tcPr>
          <w:p w14:paraId="0682B6C1" w14:textId="77777777" w:rsidR="009238A6" w:rsidRDefault="00000000">
            <w:r>
              <w:t>9 %</w:t>
            </w:r>
          </w:p>
        </w:tc>
      </w:tr>
      <w:tr w:rsidR="009238A6" w14:paraId="402FFFDE" w14:textId="77777777">
        <w:tc>
          <w:tcPr>
            <w:tcW w:w="2880" w:type="dxa"/>
          </w:tcPr>
          <w:p w14:paraId="0BB8F41A" w14:textId="77777777" w:rsidR="009238A6" w:rsidRDefault="00000000">
            <w:r>
              <w:t>Payment Processing</w:t>
            </w:r>
          </w:p>
        </w:tc>
        <w:tc>
          <w:tcPr>
            <w:tcW w:w="2880" w:type="dxa"/>
          </w:tcPr>
          <w:p w14:paraId="51794C35" w14:textId="77777777" w:rsidR="009238A6" w:rsidRDefault="00000000">
            <w:r>
              <w:t>270</w:t>
            </w:r>
          </w:p>
        </w:tc>
        <w:tc>
          <w:tcPr>
            <w:tcW w:w="2880" w:type="dxa"/>
          </w:tcPr>
          <w:p w14:paraId="356D6106" w14:textId="77777777" w:rsidR="009238A6" w:rsidRDefault="00000000">
            <w:r>
              <w:t>3 %</w:t>
            </w:r>
          </w:p>
        </w:tc>
      </w:tr>
      <w:tr w:rsidR="009238A6" w14:paraId="6D4EDACD" w14:textId="77777777">
        <w:tc>
          <w:tcPr>
            <w:tcW w:w="2880" w:type="dxa"/>
          </w:tcPr>
          <w:p w14:paraId="0C77B594" w14:textId="77777777" w:rsidR="009238A6" w:rsidRDefault="00000000">
            <w:r>
              <w:t>Administration &amp; SaaS</w:t>
            </w:r>
          </w:p>
        </w:tc>
        <w:tc>
          <w:tcPr>
            <w:tcW w:w="2880" w:type="dxa"/>
          </w:tcPr>
          <w:p w14:paraId="677D9EA5" w14:textId="77777777" w:rsidR="009238A6" w:rsidRDefault="00000000">
            <w:r>
              <w:t>200</w:t>
            </w:r>
          </w:p>
        </w:tc>
        <w:tc>
          <w:tcPr>
            <w:tcW w:w="2880" w:type="dxa"/>
          </w:tcPr>
          <w:p w14:paraId="593BFC67" w14:textId="77777777" w:rsidR="009238A6" w:rsidRDefault="00000000">
            <w:r>
              <w:t>2 %</w:t>
            </w:r>
          </w:p>
        </w:tc>
      </w:tr>
      <w:tr w:rsidR="009238A6" w14:paraId="793C38E2" w14:textId="77777777">
        <w:tc>
          <w:tcPr>
            <w:tcW w:w="2880" w:type="dxa"/>
          </w:tcPr>
          <w:p w14:paraId="052CCD15" w14:textId="77777777" w:rsidR="009238A6" w:rsidRDefault="00000000">
            <w:r>
              <w:t>Security (Pavilion &amp; Warehouse)</w:t>
            </w:r>
          </w:p>
        </w:tc>
        <w:tc>
          <w:tcPr>
            <w:tcW w:w="2880" w:type="dxa"/>
          </w:tcPr>
          <w:p w14:paraId="22C4539B" w14:textId="77777777" w:rsidR="009238A6" w:rsidRDefault="00000000">
            <w:r>
              <w:t>150</w:t>
            </w:r>
          </w:p>
        </w:tc>
        <w:tc>
          <w:tcPr>
            <w:tcW w:w="2880" w:type="dxa"/>
          </w:tcPr>
          <w:p w14:paraId="60C824E4" w14:textId="77777777" w:rsidR="009238A6" w:rsidRDefault="00000000">
            <w:r>
              <w:t>1 %</w:t>
            </w:r>
          </w:p>
        </w:tc>
      </w:tr>
    </w:tbl>
    <w:p w14:paraId="165F3230" w14:textId="77777777" w:rsidR="009238A6" w:rsidRDefault="00000000">
      <w:r>
        <w:t>Total monthly OPEX for Year 1 is projected at ₸10 294 000. Variable manufacturing costs scale directly with sales volume, while fixed costs (rent, payroll, security) remain relatively constant, improving operating leverage over time.</w:t>
      </w:r>
    </w:p>
    <w:p w14:paraId="5D15071F" w14:textId="77777777" w:rsidR="009238A6" w:rsidRDefault="00000000">
      <w:r>
        <w:br w:type="page"/>
      </w:r>
    </w:p>
    <w:p w14:paraId="0ABF0622" w14:textId="77777777" w:rsidR="009238A6" w:rsidRDefault="00000000">
      <w:pPr>
        <w:pStyle w:val="1"/>
      </w:pPr>
      <w:r>
        <w:lastRenderedPageBreak/>
        <w:t>7. Capital Expenditures (CAPEX)</w:t>
      </w:r>
    </w:p>
    <w:p w14:paraId="5D5AFFF8" w14:textId="77777777" w:rsidR="009238A6" w:rsidRDefault="00000000">
      <w:r>
        <w:t>Initial CAPEX totals ₸12.1 million, allocated to e‑commerce infrastructure, branding, photography equipment, warehouse fit‑out, and the inaugural production run. Depreciation is calculated on a straight‑line basis over three years for physical assets and two years for web assets, in accordance with local GAAP.</w:t>
      </w:r>
    </w:p>
    <w:p w14:paraId="071AC116" w14:textId="77777777" w:rsidR="009238A6" w:rsidRDefault="00000000">
      <w:pPr>
        <w:pStyle w:val="1"/>
      </w:pPr>
      <w:r>
        <w:t>8. Cash Flow Projection (Year 1, ₸ ’000)</w:t>
      </w:r>
    </w:p>
    <w:tbl>
      <w:tblPr>
        <w:tblStyle w:val="aff0"/>
        <w:tblW w:w="0" w:type="auto"/>
        <w:tblLook w:val="04A0" w:firstRow="1" w:lastRow="0" w:firstColumn="1" w:lastColumn="0" w:noHBand="0" w:noVBand="1"/>
      </w:tblPr>
      <w:tblGrid>
        <w:gridCol w:w="2160"/>
        <w:gridCol w:w="2160"/>
        <w:gridCol w:w="2160"/>
        <w:gridCol w:w="2160"/>
      </w:tblGrid>
      <w:tr w:rsidR="009238A6" w14:paraId="5C7B3A9D" w14:textId="77777777">
        <w:tc>
          <w:tcPr>
            <w:tcW w:w="2160" w:type="dxa"/>
          </w:tcPr>
          <w:p w14:paraId="286E235D" w14:textId="77777777" w:rsidR="009238A6" w:rsidRDefault="00000000">
            <w:r>
              <w:t>Month</w:t>
            </w:r>
          </w:p>
        </w:tc>
        <w:tc>
          <w:tcPr>
            <w:tcW w:w="2160" w:type="dxa"/>
          </w:tcPr>
          <w:p w14:paraId="244F6D5F" w14:textId="77777777" w:rsidR="009238A6" w:rsidRDefault="00000000">
            <w:r>
              <w:t>Cash In</w:t>
            </w:r>
          </w:p>
        </w:tc>
        <w:tc>
          <w:tcPr>
            <w:tcW w:w="2160" w:type="dxa"/>
          </w:tcPr>
          <w:p w14:paraId="16238D09" w14:textId="77777777" w:rsidR="009238A6" w:rsidRDefault="00000000">
            <w:r>
              <w:t>Cash Out</w:t>
            </w:r>
          </w:p>
        </w:tc>
        <w:tc>
          <w:tcPr>
            <w:tcW w:w="2160" w:type="dxa"/>
          </w:tcPr>
          <w:p w14:paraId="6CE65C99" w14:textId="77777777" w:rsidR="009238A6" w:rsidRDefault="00000000">
            <w:r>
              <w:t>Net Flow</w:t>
            </w:r>
          </w:p>
        </w:tc>
      </w:tr>
      <w:tr w:rsidR="009238A6" w14:paraId="5DA5443D" w14:textId="77777777">
        <w:tc>
          <w:tcPr>
            <w:tcW w:w="2160" w:type="dxa"/>
          </w:tcPr>
          <w:p w14:paraId="58F9C10D" w14:textId="77777777" w:rsidR="009238A6" w:rsidRDefault="00000000">
            <w:r>
              <w:t>Jan</w:t>
            </w:r>
          </w:p>
        </w:tc>
        <w:tc>
          <w:tcPr>
            <w:tcW w:w="2160" w:type="dxa"/>
          </w:tcPr>
          <w:p w14:paraId="006FE898" w14:textId="77777777" w:rsidR="009238A6" w:rsidRDefault="00000000">
            <w:r>
              <w:t>3600</w:t>
            </w:r>
          </w:p>
        </w:tc>
        <w:tc>
          <w:tcPr>
            <w:tcW w:w="2160" w:type="dxa"/>
          </w:tcPr>
          <w:p w14:paraId="603AACAA" w14:textId="77777777" w:rsidR="009238A6" w:rsidRDefault="00000000">
            <w:r>
              <w:t>10294</w:t>
            </w:r>
          </w:p>
        </w:tc>
        <w:tc>
          <w:tcPr>
            <w:tcW w:w="2160" w:type="dxa"/>
          </w:tcPr>
          <w:p w14:paraId="45FEDE5C" w14:textId="77777777" w:rsidR="009238A6" w:rsidRDefault="00000000">
            <w:r>
              <w:t>-6694</w:t>
            </w:r>
          </w:p>
        </w:tc>
      </w:tr>
      <w:tr w:rsidR="009238A6" w14:paraId="4CF7593F" w14:textId="77777777">
        <w:tc>
          <w:tcPr>
            <w:tcW w:w="2160" w:type="dxa"/>
          </w:tcPr>
          <w:p w14:paraId="2837C9AE" w14:textId="77777777" w:rsidR="009238A6" w:rsidRDefault="00000000">
            <w:r>
              <w:t>Feb</w:t>
            </w:r>
          </w:p>
        </w:tc>
        <w:tc>
          <w:tcPr>
            <w:tcW w:w="2160" w:type="dxa"/>
          </w:tcPr>
          <w:p w14:paraId="7F40D2CD" w14:textId="77777777" w:rsidR="009238A6" w:rsidRDefault="00000000">
            <w:r>
              <w:t>4050</w:t>
            </w:r>
          </w:p>
        </w:tc>
        <w:tc>
          <w:tcPr>
            <w:tcW w:w="2160" w:type="dxa"/>
          </w:tcPr>
          <w:p w14:paraId="74E40452" w14:textId="77777777" w:rsidR="009238A6" w:rsidRDefault="00000000">
            <w:r>
              <w:t>10294</w:t>
            </w:r>
          </w:p>
        </w:tc>
        <w:tc>
          <w:tcPr>
            <w:tcW w:w="2160" w:type="dxa"/>
          </w:tcPr>
          <w:p w14:paraId="6A86B5BF" w14:textId="77777777" w:rsidR="009238A6" w:rsidRDefault="00000000">
            <w:r>
              <w:t>-6244</w:t>
            </w:r>
          </w:p>
        </w:tc>
      </w:tr>
      <w:tr w:rsidR="009238A6" w14:paraId="0FCBA7F8" w14:textId="77777777">
        <w:tc>
          <w:tcPr>
            <w:tcW w:w="2160" w:type="dxa"/>
          </w:tcPr>
          <w:p w14:paraId="48279F33" w14:textId="77777777" w:rsidR="009238A6" w:rsidRDefault="00000000">
            <w:r>
              <w:t>Mar</w:t>
            </w:r>
          </w:p>
        </w:tc>
        <w:tc>
          <w:tcPr>
            <w:tcW w:w="2160" w:type="dxa"/>
          </w:tcPr>
          <w:p w14:paraId="33135526" w14:textId="77777777" w:rsidR="009238A6" w:rsidRDefault="00000000">
            <w:r>
              <w:t>5400</w:t>
            </w:r>
          </w:p>
        </w:tc>
        <w:tc>
          <w:tcPr>
            <w:tcW w:w="2160" w:type="dxa"/>
          </w:tcPr>
          <w:p w14:paraId="07B662AF" w14:textId="77777777" w:rsidR="009238A6" w:rsidRDefault="00000000">
            <w:r>
              <w:t>10294</w:t>
            </w:r>
          </w:p>
        </w:tc>
        <w:tc>
          <w:tcPr>
            <w:tcW w:w="2160" w:type="dxa"/>
          </w:tcPr>
          <w:p w14:paraId="7AF478CF" w14:textId="77777777" w:rsidR="009238A6" w:rsidRDefault="00000000">
            <w:r>
              <w:t>-4894</w:t>
            </w:r>
          </w:p>
        </w:tc>
      </w:tr>
      <w:tr w:rsidR="009238A6" w14:paraId="07C92B2C" w14:textId="77777777">
        <w:tc>
          <w:tcPr>
            <w:tcW w:w="2160" w:type="dxa"/>
          </w:tcPr>
          <w:p w14:paraId="12F797DC" w14:textId="77777777" w:rsidR="009238A6" w:rsidRDefault="00000000">
            <w:r>
              <w:t>Apr</w:t>
            </w:r>
          </w:p>
        </w:tc>
        <w:tc>
          <w:tcPr>
            <w:tcW w:w="2160" w:type="dxa"/>
          </w:tcPr>
          <w:p w14:paraId="3F898054" w14:textId="77777777" w:rsidR="009238A6" w:rsidRDefault="00000000">
            <w:r>
              <w:t>6300</w:t>
            </w:r>
          </w:p>
        </w:tc>
        <w:tc>
          <w:tcPr>
            <w:tcW w:w="2160" w:type="dxa"/>
          </w:tcPr>
          <w:p w14:paraId="190CF334" w14:textId="77777777" w:rsidR="009238A6" w:rsidRDefault="00000000">
            <w:r>
              <w:t>10294</w:t>
            </w:r>
          </w:p>
        </w:tc>
        <w:tc>
          <w:tcPr>
            <w:tcW w:w="2160" w:type="dxa"/>
          </w:tcPr>
          <w:p w14:paraId="20DADFD1" w14:textId="77777777" w:rsidR="009238A6" w:rsidRDefault="00000000">
            <w:r>
              <w:t>-3994</w:t>
            </w:r>
          </w:p>
        </w:tc>
      </w:tr>
      <w:tr w:rsidR="009238A6" w14:paraId="4AFFA4F3" w14:textId="77777777">
        <w:tc>
          <w:tcPr>
            <w:tcW w:w="2160" w:type="dxa"/>
          </w:tcPr>
          <w:p w14:paraId="4B89ED15" w14:textId="77777777" w:rsidR="009238A6" w:rsidRDefault="00000000">
            <w:r>
              <w:t>May</w:t>
            </w:r>
          </w:p>
        </w:tc>
        <w:tc>
          <w:tcPr>
            <w:tcW w:w="2160" w:type="dxa"/>
          </w:tcPr>
          <w:p w14:paraId="05591E04" w14:textId="77777777" w:rsidR="009238A6" w:rsidRDefault="00000000">
            <w:r>
              <w:t>7200</w:t>
            </w:r>
          </w:p>
        </w:tc>
        <w:tc>
          <w:tcPr>
            <w:tcW w:w="2160" w:type="dxa"/>
          </w:tcPr>
          <w:p w14:paraId="46E13BB2" w14:textId="77777777" w:rsidR="009238A6" w:rsidRDefault="00000000">
            <w:r>
              <w:t>10294</w:t>
            </w:r>
          </w:p>
        </w:tc>
        <w:tc>
          <w:tcPr>
            <w:tcW w:w="2160" w:type="dxa"/>
          </w:tcPr>
          <w:p w14:paraId="49BBF700" w14:textId="77777777" w:rsidR="009238A6" w:rsidRDefault="00000000">
            <w:r>
              <w:t>-3094</w:t>
            </w:r>
          </w:p>
        </w:tc>
      </w:tr>
      <w:tr w:rsidR="009238A6" w14:paraId="0C4AD516" w14:textId="77777777">
        <w:tc>
          <w:tcPr>
            <w:tcW w:w="2160" w:type="dxa"/>
          </w:tcPr>
          <w:p w14:paraId="4C67D1F9" w14:textId="77777777" w:rsidR="009238A6" w:rsidRDefault="00000000">
            <w:r>
              <w:t>Jun</w:t>
            </w:r>
          </w:p>
        </w:tc>
        <w:tc>
          <w:tcPr>
            <w:tcW w:w="2160" w:type="dxa"/>
          </w:tcPr>
          <w:p w14:paraId="45EF132D" w14:textId="77777777" w:rsidR="009238A6" w:rsidRDefault="00000000">
            <w:r>
              <w:t>8100</w:t>
            </w:r>
          </w:p>
        </w:tc>
        <w:tc>
          <w:tcPr>
            <w:tcW w:w="2160" w:type="dxa"/>
          </w:tcPr>
          <w:p w14:paraId="7FBF7764" w14:textId="77777777" w:rsidR="009238A6" w:rsidRDefault="00000000">
            <w:r>
              <w:t>10294</w:t>
            </w:r>
          </w:p>
        </w:tc>
        <w:tc>
          <w:tcPr>
            <w:tcW w:w="2160" w:type="dxa"/>
          </w:tcPr>
          <w:p w14:paraId="6F54338F" w14:textId="77777777" w:rsidR="009238A6" w:rsidRDefault="00000000">
            <w:r>
              <w:t>-2194</w:t>
            </w:r>
          </w:p>
        </w:tc>
      </w:tr>
      <w:tr w:rsidR="009238A6" w14:paraId="4DF48986" w14:textId="77777777">
        <w:tc>
          <w:tcPr>
            <w:tcW w:w="2160" w:type="dxa"/>
          </w:tcPr>
          <w:p w14:paraId="2DDD6245" w14:textId="77777777" w:rsidR="009238A6" w:rsidRDefault="00000000">
            <w:r>
              <w:t>Jul</w:t>
            </w:r>
          </w:p>
        </w:tc>
        <w:tc>
          <w:tcPr>
            <w:tcW w:w="2160" w:type="dxa"/>
          </w:tcPr>
          <w:p w14:paraId="210FAA2A" w14:textId="77777777" w:rsidR="009238A6" w:rsidRDefault="00000000">
            <w:r>
              <w:t>8550</w:t>
            </w:r>
          </w:p>
        </w:tc>
        <w:tc>
          <w:tcPr>
            <w:tcW w:w="2160" w:type="dxa"/>
          </w:tcPr>
          <w:p w14:paraId="70FFD077" w14:textId="77777777" w:rsidR="009238A6" w:rsidRDefault="00000000">
            <w:r>
              <w:t>10294</w:t>
            </w:r>
          </w:p>
        </w:tc>
        <w:tc>
          <w:tcPr>
            <w:tcW w:w="2160" w:type="dxa"/>
          </w:tcPr>
          <w:p w14:paraId="20ED62D0" w14:textId="77777777" w:rsidR="009238A6" w:rsidRDefault="00000000">
            <w:r>
              <w:t>-1744</w:t>
            </w:r>
          </w:p>
        </w:tc>
      </w:tr>
      <w:tr w:rsidR="009238A6" w14:paraId="1840DAC2" w14:textId="77777777">
        <w:tc>
          <w:tcPr>
            <w:tcW w:w="2160" w:type="dxa"/>
          </w:tcPr>
          <w:p w14:paraId="394CA9DB" w14:textId="77777777" w:rsidR="009238A6" w:rsidRDefault="00000000">
            <w:r>
              <w:t>Aug</w:t>
            </w:r>
          </w:p>
        </w:tc>
        <w:tc>
          <w:tcPr>
            <w:tcW w:w="2160" w:type="dxa"/>
          </w:tcPr>
          <w:p w14:paraId="4D1CF7AC" w14:textId="77777777" w:rsidR="009238A6" w:rsidRDefault="00000000">
            <w:r>
              <w:t>8820</w:t>
            </w:r>
          </w:p>
        </w:tc>
        <w:tc>
          <w:tcPr>
            <w:tcW w:w="2160" w:type="dxa"/>
          </w:tcPr>
          <w:p w14:paraId="6B565567" w14:textId="77777777" w:rsidR="009238A6" w:rsidRDefault="00000000">
            <w:r>
              <w:t>10294</w:t>
            </w:r>
          </w:p>
        </w:tc>
        <w:tc>
          <w:tcPr>
            <w:tcW w:w="2160" w:type="dxa"/>
          </w:tcPr>
          <w:p w14:paraId="6A173B0A" w14:textId="77777777" w:rsidR="009238A6" w:rsidRDefault="00000000">
            <w:r>
              <w:t>-1474</w:t>
            </w:r>
          </w:p>
        </w:tc>
      </w:tr>
      <w:tr w:rsidR="009238A6" w14:paraId="61442E45" w14:textId="77777777">
        <w:tc>
          <w:tcPr>
            <w:tcW w:w="2160" w:type="dxa"/>
          </w:tcPr>
          <w:p w14:paraId="0B14FC14" w14:textId="77777777" w:rsidR="009238A6" w:rsidRDefault="00000000">
            <w:r>
              <w:t>Sep</w:t>
            </w:r>
          </w:p>
        </w:tc>
        <w:tc>
          <w:tcPr>
            <w:tcW w:w="2160" w:type="dxa"/>
          </w:tcPr>
          <w:p w14:paraId="3F173633" w14:textId="77777777" w:rsidR="009238A6" w:rsidRDefault="00000000">
            <w:r>
              <w:t>9450</w:t>
            </w:r>
          </w:p>
        </w:tc>
        <w:tc>
          <w:tcPr>
            <w:tcW w:w="2160" w:type="dxa"/>
          </w:tcPr>
          <w:p w14:paraId="78871F6F" w14:textId="77777777" w:rsidR="009238A6" w:rsidRDefault="00000000">
            <w:r>
              <w:t>10294</w:t>
            </w:r>
          </w:p>
        </w:tc>
        <w:tc>
          <w:tcPr>
            <w:tcW w:w="2160" w:type="dxa"/>
          </w:tcPr>
          <w:p w14:paraId="72CDEE84" w14:textId="77777777" w:rsidR="009238A6" w:rsidRDefault="00000000">
            <w:r>
              <w:t>-844</w:t>
            </w:r>
          </w:p>
        </w:tc>
      </w:tr>
      <w:tr w:rsidR="009238A6" w14:paraId="00532F1D" w14:textId="77777777">
        <w:tc>
          <w:tcPr>
            <w:tcW w:w="2160" w:type="dxa"/>
          </w:tcPr>
          <w:p w14:paraId="0FAFF1B3" w14:textId="77777777" w:rsidR="009238A6" w:rsidRDefault="00000000">
            <w:r>
              <w:t>Oct</w:t>
            </w:r>
          </w:p>
        </w:tc>
        <w:tc>
          <w:tcPr>
            <w:tcW w:w="2160" w:type="dxa"/>
          </w:tcPr>
          <w:p w14:paraId="6BD81154" w14:textId="77777777" w:rsidR="009238A6" w:rsidRDefault="00000000">
            <w:r>
              <w:t>10350</w:t>
            </w:r>
          </w:p>
        </w:tc>
        <w:tc>
          <w:tcPr>
            <w:tcW w:w="2160" w:type="dxa"/>
          </w:tcPr>
          <w:p w14:paraId="5B1DB149" w14:textId="77777777" w:rsidR="009238A6" w:rsidRDefault="00000000">
            <w:r>
              <w:t>10294</w:t>
            </w:r>
          </w:p>
        </w:tc>
        <w:tc>
          <w:tcPr>
            <w:tcW w:w="2160" w:type="dxa"/>
          </w:tcPr>
          <w:p w14:paraId="1D271B68" w14:textId="77777777" w:rsidR="009238A6" w:rsidRDefault="00000000">
            <w:r>
              <w:t>56</w:t>
            </w:r>
          </w:p>
        </w:tc>
      </w:tr>
      <w:tr w:rsidR="009238A6" w14:paraId="4A0A2113" w14:textId="77777777">
        <w:tc>
          <w:tcPr>
            <w:tcW w:w="2160" w:type="dxa"/>
          </w:tcPr>
          <w:p w14:paraId="12432635" w14:textId="77777777" w:rsidR="009238A6" w:rsidRDefault="00000000">
            <w:r>
              <w:t>Nov</w:t>
            </w:r>
          </w:p>
        </w:tc>
        <w:tc>
          <w:tcPr>
            <w:tcW w:w="2160" w:type="dxa"/>
          </w:tcPr>
          <w:p w14:paraId="351D7B59" w14:textId="77777777" w:rsidR="009238A6" w:rsidRDefault="00000000">
            <w:r>
              <w:t>11250</w:t>
            </w:r>
          </w:p>
        </w:tc>
        <w:tc>
          <w:tcPr>
            <w:tcW w:w="2160" w:type="dxa"/>
          </w:tcPr>
          <w:p w14:paraId="4711E11A" w14:textId="77777777" w:rsidR="009238A6" w:rsidRDefault="00000000">
            <w:r>
              <w:t>10294</w:t>
            </w:r>
          </w:p>
        </w:tc>
        <w:tc>
          <w:tcPr>
            <w:tcW w:w="2160" w:type="dxa"/>
          </w:tcPr>
          <w:p w14:paraId="13F57159" w14:textId="77777777" w:rsidR="009238A6" w:rsidRDefault="00000000">
            <w:r>
              <w:t>956</w:t>
            </w:r>
          </w:p>
        </w:tc>
      </w:tr>
      <w:tr w:rsidR="009238A6" w14:paraId="219C70DB" w14:textId="77777777">
        <w:tc>
          <w:tcPr>
            <w:tcW w:w="2160" w:type="dxa"/>
          </w:tcPr>
          <w:p w14:paraId="01A3A328" w14:textId="77777777" w:rsidR="009238A6" w:rsidRDefault="00000000">
            <w:r>
              <w:t>Dec</w:t>
            </w:r>
          </w:p>
        </w:tc>
        <w:tc>
          <w:tcPr>
            <w:tcW w:w="2160" w:type="dxa"/>
          </w:tcPr>
          <w:p w14:paraId="7DB6F36B" w14:textId="77777777" w:rsidR="009238A6" w:rsidRDefault="00000000">
            <w:r>
              <w:t>12330</w:t>
            </w:r>
          </w:p>
        </w:tc>
        <w:tc>
          <w:tcPr>
            <w:tcW w:w="2160" w:type="dxa"/>
          </w:tcPr>
          <w:p w14:paraId="6EA5516C" w14:textId="77777777" w:rsidR="009238A6" w:rsidRDefault="00000000">
            <w:r>
              <w:t>10294</w:t>
            </w:r>
          </w:p>
        </w:tc>
        <w:tc>
          <w:tcPr>
            <w:tcW w:w="2160" w:type="dxa"/>
          </w:tcPr>
          <w:p w14:paraId="573183DC" w14:textId="77777777" w:rsidR="009238A6" w:rsidRDefault="00000000">
            <w:r>
              <w:t>2036</w:t>
            </w:r>
          </w:p>
        </w:tc>
      </w:tr>
    </w:tbl>
    <w:p w14:paraId="09A2448C" w14:textId="77777777" w:rsidR="009238A6" w:rsidRDefault="00000000">
      <w:r>
        <w:t>Negative net cash flow is expected for the first eight months; the cumulative cash balance turns positive in Month 10, assuming equity funding of ₸15 million at launch.</w:t>
      </w:r>
    </w:p>
    <w:p w14:paraId="312C712C" w14:textId="77777777" w:rsidR="009238A6" w:rsidRDefault="00000000">
      <w:r>
        <w:br w:type="page"/>
      </w:r>
    </w:p>
    <w:p w14:paraId="10FE7550" w14:textId="77777777" w:rsidR="009238A6" w:rsidRDefault="00000000">
      <w:pPr>
        <w:pStyle w:val="1"/>
      </w:pPr>
      <w:r>
        <w:lastRenderedPageBreak/>
        <w:t>9. Break-even Analysis</w:t>
      </w:r>
    </w:p>
    <w:p w14:paraId="0CE726C1" w14:textId="77777777" w:rsidR="009238A6" w:rsidRDefault="00000000">
      <w:r>
        <w:t>With an average contribution margin of ₸11 000 per unit, the company must sell ≈620 units per month to cover fixed costs. This threshold is forecast to be reached in September (Month 9). Sensitivity testing indicates that a 10 % rise in COGS would shift break‑even to Month 11 unless offset by price optimization.</w:t>
      </w:r>
    </w:p>
    <w:p w14:paraId="1AC65F6E" w14:textId="77777777" w:rsidR="009238A6" w:rsidRDefault="00000000">
      <w:pPr>
        <w:pStyle w:val="1"/>
      </w:pPr>
      <w:r>
        <w:t>10. Profit &amp; Loss Projection (₸ ’000)</w:t>
      </w:r>
    </w:p>
    <w:tbl>
      <w:tblPr>
        <w:tblStyle w:val="aff0"/>
        <w:tblW w:w="0" w:type="auto"/>
        <w:tblLook w:val="04A0" w:firstRow="1" w:lastRow="0" w:firstColumn="1" w:lastColumn="0" w:noHBand="0" w:noVBand="1"/>
      </w:tblPr>
      <w:tblGrid>
        <w:gridCol w:w="1728"/>
        <w:gridCol w:w="1728"/>
        <w:gridCol w:w="1728"/>
        <w:gridCol w:w="1728"/>
        <w:gridCol w:w="1728"/>
      </w:tblGrid>
      <w:tr w:rsidR="009238A6" w14:paraId="675F8ECC" w14:textId="77777777">
        <w:tc>
          <w:tcPr>
            <w:tcW w:w="1728" w:type="dxa"/>
          </w:tcPr>
          <w:p w14:paraId="4747C3F8" w14:textId="77777777" w:rsidR="009238A6" w:rsidRDefault="00000000">
            <w:r>
              <w:t>Year</w:t>
            </w:r>
          </w:p>
        </w:tc>
        <w:tc>
          <w:tcPr>
            <w:tcW w:w="1728" w:type="dxa"/>
          </w:tcPr>
          <w:p w14:paraId="2735E619" w14:textId="77777777" w:rsidR="009238A6" w:rsidRDefault="00000000">
            <w:r>
              <w:t>Revenue</w:t>
            </w:r>
          </w:p>
        </w:tc>
        <w:tc>
          <w:tcPr>
            <w:tcW w:w="1728" w:type="dxa"/>
          </w:tcPr>
          <w:p w14:paraId="59C9213A" w14:textId="77777777" w:rsidR="009238A6" w:rsidRDefault="00000000">
            <w:r>
              <w:t>COGS</w:t>
            </w:r>
          </w:p>
        </w:tc>
        <w:tc>
          <w:tcPr>
            <w:tcW w:w="1728" w:type="dxa"/>
          </w:tcPr>
          <w:p w14:paraId="140C873D" w14:textId="77777777" w:rsidR="009238A6" w:rsidRDefault="00000000">
            <w:r>
              <w:t>Gross Profit</w:t>
            </w:r>
          </w:p>
        </w:tc>
        <w:tc>
          <w:tcPr>
            <w:tcW w:w="1728" w:type="dxa"/>
          </w:tcPr>
          <w:p w14:paraId="3FACE87B" w14:textId="77777777" w:rsidR="009238A6" w:rsidRDefault="00000000">
            <w:r>
              <w:t>Net Profit</w:t>
            </w:r>
          </w:p>
        </w:tc>
      </w:tr>
      <w:tr w:rsidR="009238A6" w14:paraId="286181D6" w14:textId="77777777">
        <w:tc>
          <w:tcPr>
            <w:tcW w:w="1728" w:type="dxa"/>
          </w:tcPr>
          <w:p w14:paraId="0AA8E684" w14:textId="77777777" w:rsidR="009238A6" w:rsidRDefault="00000000">
            <w:r>
              <w:t>Year 1</w:t>
            </w:r>
          </w:p>
        </w:tc>
        <w:tc>
          <w:tcPr>
            <w:tcW w:w="1728" w:type="dxa"/>
          </w:tcPr>
          <w:p w14:paraId="0CA01C9D" w14:textId="77777777" w:rsidR="009238A6" w:rsidRDefault="00000000">
            <w:r>
              <w:t>108 000</w:t>
            </w:r>
          </w:p>
        </w:tc>
        <w:tc>
          <w:tcPr>
            <w:tcW w:w="1728" w:type="dxa"/>
          </w:tcPr>
          <w:p w14:paraId="75767186" w14:textId="77777777" w:rsidR="009238A6" w:rsidRDefault="00000000">
            <w:r>
              <w:t>42 000</w:t>
            </w:r>
          </w:p>
        </w:tc>
        <w:tc>
          <w:tcPr>
            <w:tcW w:w="1728" w:type="dxa"/>
          </w:tcPr>
          <w:p w14:paraId="5BEE0E40" w14:textId="77777777" w:rsidR="009238A6" w:rsidRDefault="00000000">
            <w:r>
              <w:t>66 000</w:t>
            </w:r>
          </w:p>
        </w:tc>
        <w:tc>
          <w:tcPr>
            <w:tcW w:w="1728" w:type="dxa"/>
          </w:tcPr>
          <w:p w14:paraId="56A58EBB" w14:textId="77777777" w:rsidR="009238A6" w:rsidRDefault="00000000">
            <w:r>
              <w:t>-6 000</w:t>
            </w:r>
          </w:p>
        </w:tc>
      </w:tr>
      <w:tr w:rsidR="009238A6" w14:paraId="2CF34173" w14:textId="77777777">
        <w:tc>
          <w:tcPr>
            <w:tcW w:w="1728" w:type="dxa"/>
          </w:tcPr>
          <w:p w14:paraId="3FBEC9C8" w14:textId="77777777" w:rsidR="009238A6" w:rsidRDefault="00000000">
            <w:r>
              <w:t>Year 2</w:t>
            </w:r>
          </w:p>
        </w:tc>
        <w:tc>
          <w:tcPr>
            <w:tcW w:w="1728" w:type="dxa"/>
          </w:tcPr>
          <w:p w14:paraId="154FCBBC" w14:textId="77777777" w:rsidR="009238A6" w:rsidRDefault="00000000">
            <w:r>
              <w:t>170 100</w:t>
            </w:r>
          </w:p>
        </w:tc>
        <w:tc>
          <w:tcPr>
            <w:tcW w:w="1728" w:type="dxa"/>
          </w:tcPr>
          <w:p w14:paraId="3147A91D" w14:textId="77777777" w:rsidR="009238A6" w:rsidRDefault="00000000">
            <w:r>
              <w:t>64 260</w:t>
            </w:r>
          </w:p>
        </w:tc>
        <w:tc>
          <w:tcPr>
            <w:tcW w:w="1728" w:type="dxa"/>
          </w:tcPr>
          <w:p w14:paraId="252F91C2" w14:textId="77777777" w:rsidR="009238A6" w:rsidRDefault="00000000">
            <w:r>
              <w:t>105 840</w:t>
            </w:r>
          </w:p>
        </w:tc>
        <w:tc>
          <w:tcPr>
            <w:tcW w:w="1728" w:type="dxa"/>
          </w:tcPr>
          <w:p w14:paraId="2CF7793F" w14:textId="77777777" w:rsidR="009238A6" w:rsidRDefault="00000000">
            <w:r>
              <w:t>12 500</w:t>
            </w:r>
          </w:p>
        </w:tc>
      </w:tr>
      <w:tr w:rsidR="009238A6" w14:paraId="15DAA4F7" w14:textId="77777777">
        <w:tc>
          <w:tcPr>
            <w:tcW w:w="1728" w:type="dxa"/>
          </w:tcPr>
          <w:p w14:paraId="0B22B145" w14:textId="77777777" w:rsidR="009238A6" w:rsidRDefault="00000000">
            <w:r>
              <w:t>Year 3</w:t>
            </w:r>
          </w:p>
        </w:tc>
        <w:tc>
          <w:tcPr>
            <w:tcW w:w="1728" w:type="dxa"/>
          </w:tcPr>
          <w:p w14:paraId="4CF76B66" w14:textId="77777777" w:rsidR="009238A6" w:rsidRDefault="00000000">
            <w:r>
              <w:t>250 000</w:t>
            </w:r>
          </w:p>
        </w:tc>
        <w:tc>
          <w:tcPr>
            <w:tcW w:w="1728" w:type="dxa"/>
          </w:tcPr>
          <w:p w14:paraId="4ADFFEE5" w14:textId="77777777" w:rsidR="009238A6" w:rsidRDefault="00000000">
            <w:r>
              <w:t>88 200</w:t>
            </w:r>
          </w:p>
        </w:tc>
        <w:tc>
          <w:tcPr>
            <w:tcW w:w="1728" w:type="dxa"/>
          </w:tcPr>
          <w:p w14:paraId="0E42850A" w14:textId="77777777" w:rsidR="009238A6" w:rsidRDefault="00000000">
            <w:r>
              <w:t>161 800</w:t>
            </w:r>
          </w:p>
        </w:tc>
        <w:tc>
          <w:tcPr>
            <w:tcW w:w="1728" w:type="dxa"/>
          </w:tcPr>
          <w:p w14:paraId="28F68F0D" w14:textId="77777777" w:rsidR="009238A6" w:rsidRDefault="00000000">
            <w:r>
              <w:t>39 000</w:t>
            </w:r>
          </w:p>
        </w:tc>
      </w:tr>
    </w:tbl>
    <w:p w14:paraId="7FF756E4" w14:textId="77777777" w:rsidR="009238A6" w:rsidRDefault="00000000">
      <w:r>
        <w:br w:type="page"/>
      </w:r>
    </w:p>
    <w:p w14:paraId="4ECD6DC0" w14:textId="77777777" w:rsidR="009238A6" w:rsidRDefault="00000000">
      <w:pPr>
        <w:pStyle w:val="1"/>
      </w:pPr>
      <w:r>
        <w:lastRenderedPageBreak/>
        <w:t>11. Sensitivity Analysis</w:t>
      </w:r>
    </w:p>
    <w:p w14:paraId="39F84195" w14:textId="77777777" w:rsidR="009238A6" w:rsidRDefault="00000000">
      <w:r>
        <w:t>Three scenarios were modelled:</w:t>
      </w:r>
      <w:r>
        <w:br/>
        <w:t>• **Base Case** – Assumptions as per Sections 3‑6.</w:t>
      </w:r>
      <w:r>
        <w:br/>
        <w:t>• **Downside Case** – 15 % lower sales volume and 5 % higher COGS. Result: negative EBITDA persists into Year 2; additional ₸6 million bridge financing required.</w:t>
      </w:r>
      <w:r>
        <w:br/>
        <w:t>• **Upside Case** – 20 % higher conversion rate and 10 % reduction in digital CAC. Result: payback achieved in Month </w:t>
      </w:r>
      <w:proofErr w:type="gramStart"/>
      <w:r>
        <w:t>7,</w:t>
      </w:r>
      <w:proofErr w:type="gramEnd"/>
      <w:r>
        <w:t xml:space="preserve"> Year 1 net profit turns positive.</w:t>
      </w:r>
    </w:p>
    <w:p w14:paraId="03F8BB03" w14:textId="77777777" w:rsidR="009238A6" w:rsidRDefault="00000000">
      <w:pPr>
        <w:pStyle w:val="1"/>
      </w:pPr>
      <w:r>
        <w:t>12. Funding Requirements &amp; Use of Funds</w:t>
      </w:r>
    </w:p>
    <w:p w14:paraId="782B194F" w14:textId="77777777" w:rsidR="009238A6" w:rsidRDefault="00000000">
      <w:r>
        <w:t>Total funding sought: **₸15 million** equity. Uses: CAPEX ₸12.1 m; working capital ₸2.4 m; contingency ₸0.5 m. The founders retain 80 % ownership post‑money, leaving 20 % available for seed investors.</w:t>
      </w:r>
    </w:p>
    <w:p w14:paraId="2876E6E2" w14:textId="77777777" w:rsidR="009238A6" w:rsidRDefault="00000000">
      <w:pPr>
        <w:pStyle w:val="1"/>
      </w:pPr>
      <w:r>
        <w:t>13. Risk Analysis &amp; Mitigation</w:t>
      </w:r>
    </w:p>
    <w:p w14:paraId="74843740" w14:textId="77777777" w:rsidR="009238A6" w:rsidRDefault="00000000">
      <w:r>
        <w:rPr>
          <w:b/>
        </w:rPr>
        <w:t xml:space="preserve">Risk: Supply Chain Disruption – </w:t>
      </w:r>
      <w:r>
        <w:t>Mitigation: Establish dual‑sourcing agreements; maintain safety stock.</w:t>
      </w:r>
    </w:p>
    <w:p w14:paraId="0F489993" w14:textId="77777777" w:rsidR="009238A6" w:rsidRDefault="00000000">
      <w:r>
        <w:rPr>
          <w:b/>
        </w:rPr>
        <w:t xml:space="preserve">Risk: Currency Fluctuation – </w:t>
      </w:r>
      <w:r>
        <w:t>Mitigation: Price inputs in KZT; hedge USD exposure via forward contracts.</w:t>
      </w:r>
    </w:p>
    <w:p w14:paraId="6F3851AC" w14:textId="77777777" w:rsidR="009238A6" w:rsidRDefault="00000000">
      <w:r>
        <w:rPr>
          <w:b/>
        </w:rPr>
        <w:t xml:space="preserve">Risk: Platform Algorithm Changes – </w:t>
      </w:r>
      <w:r>
        <w:t>Mitigation: Diversify traffic sources; build owned e‑mail/SMS lists.</w:t>
      </w:r>
    </w:p>
    <w:p w14:paraId="5EA2394E" w14:textId="77777777" w:rsidR="009238A6" w:rsidRDefault="00000000">
      <w:r>
        <w:rPr>
          <w:b/>
        </w:rPr>
        <w:t xml:space="preserve">Risk: Fashion Trend Obsolescence – </w:t>
      </w:r>
      <w:r>
        <w:t>Mitigation: Adopt rapid‑design sprints; launch micro‑capsule drops.</w:t>
      </w:r>
    </w:p>
    <w:p w14:paraId="107D4F10" w14:textId="77777777" w:rsidR="009238A6" w:rsidRDefault="00000000">
      <w:r>
        <w:rPr>
          <w:b/>
        </w:rPr>
        <w:t xml:space="preserve">Risk: Data Privacy Compliance – </w:t>
      </w:r>
      <w:r>
        <w:t>Mitigation: Implement GDPR‑equivalent policies; annual audit.</w:t>
      </w:r>
    </w:p>
    <w:p w14:paraId="324ED79B" w14:textId="77777777" w:rsidR="009238A6" w:rsidRDefault="00000000">
      <w:pPr>
        <w:pStyle w:val="1"/>
      </w:pPr>
      <w:r>
        <w:t>14. Key Financial Ratios &amp; Metrics</w:t>
      </w:r>
    </w:p>
    <w:p w14:paraId="15B21108" w14:textId="77777777" w:rsidR="009238A6" w:rsidRDefault="00000000">
      <w:r>
        <w:t>• Gross Margin: 61 % (Year 1) → 64 % (Year 3)</w:t>
      </w:r>
      <w:r>
        <w:br/>
        <w:t>• Operating Margin: –6 % (Year 1) → 16 % (Year 3)</w:t>
      </w:r>
      <w:r>
        <w:br/>
        <w:t>• Inventory Turnover: 4.0× (Year 1) → 5.5× (Year 3)</w:t>
      </w:r>
      <w:r>
        <w:br/>
        <w:t>• Customer Acquisition Cost (CAC): ₸3 500 → ₸2 600 by Year 3</w:t>
      </w:r>
      <w:r>
        <w:br/>
        <w:t>• Lifetime Value (LTV): ₸27 000 → ₸35 800</w:t>
      </w:r>
      <w:r>
        <w:br/>
        <w:t>• LTV/CAC Ratio: 7.7× by Year 3</w:t>
      </w:r>
    </w:p>
    <w:p w14:paraId="6B440A77" w14:textId="77777777" w:rsidR="009238A6" w:rsidRDefault="00000000">
      <w:pPr>
        <w:pStyle w:val="1"/>
      </w:pPr>
      <w:r>
        <w:t>15. Appendices: Key Assumptions</w:t>
      </w:r>
    </w:p>
    <w:p w14:paraId="2C5257AA" w14:textId="77777777" w:rsidR="009238A6" w:rsidRDefault="00000000">
      <w:pPr>
        <w:pStyle w:val="a0"/>
      </w:pPr>
      <w:r>
        <w:t>Exchange rate held constant at 1 USD = 450 KZT for modelling clarity.</w:t>
      </w:r>
    </w:p>
    <w:p w14:paraId="6DF9E5E7" w14:textId="77777777" w:rsidR="009238A6" w:rsidRDefault="00000000">
      <w:pPr>
        <w:pStyle w:val="a0"/>
      </w:pPr>
      <w:r>
        <w:t>Annual inflation at 7 %; rent escalations capped at 5 %.</w:t>
      </w:r>
    </w:p>
    <w:p w14:paraId="26F5C442" w14:textId="77777777" w:rsidR="009238A6" w:rsidRDefault="00000000">
      <w:pPr>
        <w:pStyle w:val="a0"/>
      </w:pPr>
      <w:r>
        <w:lastRenderedPageBreak/>
        <w:t>Payment gateway fee = 3 %; charge‑back rate &lt;0.5 %.</w:t>
      </w:r>
    </w:p>
    <w:p w14:paraId="3D76DCD6" w14:textId="77777777" w:rsidR="009238A6" w:rsidRDefault="00000000">
      <w:pPr>
        <w:pStyle w:val="a0"/>
      </w:pPr>
      <w:r>
        <w:t>Production lead time 45 days; inventory ordered quarterly.</w:t>
      </w:r>
    </w:p>
    <w:p w14:paraId="1402D4D0" w14:textId="77777777" w:rsidR="009238A6" w:rsidRDefault="00000000">
      <w:pPr>
        <w:pStyle w:val="a0"/>
      </w:pPr>
      <w:r>
        <w:t>No additional debt financing assumed in Years 1‑3.</w:t>
      </w:r>
    </w:p>
    <w:sectPr w:rsidR="00923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45335830">
    <w:abstractNumId w:val="8"/>
  </w:num>
  <w:num w:numId="2" w16cid:durableId="1871988151">
    <w:abstractNumId w:val="6"/>
  </w:num>
  <w:num w:numId="3" w16cid:durableId="165633711">
    <w:abstractNumId w:val="5"/>
  </w:num>
  <w:num w:numId="4" w16cid:durableId="618755165">
    <w:abstractNumId w:val="4"/>
  </w:num>
  <w:num w:numId="5" w16cid:durableId="639118943">
    <w:abstractNumId w:val="7"/>
  </w:num>
  <w:num w:numId="6" w16cid:durableId="986714041">
    <w:abstractNumId w:val="3"/>
  </w:num>
  <w:num w:numId="7" w16cid:durableId="302658662">
    <w:abstractNumId w:val="2"/>
  </w:num>
  <w:num w:numId="8" w16cid:durableId="1662852875">
    <w:abstractNumId w:val="1"/>
  </w:num>
  <w:num w:numId="9" w16cid:durableId="22499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9E0"/>
    <w:rsid w:val="001F5608"/>
    <w:rsid w:val="00223C5C"/>
    <w:rsid w:val="0029639D"/>
    <w:rsid w:val="00326F90"/>
    <w:rsid w:val="00375003"/>
    <w:rsid w:val="0082271B"/>
    <w:rsid w:val="009238A6"/>
    <w:rsid w:val="00AA1D8D"/>
    <w:rsid w:val="00AB14D0"/>
    <w:rsid w:val="00B47730"/>
    <w:rsid w:val="00CB0664"/>
    <w:rsid w:val="00F87B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F4203"/>
  <w14:defaultImageDpi w14:val="300"/>
  <w15:docId w15:val="{66F0A4ED-BEDE-4E9C-846D-AD137D36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05739">
      <w:bodyDiv w:val="1"/>
      <w:marLeft w:val="0"/>
      <w:marRight w:val="0"/>
      <w:marTop w:val="0"/>
      <w:marBottom w:val="0"/>
      <w:divBdr>
        <w:top w:val="none" w:sz="0" w:space="0" w:color="auto"/>
        <w:left w:val="none" w:sz="0" w:space="0" w:color="auto"/>
        <w:bottom w:val="none" w:sz="0" w:space="0" w:color="auto"/>
        <w:right w:val="none" w:sz="0" w:space="0" w:color="auto"/>
      </w:divBdr>
    </w:div>
    <w:div w:id="309528099">
      <w:bodyDiv w:val="1"/>
      <w:marLeft w:val="0"/>
      <w:marRight w:val="0"/>
      <w:marTop w:val="0"/>
      <w:marBottom w:val="0"/>
      <w:divBdr>
        <w:top w:val="none" w:sz="0" w:space="0" w:color="auto"/>
        <w:left w:val="none" w:sz="0" w:space="0" w:color="auto"/>
        <w:bottom w:val="none" w:sz="0" w:space="0" w:color="auto"/>
        <w:right w:val="none" w:sz="0" w:space="0" w:color="auto"/>
      </w:divBdr>
    </w:div>
    <w:div w:id="801730479">
      <w:bodyDiv w:val="1"/>
      <w:marLeft w:val="0"/>
      <w:marRight w:val="0"/>
      <w:marTop w:val="0"/>
      <w:marBottom w:val="0"/>
      <w:divBdr>
        <w:top w:val="none" w:sz="0" w:space="0" w:color="auto"/>
        <w:left w:val="none" w:sz="0" w:space="0" w:color="auto"/>
        <w:bottom w:val="none" w:sz="0" w:space="0" w:color="auto"/>
        <w:right w:val="none" w:sz="0" w:space="0" w:color="auto"/>
      </w:divBdr>
    </w:div>
    <w:div w:id="942955477">
      <w:bodyDiv w:val="1"/>
      <w:marLeft w:val="0"/>
      <w:marRight w:val="0"/>
      <w:marTop w:val="0"/>
      <w:marBottom w:val="0"/>
      <w:divBdr>
        <w:top w:val="none" w:sz="0" w:space="0" w:color="auto"/>
        <w:left w:val="none" w:sz="0" w:space="0" w:color="auto"/>
        <w:bottom w:val="none" w:sz="0" w:space="0" w:color="auto"/>
        <w:right w:val="none" w:sz="0" w:space="0" w:color="auto"/>
      </w:divBdr>
    </w:div>
    <w:div w:id="1077363221">
      <w:bodyDiv w:val="1"/>
      <w:marLeft w:val="0"/>
      <w:marRight w:val="0"/>
      <w:marTop w:val="0"/>
      <w:marBottom w:val="0"/>
      <w:divBdr>
        <w:top w:val="none" w:sz="0" w:space="0" w:color="auto"/>
        <w:left w:val="none" w:sz="0" w:space="0" w:color="auto"/>
        <w:bottom w:val="none" w:sz="0" w:space="0" w:color="auto"/>
        <w:right w:val="none" w:sz="0" w:space="0" w:color="auto"/>
      </w:divBdr>
    </w:div>
    <w:div w:id="1400444302">
      <w:bodyDiv w:val="1"/>
      <w:marLeft w:val="0"/>
      <w:marRight w:val="0"/>
      <w:marTop w:val="0"/>
      <w:marBottom w:val="0"/>
      <w:divBdr>
        <w:top w:val="none" w:sz="0" w:space="0" w:color="auto"/>
        <w:left w:val="none" w:sz="0" w:space="0" w:color="auto"/>
        <w:bottom w:val="none" w:sz="0" w:space="0" w:color="auto"/>
        <w:right w:val="none" w:sz="0" w:space="0" w:color="auto"/>
      </w:divBdr>
    </w:div>
    <w:div w:id="1709716989">
      <w:bodyDiv w:val="1"/>
      <w:marLeft w:val="0"/>
      <w:marRight w:val="0"/>
      <w:marTop w:val="0"/>
      <w:marBottom w:val="0"/>
      <w:divBdr>
        <w:top w:val="none" w:sz="0" w:space="0" w:color="auto"/>
        <w:left w:val="none" w:sz="0" w:space="0" w:color="auto"/>
        <w:bottom w:val="none" w:sz="0" w:space="0" w:color="auto"/>
        <w:right w:val="none" w:sz="0" w:space="0" w:color="auto"/>
      </w:divBdr>
    </w:div>
    <w:div w:id="1811747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AndroidStudio</cp:lastModifiedBy>
  <cp:revision>8</cp:revision>
  <dcterms:created xsi:type="dcterms:W3CDTF">2013-12-23T23:15:00Z</dcterms:created>
  <dcterms:modified xsi:type="dcterms:W3CDTF">2025-05-25T16:47:00Z</dcterms:modified>
  <cp:category/>
</cp:coreProperties>
</file>