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4BE" w:rsidRDefault="00127ADC">
      <w:r>
        <w:t>Способы амплификации нуклеиновых кислот для получения большего количества копий последовательности-мишени были описаны ранее. Например, Патент США. В № № 4,683,195, 4,683,202 и 4,800,159 (</w:t>
      </w:r>
      <w:proofErr w:type="spellStart"/>
      <w:r>
        <w:t>Mullis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.) описана ПЦР-амплификация, в которой используется серия реакций </w:t>
      </w:r>
      <w:proofErr w:type="spellStart"/>
      <w:r>
        <w:t>термоциклирования</w:t>
      </w:r>
      <w:proofErr w:type="spellEnd"/>
      <w:r>
        <w:t xml:space="preserve"> денатурации и полимеризации для получения множества копий последовательности-мишени. Способы амплификации, основанные на транскрипции с использованием РНК-полимеразы, были раскрыты в Патенте США. № 5,399,491 и 5,554,516 (</w:t>
      </w:r>
      <w:proofErr w:type="spellStart"/>
      <w:r>
        <w:t>Kacian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.), Патент США № 5,437,990 (</w:t>
      </w:r>
      <w:proofErr w:type="spellStart"/>
      <w:r>
        <w:t>Burg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.), PCT № WO 8801302 и WO 8810315 (</w:t>
      </w:r>
      <w:proofErr w:type="spellStart"/>
      <w:r>
        <w:t>Gingeras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.), Патент США. № 5 130 238 (</w:t>
      </w:r>
      <w:proofErr w:type="spellStart"/>
      <w:r>
        <w:t>Malek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.); и Патент США. № 4 868 105 и 5 124 246 (</w:t>
      </w:r>
      <w:proofErr w:type="spellStart"/>
      <w:r>
        <w:t>Urdea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.). </w:t>
      </w:r>
      <w:proofErr w:type="spellStart"/>
      <w:r>
        <w:t>Лигазная</w:t>
      </w:r>
      <w:proofErr w:type="spellEnd"/>
      <w:r>
        <w:t xml:space="preserve"> цепная реакция (LCR) использует четыре различных </w:t>
      </w:r>
      <w:proofErr w:type="spellStart"/>
      <w:r>
        <w:t>олигонуклеотида</w:t>
      </w:r>
      <w:proofErr w:type="spellEnd"/>
      <w:r>
        <w:t xml:space="preserve"> для амплификации мишени и ее комплементарной цепи с использованием циклов гибридизации, </w:t>
      </w:r>
      <w:proofErr w:type="spellStart"/>
      <w:r>
        <w:t>лигирования</w:t>
      </w:r>
      <w:proofErr w:type="spellEnd"/>
      <w:r>
        <w:t xml:space="preserve"> и денатурации (ЕР № 0 320 308). При амплификации со смещением нити (SDA) используется </w:t>
      </w:r>
      <w:proofErr w:type="spellStart"/>
      <w:r>
        <w:t>праймер</w:t>
      </w:r>
      <w:proofErr w:type="spellEnd"/>
      <w:r>
        <w:t xml:space="preserve">, который содержит сайт распознавания </w:t>
      </w:r>
      <w:proofErr w:type="spellStart"/>
      <w:r>
        <w:t>эндонуклеазы</w:t>
      </w:r>
      <w:proofErr w:type="spellEnd"/>
      <w:r>
        <w:t xml:space="preserve"> рестрикции, которая отсекает одну нить дуплекса-мишени </w:t>
      </w:r>
      <w:proofErr w:type="spellStart"/>
      <w:r>
        <w:t>гемимодифицированной</w:t>
      </w:r>
      <w:proofErr w:type="spellEnd"/>
      <w:r>
        <w:t xml:space="preserve"> ДНК, за которым следуют этапы удлинения </w:t>
      </w:r>
      <w:proofErr w:type="spellStart"/>
      <w:r>
        <w:t>праймера</w:t>
      </w:r>
      <w:proofErr w:type="spellEnd"/>
      <w:r>
        <w:t xml:space="preserve"> и смещения нити (Патент США № 5422252 (</w:t>
      </w:r>
      <w:proofErr w:type="spellStart"/>
      <w:r>
        <w:t>Walker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.)).</w:t>
      </w:r>
    </w:p>
    <w:p w:rsidR="00127ADC" w:rsidRDefault="00127ADC"/>
    <w:p w:rsidR="00127ADC" w:rsidRPr="00127ADC" w:rsidRDefault="00127ADC" w:rsidP="00127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AD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ИЗОБРЕТЕНИЯ</w:t>
      </w:r>
    </w:p>
    <w:p w:rsidR="00B954AA" w:rsidRDefault="00127ADC" w:rsidP="00127A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В соответствии с одним аспектом изобретения предложен олигомер нуклеиновой кислоты для амплификации нуклеотидной последовательности ВИЧ-1, содержащий последовательность, выбранную из группы, состоящей из последовательности, состоящей из идентификатора SEQ №5 до идентификатора SEQ №22 и идентификатора SEQ №33 до идентификатора SEQ №68. В одном варианте осуществления олигомер нуклеиновой кислоты имеет остов нуклеиновой кислоты, который включает одну или более 2'-О-метоксисвязей, пептидных </w:t>
      </w:r>
      <w:proofErr w:type="spellStart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нуклеиновокислотных</w:t>
      </w:r>
      <w:proofErr w:type="spellEnd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связей, </w:t>
      </w:r>
      <w:proofErr w:type="spellStart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фосфоротиоатных</w:t>
      </w:r>
      <w:proofErr w:type="spellEnd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связей, </w:t>
      </w:r>
      <w:proofErr w:type="spellStart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метилфосфонатных</w:t>
      </w:r>
      <w:proofErr w:type="spellEnd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связей или любую комбинацию этих связей. В другом варианте осуществления олигомер представляет собой промотор-</w:t>
      </w:r>
      <w:proofErr w:type="spellStart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праймер</w:t>
      </w:r>
      <w:proofErr w:type="spellEnd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имеющий последовательность, выбранную из группы, состоящей из SEQ ID NO:5 - SEQ ID NO:10 и SEQ ID NO:33 - SEQ ID NO:45, где 5'-часть последовательности включает </w:t>
      </w:r>
      <w:proofErr w:type="spellStart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промоторную</w:t>
      </w:r>
      <w:proofErr w:type="spellEnd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последовательность для РНК-полимеразы T7. </w:t>
      </w:r>
    </w:p>
    <w:p w:rsidR="00B954AA" w:rsidRDefault="00127ADC" w:rsidP="00127A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Другой вариант осуществления представляет собой смесь олигомеров нуклеиновых кислот, которая включает олигомеры для амплификации первой последовательности </w:t>
      </w:r>
      <w:proofErr w:type="spellStart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gag</w:t>
      </w:r>
      <w:proofErr w:type="spellEnd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и имеет нуклеотидную последовательность, выбранную из группы, состоящей из SEQ ID NO:5, SEQ ID NO:11, SEQ ID NO:33, SEQ ID NO:35, SEQ ID NO:46, SEQ ID NO:47, SEQ ID NO:17 и SEQ ID NO:59. </w:t>
      </w:r>
    </w:p>
    <w:p w:rsidR="00B954AA" w:rsidRDefault="00B954AA" w:rsidP="00127A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B954AA" w:rsidRDefault="00127ADC" w:rsidP="00127A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Другой вариант осуществления представляет собой смесь олигомеров нуклеиновых кислот, включающую олигомеры для амплификации второй последовательности </w:t>
      </w:r>
      <w:proofErr w:type="spellStart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gag</w:t>
      </w:r>
      <w:proofErr w:type="spellEnd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и имеющую нуклеотидную последовательность, выбранную из группы, состоящей из SEQ ID NO:6, SEQ ID NO:12, SEQ ID NO:34, SEQ ID NO:36, SEQ ID NO:48, SEQ ID NO:49, SEQ ID NO:18 и SEQ ID NO:60. </w:t>
      </w:r>
    </w:p>
    <w:p w:rsidR="00B954AA" w:rsidRDefault="00B954AA" w:rsidP="00127A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B954AA" w:rsidRDefault="00127ADC" w:rsidP="00127A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Другой вариант осуществления смеси включает олигомеры для амплификации последовательности протеазы и имеет нуклеотидную последовательность, выбранную из группы, состоящей из последовательности ID № 7, ПОСЛЕДОВАТЕЛЬНОСТИ ID №13, ПОСЛЕДОВАТЕЛЬНОСТИ ID №37, ПОСЛЕДОВАТЕЛЬНОСТИ ID №38, ПОСЛЕДОВАТЕЛЬНОСТИ ID №50, ПОСЛЕДОВАТЕЛЬНОСТИ ID №51, последовательности ID №19, ПОСЛЕДОВАТЕЛЬНОСТИ ID №61 и ПОСЛЕДОВАТЕЛЬНОСТИ ID №62. </w:t>
      </w:r>
    </w:p>
    <w:p w:rsidR="00B954AA" w:rsidRDefault="00B954AA" w:rsidP="00127A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B954AA" w:rsidRDefault="00127ADC" w:rsidP="00127A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Одна смесь олигомеров включает олигомеры для амплификации первой последовательности обратной транскриптазы (RT) и имеет нуклеотидную последовательность, выбранную из группы, состоящей из последовательности SEQ ID NO:8, SEQ ID NO:14, SEQ ID NO:39, SEQ ID NO:40, SEQ ID NO:41, SEQ ID NO:52, SEQ ID NO:53, SEQ ID NO:54, SEQ ID NO :20, ИДЕНТИФИКАЦИОННЫЙ номер SEQ: 63, идентификационный номер SEQ: 64 и идентификационный номер SEQ: 65. </w:t>
      </w:r>
    </w:p>
    <w:p w:rsidR="00B954AA" w:rsidRDefault="00B954AA" w:rsidP="00127A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127ADC" w:rsidRPr="00127ADC" w:rsidRDefault="00127ADC" w:rsidP="00127A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Другой вариант осуществления представляет собой смесь, которая включает олигомеры для амплификации второй RT-последовательности и имеет нуклеотидную последовательность, выбранную из группы, состоящей из SEQ ID NO:9, SEQ ID NO:15, SEQ ID NO:42, SEQ ID NO:43, SEQ ID NO:55, SEQ ID NO:56, SEQ ID NO:21 и SEQ ID NO:66. Другая смесь включает олигомеры для амплификации третьей RT-последовательности и имеет нуклеотидную последовательность, выбранную из группы, состоящей из SEQ ID NO:10, SEQ ID NO:16, SEQ ID NO:44, SEQ ID NO:45, SEQ ID NO:57, SEQ ID NO:58, SEQ ID NO:22, SEQ ID NO:67 и SEQ ID NO:68.</w:t>
      </w:r>
    </w:p>
    <w:p w:rsidR="00127ADC" w:rsidRDefault="00127ADC"/>
    <w:p w:rsidR="00127ADC" w:rsidRDefault="00127ADC"/>
    <w:p w:rsidR="00127ADC" w:rsidRPr="00127ADC" w:rsidRDefault="00127ADC" w:rsidP="00127A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Другой аспект изобретения обеспечивает способ обнаружения ВИЧ-1 в биологическом образце. Способ включает этапы получения биологического образца, содержащего нуклеиновую кислоту ВИЧ-1; смешивание образца с двумя или более олигомерами для амплификации, которые специфически </w:t>
      </w:r>
      <w:proofErr w:type="spellStart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амплифицируют</w:t>
      </w:r>
      <w:proofErr w:type="spellEnd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по меньшей мере одну последовательность-мишень для ВИЧ-1, содержащуюся в последовательностях </w:t>
      </w:r>
      <w:proofErr w:type="spellStart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gag</w:t>
      </w:r>
      <w:proofErr w:type="spellEnd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и </w:t>
      </w:r>
      <w:proofErr w:type="spellStart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pol</w:t>
      </w:r>
      <w:proofErr w:type="spellEnd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в условиях, которые допускают амплификацию нуклеиновой кислоты, причем олигомеры для амплификации имеют последовательности, выбранные из группы, состоящей из:</w:t>
      </w:r>
    </w:p>
    <w:p w:rsidR="00127ADC" w:rsidRPr="00127ADC" w:rsidRDefault="00127ADC" w:rsidP="00127A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Идентификационный номер SEQ: 5, идентификационный номер SEQ: 11, ИДЕНТИФИКАЦИОННЫЙ номер SEQ: 33, ИДЕНТИФИКАЦИОННЫЙ номер SEQ: 35, ИДЕНТИФИКАЦИОННЫЙ номер SEQ:46, идентификационный номер SEQ:47, идентификационный номер SEQ:17 и идентификационный номер SEQ:59 для амплификации первой последовательности </w:t>
      </w:r>
      <w:proofErr w:type="spellStart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gag</w:t>
      </w:r>
      <w:proofErr w:type="spellEnd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;</w:t>
      </w:r>
    </w:p>
    <w:p w:rsidR="00127ADC" w:rsidRPr="00127ADC" w:rsidRDefault="00127ADC" w:rsidP="00127A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Идентификационный номер SEQ: 6, идентификационный номер SEQ: 12, ИДЕНТИФИКАЦИОННЫЙ номер SEQ: 34, ИДЕНТИФИКАЦИОННЫЙ номер SEQ: 36, ИДЕНТИФИКАЦИОННЫЙ номер SEQ:48, идентификационный номер SEQ:49, идентификационный номер SEQ:18 и идентификационный номер SEQ:60 для амплификации второй последовательности </w:t>
      </w:r>
      <w:proofErr w:type="spellStart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gag</w:t>
      </w:r>
      <w:proofErr w:type="spellEnd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;</w:t>
      </w:r>
    </w:p>
    <w:p w:rsidR="00127ADC" w:rsidRPr="00127ADC" w:rsidRDefault="00127ADC" w:rsidP="00127A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Идентификационный номер SEQ: 7, идентификационный номер SEQ: 13, идентификационный номер SEQ: 37, ИДЕНТИФИКАЦИОННЫЙ номер SEQ: 38, ИДЕНТИФИКАЦИОННЫЙ номер SEQ: 50, ИДЕНТИФИКАЦИОННЫЙ номер SEQ:51, идентификационный номер SEQ:19, идентификационный номер SEQ:61 и идентификационный номер SEQ:62 для амплификации первой последовательности </w:t>
      </w:r>
      <w:proofErr w:type="spellStart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pol</w:t>
      </w:r>
      <w:proofErr w:type="spellEnd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которая является последовательностью протеазы;</w:t>
      </w:r>
    </w:p>
    <w:p w:rsidR="00127ADC" w:rsidRPr="00127ADC" w:rsidRDefault="00127ADC" w:rsidP="00127A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Идентификационный номер SEQ: 8, идентификационный номер SEQ:14, идентификационный номер SEQ: 39, ИДЕНТИФИКАЦИОННЫЙ номер SEQ: 40, ИДЕНТИФИКАЦИОННЫЙ номер SEQ: 41, ИДЕНТИФИКАЦИОННЫЙ номер SEQ: 52, ИДЕНТИФИКАЦИОННЫЙ номер SEQ:53, ИДЕНТИФИКАЦИОННЫЙ номер SEQ:54, идентификационный номер SEQ: 20, идентификационный номер SEQ:63, идентификационный номер SEQ:64 и идентификационный номер SEQ:65 для амплификации второй последовательности </w:t>
      </w:r>
      <w:proofErr w:type="spellStart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pol</w:t>
      </w:r>
      <w:proofErr w:type="spellEnd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которая является первая последовательность обратной транскриптазы (RT);</w:t>
      </w:r>
    </w:p>
    <w:p w:rsidR="00127ADC" w:rsidRPr="00127ADC" w:rsidRDefault="00127ADC" w:rsidP="00127A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Идентификационный номер SEQ: 9, идентификационный номер SEQ: 15, идентификационный номер SEQ: 42, ИДЕНТИФИКАЦИОННЫЙ номер SEQ: 43, ИДЕНТИФИКАЦИОННЫЙ номер SEQ: 55, идентификационный номер SEQ:56, идентификационный номер SEQ:21 и идентификационный номер SEQ:66 для амплификации третьей последовательности </w:t>
      </w:r>
      <w:proofErr w:type="spellStart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pol</w:t>
      </w:r>
      <w:proofErr w:type="spellEnd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которая является второй RT-последовательностью; и</w:t>
      </w:r>
    </w:p>
    <w:p w:rsidR="00127ADC" w:rsidRPr="00127ADC" w:rsidRDefault="00127ADC" w:rsidP="00127A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Идентификационный номер SEQ:10, идентификационный номер SEQ:16, идентификационный номер SEQ:44, идентификационный номер SEQ: 45, ИДЕНТИФИКАЦИОННЫЙ номер SEQ:57, ИДЕНТИФИКАЦИОННЫЙ номер SEQ:58, идентификационный номер SEQ:22, идентификационный номер SEQ:67 и идентификационный номер SEQ:68 для амплификации четвертой последовательности </w:t>
      </w:r>
      <w:proofErr w:type="spellStart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pol</w:t>
      </w:r>
      <w:proofErr w:type="spellEnd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которая является третьей RT-последовательностью, или комбинации олигомеров, выбранных из этих групп, которая позволяет </w:t>
      </w:r>
      <w:proofErr w:type="spellStart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амплифицировать</w:t>
      </w:r>
      <w:proofErr w:type="spellEnd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 по меньшей мере одной последовательности </w:t>
      </w:r>
      <w:proofErr w:type="spellStart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gag</w:t>
      </w:r>
      <w:proofErr w:type="spellEnd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и по меньшей мере последовательности </w:t>
      </w:r>
      <w:proofErr w:type="spellStart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pol</w:t>
      </w:r>
      <w:proofErr w:type="spellEnd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; амплификация последовательности-мишени для получения продукта </w:t>
      </w:r>
      <w:proofErr w:type="spellStart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амплифицированной</w:t>
      </w:r>
      <w:proofErr w:type="spellEnd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нуклеиновой кислоты; и обнаружение присутствия продукта </w:t>
      </w:r>
      <w:proofErr w:type="spellStart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амплифицированной</w:t>
      </w:r>
      <w:proofErr w:type="spellEnd"/>
      <w:r w:rsidRPr="00127AD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нуклеиновой кислоты. В одном варианте осуществления на стадии амплификации используется метод опосредованной транскрипцией амплификации, который проводится в существенно изотермических условиях</w:t>
      </w:r>
    </w:p>
    <w:p w:rsidR="00127ADC" w:rsidRDefault="00127ADC"/>
    <w:p w:rsidR="00127ADC" w:rsidRDefault="00127ADC"/>
    <w:p w:rsidR="00127ADC" w:rsidRDefault="00127AD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Идентификационный номер SEQ: 10, идентификационный номер SEQ: 16, идентификационный номер SEQ: 44, ИДЕНТИФИКАЦИОННЫЙ номер SEQ: 45, ИДЕНТИФИКАЦИОННЫЙ номер SEQ: 57, ИДЕНТИФИКАЦИОННЫЙ номер SEQ:58, идентификационный номер SEQ:22, идентификационный номер SEQ:67 и идентификационный номер SEQ:68 для амплификации последовательности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pol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которая является RT-последовательностью;</w:t>
      </w:r>
    </w:p>
    <w:p w:rsidR="00127ADC" w:rsidRPr="00127ADC" w:rsidRDefault="00127ADC">
      <w:pPr>
        <w:rPr>
          <w:lang w:val="en-US"/>
        </w:rPr>
      </w:pPr>
      <w:proofErr w:type="gramStart"/>
      <w:r w:rsidRPr="00127ADC">
        <w:rPr>
          <w:lang w:val="en-US"/>
        </w:rPr>
        <w:t>1. A mixture of nucleic acid oligomers for amplifying a nucleotide sequence of HIV-1 in a reverse transcriptase (RT) region, comprising a sequence selected from the group consisting of SEQ ID NO:10, SEQ ID NO:16, SEQ ID NO:22, SEQ ID NO:44, SEQ ID NO:45, SEQ ID NO:57, SEQ ID NO:58, SEQ ID NO:67, and SEQ ID NO:68.</w:t>
      </w:r>
      <w:proofErr w:type="gramEnd"/>
    </w:p>
    <w:p w:rsidR="00B6377F" w:rsidRPr="00B6377F" w:rsidRDefault="00B6377F">
      <w:pPr>
        <w:rPr>
          <w:lang w:val="en-US"/>
        </w:rPr>
      </w:pPr>
      <w:r w:rsidRPr="00B6377F"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  <w:lastRenderedPageBreak/>
        <w:t xml:space="preserve">Additional examples of target specific </w:t>
      </w:r>
      <w:proofErr w:type="spellStart"/>
      <w:r w:rsidRPr="00B6377F"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  <w:t>amplicons</w:t>
      </w:r>
      <w:proofErr w:type="spellEnd"/>
      <w:r w:rsidRPr="00B6377F"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  <w:t xml:space="preserve"> for sequencing are described in U.S. patent application Ser. No. 11/104,781, titled “Methods for determining sequence variants using ultra-deep sequencing”, filed Apr. 12, 2005; PCT Patent Application Serial No. US 2008/003424, titled “System and Method for Detection of HIV Drug Resistant Variants”, filed Mar. 14, 2008</w:t>
      </w:r>
      <w:proofErr w:type="gramStart"/>
      <w:r w:rsidRPr="00B6377F"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  <w:t>;</w:t>
      </w:r>
      <w:proofErr w:type="gramEnd"/>
      <w:r w:rsidRPr="00B6377F"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  <w:t xml:space="preserve"> and U.S. Pat. No. 7,888,034, titled “System and Method for Detection of HIV Tropism Variants”, filed Jun. 17, 2009, each of which </w:t>
      </w:r>
      <w:proofErr w:type="gramStart"/>
      <w:r w:rsidRPr="00B6377F"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  <w:t>is hereby incorporated</w:t>
      </w:r>
      <w:proofErr w:type="gramEnd"/>
      <w:r w:rsidRPr="00B6377F"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  <w:t xml:space="preserve"> by reference herein in its entirety for all purposes.</w:t>
      </w:r>
      <w:bookmarkStart w:id="0" w:name="_GoBack"/>
      <w:bookmarkEnd w:id="0"/>
    </w:p>
    <w:p w:rsidR="00127ADC" w:rsidRPr="00B6377F" w:rsidRDefault="00B6377F">
      <w:r>
        <w:t xml:space="preserve">Дополнительные примеры специфичных к мишени </w:t>
      </w:r>
      <w:proofErr w:type="spellStart"/>
      <w:r>
        <w:t>ампликонов</w:t>
      </w:r>
      <w:proofErr w:type="spellEnd"/>
      <w:r>
        <w:t xml:space="preserve"> для </w:t>
      </w:r>
      <w:proofErr w:type="spellStart"/>
      <w:r>
        <w:t>секвенирования</w:t>
      </w:r>
      <w:proofErr w:type="spellEnd"/>
      <w:r>
        <w:t xml:space="preserve"> описаны в патентной заявке США Сер. № 11/104,781, озаглавленной “Способы определения вариантов последовательности с использованием сверхглубокого </w:t>
      </w:r>
      <w:proofErr w:type="spellStart"/>
      <w:r>
        <w:t>секвенирования</w:t>
      </w:r>
      <w:proofErr w:type="spellEnd"/>
      <w:r>
        <w:t>”, поданной 12 апреля 2005 г.; Патентной заявке PCT серийный номер US 2008/003424, озаглавленной “Система и способ выявления вариантов лекарственной устойчивости ВИЧ”, поданной 14 марта 2008 г.; и патенте США № 7888,034, озаглавленной “Система и способ выявления вариантов тропизма к ВИЧ”, поданный 17 июня 2009 г., каждый из которых настоящим включен посредством ссылки в настоящий документ полностью для всех целей.</w:t>
      </w:r>
    </w:p>
    <w:sectPr w:rsidR="00127ADC" w:rsidRPr="00B63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D7"/>
    <w:rsid w:val="00043CD7"/>
    <w:rsid w:val="00127ADC"/>
    <w:rsid w:val="004544BE"/>
    <w:rsid w:val="00794320"/>
    <w:rsid w:val="00AA30BE"/>
    <w:rsid w:val="00B6377F"/>
    <w:rsid w:val="00B9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0A824-3CBA-4BA1-92F7-5672A25C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4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2023-09-21T08:52:00Z</dcterms:created>
  <dcterms:modified xsi:type="dcterms:W3CDTF">2023-09-25T08:50:00Z</dcterms:modified>
</cp:coreProperties>
</file>