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300" w:lineRule="auto"/>
      </w:pPr>
      <w:r>
        <w:rPr>
          <w:rFonts w:ascii="Calibri" w:hAnsi="Calibri" w:eastAsia="Heiti SC"/>
          <w:b/>
          <w:i w:val="0"/>
          <w:color w:val="0B2545"/>
          <w:sz w:val="48"/>
        </w:rPr>
        <w:t>法律文书脱敏工具</w:t>
      </w:r>
    </w:p>
    <w:p>
      <w:pPr>
        <w:spacing w:before="0" w:after="200" w:line="300" w:lineRule="auto"/>
      </w:pPr>
      <w:r>
        <w:rPr>
          <w:rFonts w:ascii="Calibri" w:hAnsi="Calibri" w:eastAsia="Heiti SC"/>
          <w:b w:val="0"/>
          <w:i w:val="0"/>
          <w:color w:val="555555"/>
          <w:sz w:val="24"/>
        </w:rPr>
        <w:t>Legal Document Desensitizer</w:t>
      </w:r>
    </w:p>
    <w:p>
      <w:pPr>
        <w:spacing w:before="0" w:after="80" w:line="300" w:lineRule="auto"/>
      </w:pPr>
      <w:r>
        <w:rPr>
          <w:rFonts w:ascii="Calibri" w:hAnsi="Calibri" w:eastAsia="Heiti SC"/>
          <w:b/>
          <w:i w:val="0"/>
          <w:color w:val="2E74B5"/>
          <w:sz w:val="26"/>
        </w:rPr>
        <w:t>面向中国律师与法律实务的本地优先文书脱敏工具</w:t>
      </w:r>
    </w:p>
    <w:p>
      <w:pPr>
        <w:spacing w:before="0" w:after="240" w:line="300" w:lineRule="auto"/>
      </w:pPr>
      <w:r>
        <w:rPr>
          <w:rFonts w:ascii="Calibri" w:hAnsi="Calibri" w:eastAsia="Heiti SC"/>
          <w:b w:val="0"/>
          <w:i w:val="0"/>
          <w:color w:val="555555"/>
          <w:sz w:val="20"/>
        </w:rPr>
        <w:t>规则引擎 + 语义占位符 + 可选 LLM 层 ｜ 加密映射表 ｜ 一键无损还原 ｜ 红队评测量化</w:t>
      </w:r>
    </w:p>
    <w:p>
      <w:pPr>
        <w:spacing w:before="40" w:after="280" w:line="312" w:lineRule="auto"/>
        <w:shd w:val="clear" w:color="auto" w:fill="F4F6F9"/>
        <w:pBdr>
          <w:top w:val="single" w:sz="6" w:space="6" w:color="D0D7E2"/>
          <w:left w:val="single" w:sz="6" w:space="6" w:color="D0D7E2"/>
          <w:bottom w:val="single" w:sz="6" w:space="6" w:color="D0D7E2"/>
          <w:right w:val="single" w:sz="6" w:space="6" w:color="D0D7E2"/>
        </w:pBdr>
      </w:pPr>
      <w:r>
        <w:rPr>
          <w:rFonts w:ascii="Calibri" w:hAnsi="Calibri" w:eastAsia="Heiti SC"/>
          <w:b/>
          <w:i w:val="0"/>
          <w:color w:val="0B2545"/>
          <w:sz w:val="23"/>
        </w:rPr>
        <w:t>核心承诺：</w:t>
      </w:r>
      <w:r>
        <w:rPr>
          <w:rFonts w:ascii="Calibri" w:hAnsi="Calibri" w:eastAsia="Heiti SC"/>
          <w:b w:val="0"/>
          <w:i w:val="0"/>
          <w:sz w:val="23"/>
        </w:rPr>
        <w:t>结构化数据零依赖本地处理、可量化验证、可无损还原、不盲目信任模型输出。</w:t>
      </w:r>
    </w:p>
    <w:p>
      <w:pPr>
        <w:pStyle w:val="Heading1"/>
        <w:spacing w:before="360" w:after="200"/>
      </w:pPr>
      <w:r>
        <w:rPr>
          <w:rFonts w:ascii="Calibri" w:hAnsi="Calibri" w:eastAsia="Heiti SC"/>
          <w:b/>
          <w:i w:val="0"/>
          <w:color w:val="2E74B5"/>
          <w:sz w:val="32"/>
        </w:rPr>
        <w:t>一句话介绍</w:t>
      </w:r>
    </w:p>
    <w:p>
      <w:pPr>
        <w:spacing w:before="0" w:after="120" w:line="300" w:lineRule="auto"/>
      </w:pPr>
      <w:r>
        <w:rPr>
          <w:rFonts w:ascii="Calibri" w:hAnsi="Calibri" w:eastAsia="Heiti SC"/>
          <w:b w:val="0"/>
          <w:i w:val="0"/>
          <w:sz w:val="22"/>
        </w:rPr>
        <w:t>把判决书、合同、聊天记录、证据材料里的敏感信息（身份证号、手机号、银行卡号、人名、地址、金额、案情细节……）自动替换为语义占位符（[当事人甲（原告）]、[身份证号]），同时生成加密映射表，需要原文时一键无损还原。</w:t>
      </w:r>
    </w:p>
    <w:p>
      <w:pPr>
        <w:pStyle w:val="Heading1"/>
        <w:spacing w:before="360" w:after="200"/>
      </w:pPr>
      <w:r>
        <w:rPr>
          <w:rFonts w:ascii="Calibri" w:hAnsi="Calibri" w:eastAsia="Heiti SC"/>
          <w:b/>
          <w:i w:val="0"/>
          <w:color w:val="2E74B5"/>
          <w:sz w:val="32"/>
        </w:rPr>
        <w:t>为什么需要它</w:t>
      </w:r>
    </w:p>
    <w:p>
      <w:pPr>
        <w:spacing w:before="0" w:after="120" w:line="300" w:lineRule="auto"/>
      </w:pPr>
      <w:r>
        <w:rPr>
          <w:rFonts w:ascii="Calibri" w:hAnsi="Calibri" w:eastAsia="Heiti SC"/>
          <w:b w:val="0"/>
          <w:i w:val="0"/>
          <w:sz w:val="22"/>
        </w:rPr>
        <w:t>律师日常工作离不开涉密文书：起诉状、判决书、合同、尽调报告、聊天记录。对外分享、上传 AI 辅助、交给协作方时，一条没脱敏的身份证号或当事人姓名就可能构成泄密。而通用工具不懂中国法律语境：要么漏掉案号、统一社会信用代码、律师执业证号这类中国特有实体，要么把“粤B88888”车牌当微信号、把日期当身份信息。</w:t>
      </w:r>
    </w:p>
    <w:p>
      <w:pPr>
        <w:spacing w:before="0" w:after="120" w:line="300" w:lineRule="auto"/>
      </w:pPr>
      <w:r>
        <w:rPr>
          <w:rFonts w:ascii="Calibri" w:hAnsi="Calibri" w:eastAsia="Heiti SC"/>
          <w:b w:val="0"/>
          <w:i w:val="0"/>
          <w:sz w:val="22"/>
        </w:rPr>
        <w:t>本工具专为中国法律文书设计，覆盖 20+ 类中国法律敏感实体，并针对律师真正关心的三件事做了设计：脱得干净、查得到底、还原得回来。</w:t>
      </w:r>
    </w:p>
    <w:p>
      <w:pPr>
        <w:pStyle w:val="Heading1"/>
        <w:spacing w:before="360" w:after="200"/>
      </w:pPr>
      <w:r>
        <w:rPr>
          <w:rFonts w:ascii="Calibri" w:hAnsi="Calibri" w:eastAsia="Heiti SC"/>
          <w:b/>
          <w:i w:val="0"/>
          <w:color w:val="2E74B5"/>
          <w:sz w:val="32"/>
        </w:rPr>
        <w:t>适用场景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Heiti SC"/>
          <w:b w:val="0"/>
          <w:i w:val="0"/>
          <w:sz w:val="22"/>
        </w:rPr>
        <w:t>判决书 / 裁定书 / 调解书的对外脱敏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Heiti SC"/>
          <w:b w:val="0"/>
          <w:i w:val="0"/>
          <w:sz w:val="22"/>
        </w:rPr>
        <w:t>合同、协议中的当事人信息与商业条款脱敏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Heiti SC"/>
          <w:b w:val="0"/>
          <w:i w:val="0"/>
          <w:sz w:val="22"/>
        </w:rPr>
        <w:t>微信聊天记录、邮件等沟通证据的提交前脱敏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Heiti SC"/>
          <w:b w:val="0"/>
          <w:i w:val="0"/>
          <w:sz w:val="22"/>
        </w:rPr>
        <w:t>尽调材料、证据册的涉密信息筛查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Heiti SC"/>
          <w:b w:val="0"/>
          <w:i w:val="0"/>
          <w:sz w:val="22"/>
        </w:rPr>
        <w:t>文书上传云端 AI 前的预处理（结构化号码本地先替换）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Heiti SC"/>
          <w:b w:val="0"/>
          <w:i w:val="0"/>
          <w:sz w:val="22"/>
        </w:rPr>
        <w:t>律所内部归档 / 协作时的隐私合规</w:t>
      </w:r>
    </w:p>
    <w:p>
      <w:pPr>
        <w:pStyle w:val="Heading1"/>
        <w:spacing w:before="360" w:after="200"/>
      </w:pPr>
      <w:r>
        <w:rPr>
          <w:rFonts w:ascii="Calibri" w:hAnsi="Calibri" w:eastAsia="Heiti SC"/>
          <w:b/>
          <w:i w:val="0"/>
          <w:color w:val="2E74B5"/>
          <w:sz w:val="32"/>
        </w:rPr>
        <w:t>好用的地方（核心亮点）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 w:eastAsia="Heiti SC"/>
          <w:b/>
          <w:i w:val="0"/>
          <w:sz w:val="22"/>
        </w:rPr>
        <w:t>中国法律实体全覆盖（规则层，无需模型）：</w:t>
      </w:r>
      <w:r>
        <w:rPr>
          <w:rFonts w:ascii="Calibri" w:hAnsi="Calibri" w:eastAsia="Heiti SC"/>
          <w:b w:val="0"/>
          <w:i w:val="0"/>
          <w:sz w:val="22"/>
        </w:rPr>
        <w:t>身份证号（GB 11643 校验码）、统一社会信用代码（GB 32100 校验码）、银行卡号（Luhn）、手机号、邮箱、微信号、律师执业证号、组织机构代码、护照/港澳通行证/驾驶证、案号、车牌号、出生日期、金额、角色人名、裸人名、公司名、地址（含无省市区层级的写法）。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 w:eastAsia="Heiti SC"/>
          <w:b/>
          <w:i w:val="0"/>
          <w:sz w:val="22"/>
        </w:rPr>
        <w:t>语义占位符，律师可读：</w:t>
      </w:r>
      <w:r>
        <w:rPr>
          <w:rFonts w:ascii="Calibri" w:hAnsi="Calibri" w:eastAsia="Heiti SC"/>
          <w:b w:val="0"/>
          <w:i w:val="0"/>
          <w:sz w:val="22"/>
        </w:rPr>
        <w:t>不打马赛克，替换为带角色语义的占位符：同一人物全文对应同一个占位符（实体归一化 + 种子传播），案情脉络完整保留。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 w:eastAsia="Heiti SC"/>
          <w:b/>
          <w:i w:val="0"/>
          <w:sz w:val="22"/>
        </w:rPr>
        <w:t>加密映射表 + 一键无损还原：</w:t>
      </w:r>
      <w:r>
        <w:rPr>
          <w:rFonts w:ascii="Calibri" w:hAnsi="Calibri" w:eastAsia="Heiti SC"/>
          <w:b w:val="0"/>
          <w:i w:val="0"/>
          <w:sz w:val="22"/>
        </w:rPr>
        <w:t>AES-256-GCM + PBKDF2 加密映射表，密钥不落终端；restore 一条命令还原，逐字节一致，多个 [金额] 也不会还原错位。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 w:eastAsia="Heiti SC"/>
          <w:b/>
          <w:i w:val="0"/>
          <w:sz w:val="22"/>
        </w:rPr>
        <w:t>红队评测，用数据说话：</w:t>
      </w:r>
      <w:r>
        <w:rPr>
          <w:rFonts w:ascii="Calibri" w:hAnsi="Calibri" w:eastAsia="Heiti SC"/>
          <w:b w:val="0"/>
          <w:i w:val="0"/>
          <w:sz w:val="22"/>
        </w:rPr>
        <w:t>内置 59 个红队用例（含真实判决书实战负样本），一键输出分类型召回率/误报/泄露报告；当前基线 59/59 通过，结构化期望 68 项召回率 100%，保留项误报 0，泄露 0。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 w:eastAsia="Heiti SC"/>
          <w:b/>
          <w:i w:val="0"/>
          <w:sz w:val="22"/>
        </w:rPr>
        <w:t>失败安全，不盲目信任模型：</w:t>
      </w:r>
      <w:r>
        <w:rPr>
          <w:rFonts w:ascii="Calibri" w:hAnsi="Calibri" w:eastAsia="Heiti SC"/>
          <w:b w:val="0"/>
          <w:i w:val="0"/>
          <w:sz w:val="22"/>
        </w:rPr>
        <w:t>LLM 层输出若增删行数、改动已有占位符、声称替换的值仍残留原文，整套输出被拒绝并中止。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 w:eastAsia="Heiti SC"/>
          <w:b/>
          <w:i w:val="0"/>
          <w:sz w:val="22"/>
        </w:rPr>
        <w:t>可复现、可自检：</w:t>
      </w:r>
      <w:r>
        <w:rPr>
          <w:rFonts w:ascii="Calibri" w:hAnsi="Calibri" w:eastAsia="Heiti SC"/>
          <w:b w:val="0"/>
          <w:i w:val="0"/>
          <w:sz w:val="22"/>
        </w:rPr>
        <w:t>selfcheck.py 一键验证文件、56 项单元测试、红队评测、还原往返，任何拷贝跑一遍即可比对一致性。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 w:eastAsia="Heiti SC"/>
          <w:b/>
          <w:i w:val="0"/>
          <w:sz w:val="22"/>
        </w:rPr>
        <w:t>灵活的 LLM 层（可选）：</w:t>
      </w:r>
      <w:r>
        <w:rPr>
          <w:rFonts w:ascii="Calibri" w:hAnsi="Calibri" w:eastAsia="Heiti SC"/>
          <w:b w:val="0"/>
          <w:i w:val="0"/>
          <w:sz w:val="22"/>
        </w:rPr>
        <w:t>本地 Ollama（数据不出本机）或云端 OpenAI 兼容 API（通义/DeepSeek/智谱，零部署），覆盖最后两类盲区：案情敏感细节与裸公司简称。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 w:eastAsia="Heiti SC"/>
          <w:b/>
          <w:i w:val="0"/>
          <w:sz w:val="22"/>
        </w:rPr>
        <w:t>实战打磨，专治 OCR 扫描版文书：</w:t>
      </w:r>
      <w:r>
        <w:rPr>
          <w:rFonts w:ascii="Calibri" w:hAnsi="Calibri" w:eastAsia="Heiti SC"/>
          <w:b w:val="0"/>
          <w:i w:val="0"/>
          <w:sz w:val="22"/>
        </w:rPr>
        <w:t>以 42 页 OCR 扫描判决书做端到端验证：387/387 段无损还原（映射表逐字节一致，含数字与单位间带空格/尾随空格的写法）；角色词后名词不再误伤（提供担保/处签名/印章/私章）；公司名不吞上下文；OCR 空格兼容（华 临公司、元勤公 司、32000万 元整）；金额支持无单位大数。</w:t>
      </w:r>
    </w:p>
    <w:p>
      <w:pPr>
        <w:pStyle w:val="Heading1"/>
        <w:spacing w:before="360" w:after="200"/>
      </w:pPr>
      <w:r>
        <w:rPr>
          <w:rFonts w:ascii="Calibri" w:hAnsi="Calibri" w:eastAsia="Heiti SC"/>
          <w:b/>
          <w:i w:val="0"/>
          <w:color w:val="2E74B5"/>
          <w:sz w:val="32"/>
        </w:rPr>
        <w:t>如何运行</w:t>
      </w:r>
    </w:p>
    <w:p>
      <w:pPr>
        <w:pStyle w:val="Heading2"/>
        <w:spacing w:before="280" w:after="140"/>
      </w:pPr>
      <w:r>
        <w:rPr>
          <w:rFonts w:ascii="Calibri" w:hAnsi="Calibri" w:eastAsia="Heiti SC"/>
          <w:b/>
          <w:i w:val="0"/>
          <w:color w:val="2E74B5"/>
          <w:sz w:val="26"/>
        </w:rPr>
        <w:t>安装</w:t>
      </w:r>
    </w:p>
    <w:p>
      <w:pPr>
        <w:spacing w:before="120" w:after="0" w:line="240" w:lineRule="auto"/>
        <w:ind w:left="288"/>
        <w:shd w:val="clear" w:color="auto" w:fill="F2F4F7"/>
      </w:pPr>
      <w:r>
        <w:rPr>
          <w:rFonts w:ascii="Consolas" w:hAnsi="Consolas" w:eastAsia="Heiti SC"/>
          <w:b w:val="0"/>
          <w:i w:val="0"/>
          <w:sz w:val="19"/>
        </w:rPr>
        <w:t>git clone https://github.com/Lirunyi-123/legal-document-desensitizer</w:t>
      </w:r>
    </w:p>
    <w:p>
      <w:pPr>
        <w:spacing w:before="0" w:after="0" w:line="240" w:lineRule="auto"/>
        <w:ind w:left="288"/>
        <w:shd w:val="clear" w:color="auto" w:fill="F2F4F7"/>
      </w:pPr>
      <w:r>
        <w:rPr>
          <w:rFonts w:ascii="Consolas" w:hAnsi="Consolas" w:eastAsia="Heiti SC"/>
          <w:b w:val="0"/>
          <w:i w:val="0"/>
          <w:sz w:val="19"/>
        </w:rPr>
        <w:t>cd legal-document-desensitizer</w:t>
      </w:r>
    </w:p>
    <w:p>
      <w:pPr>
        <w:spacing w:before="0" w:after="120" w:line="240" w:lineRule="auto"/>
        <w:ind w:left="288"/>
        <w:shd w:val="clear" w:color="auto" w:fill="F2F4F7"/>
      </w:pPr>
      <w:r>
        <w:rPr>
          <w:rFonts w:ascii="Consolas" w:hAnsi="Consolas" w:eastAsia="Heiti SC"/>
          <w:b w:val="0"/>
          <w:i w:val="0"/>
          <w:sz w:val="19"/>
        </w:rPr>
        <w:t>pip3 install -r requirements.txt   # jieba 必装；docx/pdf/加密为可选</w:t>
      </w:r>
    </w:p>
    <w:p>
      <w:pPr>
        <w:pStyle w:val="Heading2"/>
        <w:spacing w:before="280" w:after="140"/>
      </w:pPr>
      <w:r>
        <w:rPr>
          <w:rFonts w:ascii="Calibri" w:hAnsi="Calibri" w:eastAsia="Heiti SC"/>
          <w:b/>
          <w:i w:val="0"/>
          <w:color w:val="2E74B5"/>
          <w:sz w:val="26"/>
        </w:rPr>
        <w:t>常用命令</w:t>
      </w:r>
    </w:p>
    <w:p>
      <w:pPr>
        <w:spacing w:before="120" w:after="0" w:line="240" w:lineRule="auto"/>
        <w:ind w:left="288"/>
        <w:shd w:val="clear" w:color="auto" w:fill="F2F4F7"/>
      </w:pPr>
      <w:r>
        <w:rPr>
          <w:rFonts w:ascii="Consolas" w:hAnsi="Consolas" w:eastAsia="Heiti SC"/>
          <w:b w:val="0"/>
          <w:i w:val="0"/>
          <w:sz w:val="19"/>
        </w:rPr>
        <w:t>python3 desensitize.py scan -f 判决书.docx                  # 扫描敏感信息</w:t>
      </w:r>
    </w:p>
    <w:p>
      <w:pPr>
        <w:spacing w:before="0" w:after="0" w:line="240" w:lineRule="auto"/>
        <w:ind w:left="288"/>
        <w:shd w:val="clear" w:color="auto" w:fill="F2F4F7"/>
      </w:pPr>
      <w:r>
        <w:rPr>
          <w:rFonts w:ascii="Consolas" w:hAnsi="Consolas" w:eastAsia="Heiti SC"/>
          <w:b w:val="0"/>
          <w:i w:val="0"/>
          <w:sz w:val="19"/>
        </w:rPr>
        <w:t>python3 desensitize.py mask -f 判决书.docx                  # 规则层脱敏（零模型）</w:t>
      </w:r>
    </w:p>
    <w:p>
      <w:pPr>
        <w:spacing w:before="0" w:after="0" w:line="240" w:lineRule="auto"/>
        <w:ind w:left="288"/>
        <w:shd w:val="clear" w:color="auto" w:fill="F2F4F7"/>
      </w:pPr>
      <w:r>
        <w:rPr>
          <w:rFonts w:ascii="Consolas" w:hAnsi="Consolas" w:eastAsia="Heiti SC"/>
          <w:b w:val="0"/>
          <w:i w:val="0"/>
          <w:sz w:val="19"/>
        </w:rPr>
        <w:t>python3 desensitize.py mask -f 合同.docx --save-mapping 映射表.enc --encrypt-mapping</w:t>
      </w:r>
    </w:p>
    <w:p>
      <w:pPr>
        <w:spacing w:before="0" w:after="0" w:line="240" w:lineRule="auto"/>
        <w:ind w:left="288"/>
        <w:shd w:val="clear" w:color="auto" w:fill="F2F4F7"/>
      </w:pPr>
      <w:r>
        <w:rPr>
          <w:rFonts w:ascii="Consolas" w:hAnsi="Consolas" w:eastAsia="Heiti SC"/>
          <w:b w:val="0"/>
          <w:i w:val="0"/>
          <w:sz w:val="19"/>
        </w:rPr>
        <w:t>python3 desensitize.py restore -f 合同_desensitized.docx -m 映射表.enc -o 还原.docx</w:t>
      </w:r>
    </w:p>
    <w:p>
      <w:pPr>
        <w:spacing w:before="0" w:after="0" w:line="240" w:lineRule="auto"/>
        <w:ind w:left="288"/>
        <w:shd w:val="clear" w:color="auto" w:fill="F2F4F7"/>
      </w:pPr>
      <w:r>
        <w:rPr>
          <w:rFonts w:ascii="Consolas" w:hAnsi="Consolas" w:eastAsia="Heiti SC"/>
          <w:b w:val="0"/>
          <w:i w:val="0"/>
          <w:sz w:val="19"/>
        </w:rPr>
        <w:t>python3 desensitize.py full -f 判决书.docx --llm-model qwen2.5   # 规则层+本地LLM</w:t>
      </w:r>
    </w:p>
    <w:p>
      <w:pPr>
        <w:spacing w:before="0" w:after="0" w:line="240" w:lineRule="auto"/>
        <w:ind w:left="288"/>
        <w:shd w:val="clear" w:color="auto" w:fill="F2F4F7"/>
      </w:pPr>
      <w:r>
        <w:rPr>
          <w:rFonts w:ascii="Consolas" w:hAnsi="Consolas" w:eastAsia="Heiti SC"/>
          <w:b w:val="0"/>
          <w:i w:val="0"/>
          <w:sz w:val="19"/>
        </w:rPr>
        <w:t>python3 evaluate.py                                          # 红队评测</w:t>
      </w:r>
    </w:p>
    <w:p>
      <w:pPr>
        <w:spacing w:before="0" w:after="120" w:line="240" w:lineRule="auto"/>
        <w:ind w:left="288"/>
        <w:shd w:val="clear" w:color="auto" w:fill="F2F4F7"/>
      </w:pPr>
      <w:r>
        <w:rPr>
          <w:rFonts w:ascii="Consolas" w:hAnsi="Consolas" w:eastAsia="Heiti SC"/>
          <w:b w:val="0"/>
          <w:i w:val="0"/>
          <w:sz w:val="19"/>
        </w:rPr>
        <w:t>python3 selfcheck.py                                         # 一键自检</w:t>
      </w:r>
    </w:p>
    <w:p>
      <w:pPr>
        <w:pStyle w:val="Heading2"/>
        <w:spacing w:before="280" w:after="140"/>
      </w:pPr>
      <w:r>
        <w:rPr>
          <w:rFonts w:ascii="Calibri" w:hAnsi="Calibri" w:eastAsia="Heiti SC"/>
          <w:b/>
          <w:i w:val="0"/>
          <w:color w:val="2E74B5"/>
          <w:sz w:val="26"/>
        </w:rPr>
        <w:t>一键自检（推荐所有使用/宣传对象执行）</w:t>
      </w:r>
    </w:p>
    <w:p>
      <w:pPr>
        <w:spacing w:before="0" w:after="120" w:line="300" w:lineRule="auto"/>
      </w:pPr>
      <w:r>
        <w:rPr>
          <w:rFonts w:ascii="Calibri" w:hAnsi="Calibri" w:eastAsia="Heiti SC"/>
          <w:b w:val="0"/>
          <w:i w:val="0"/>
          <w:sz w:val="22"/>
        </w:rPr>
        <w:t>运行 python3 selfcheck.py，输出全部 PASS 即证明拷贝与官方版本行为一致。</w:t>
      </w:r>
    </w:p>
    <w:p>
      <w:pPr>
        <w:pStyle w:val="Heading1"/>
        <w:spacing w:before="360" w:after="200"/>
      </w:pPr>
      <w:r>
        <w:rPr>
          <w:rFonts w:ascii="Calibri" w:hAnsi="Calibri" w:eastAsia="Heiti SC"/>
          <w:b/>
          <w:i w:val="0"/>
          <w:color w:val="2E74B5"/>
          <w:sz w:val="32"/>
        </w:rPr>
        <w:t>注意事项（安全边界）</w:t>
      </w:r>
    </w:p>
    <w:p>
      <w:pPr>
        <w:pStyle w:val="Heading2"/>
        <w:spacing w:before="280" w:after="140"/>
      </w:pPr>
      <w:r>
        <w:rPr>
          <w:rFonts w:ascii="Calibri" w:hAnsi="Calibri" w:eastAsia="Heiti SC"/>
          <w:b/>
          <w:i w:val="0"/>
          <w:color w:val="2E74B5"/>
          <w:sz w:val="26"/>
        </w:rPr>
        <w:t>安全等级，请对号入座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9360" w:type="dxa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944"/>
        <w:gridCol w:w="3240"/>
        <w:gridCol w:w="2088"/>
        <w:gridCol w:w="2088"/>
      </w:tblGrid>
      <w:tr>
        <w:tc>
          <w:tcPr>
            <w:tcW w:type="dxa" w:w="2340"/>
            <w:vAlign w:val="center"/>
            <w:tcW w:w="1944"/>
            <w:shd w:val="clear" w:color="auto" w:fill="E8EEF5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/>
                <w:i w:val="0"/>
                <w:sz w:val="20"/>
              </w:rPr>
              <w:t>操作</w:t>
            </w:r>
          </w:p>
        </w:tc>
        <w:tc>
          <w:tcPr>
            <w:tcW w:type="dxa" w:w="2340"/>
            <w:vAlign w:val="center"/>
            <w:tcW w:w="3240"/>
            <w:shd w:val="clear" w:color="auto" w:fill="E8EEF5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/>
                <w:i w:val="0"/>
                <w:sz w:val="20"/>
              </w:rPr>
              <w:t>替换了什么</w:t>
            </w:r>
          </w:p>
        </w:tc>
        <w:tc>
          <w:tcPr>
            <w:tcW w:type="dxa" w:w="2340"/>
            <w:vAlign w:val="center"/>
            <w:tcW w:w="2088"/>
            <w:shd w:val="clear" w:color="auto" w:fill="E8EEF5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/>
                <w:i w:val="0"/>
                <w:sz w:val="20"/>
              </w:rPr>
              <w:t>还剩什么</w:t>
            </w:r>
          </w:p>
        </w:tc>
        <w:tc>
          <w:tcPr>
            <w:tcW w:type="dxa" w:w="2340"/>
            <w:vAlign w:val="center"/>
            <w:tcW w:w="2088"/>
            <w:shd w:val="clear" w:color="auto" w:fill="E8EEF5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/>
                <w:i w:val="0"/>
                <w:sz w:val="20"/>
              </w:rPr>
              <w:t>能否上传云端 AI</w:t>
            </w:r>
          </w:p>
        </w:tc>
      </w:tr>
      <w:tr>
        <w:tc>
          <w:tcPr>
            <w:tcW w:type="dxa" w:w="2340"/>
            <w:vAlign w:val="center"/>
            <w:tcW w:w="1944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规则层 mask</w:t>
            </w:r>
          </w:p>
        </w:tc>
        <w:tc>
          <w:tcPr>
            <w:tcW w:type="dxa" w:w="2340"/>
            <w:vAlign w:val="center"/>
            <w:tcW w:w="3240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20+ 类结构化数据 + 角色/裸人名 + 地址 + 金额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案情敏感细节、裸公司简称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⚠️ 不建议直接上传</w:t>
            </w:r>
          </w:p>
        </w:tc>
      </w:tr>
      <w:tr>
        <w:tc>
          <w:tcPr>
            <w:tcW w:type="dxa" w:w="2340"/>
            <w:vAlign w:val="center"/>
            <w:tcW w:w="1944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规则层 + 本地 LLM（full）</w:t>
            </w:r>
          </w:p>
        </w:tc>
        <w:tc>
          <w:tcPr>
            <w:tcW w:type="dxa" w:w="2340"/>
            <w:vAlign w:val="center"/>
            <w:tcW w:w="3240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上述全部 + 案情细节/公司名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无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✅ 可以（模型在本地）</w:t>
            </w:r>
          </w:p>
        </w:tc>
      </w:tr>
      <w:tr>
        <w:tc>
          <w:tcPr>
            <w:tcW w:type="dxa" w:w="2340"/>
            <w:vAlign w:val="center"/>
            <w:tcW w:w="1944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规则层 + 云端 API（full）</w:t>
            </w:r>
          </w:p>
        </w:tc>
        <w:tc>
          <w:tcPr>
            <w:tcW w:type="dxa" w:w="2340"/>
            <w:vAlign w:val="center"/>
            <w:tcW w:w="3240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上述全部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无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✅ 但 LLM 那一步数据会到服务商</w:t>
            </w:r>
          </w:p>
        </w:tc>
      </w:tr>
    </w:tbl>
    <w:p>
      <w:pPr>
        <w:spacing w:before="0" w:after="40" w:line="300" w:lineRule="auto"/>
      </w:pPr>
    </w:p>
    <w:p>
      <w:pPr>
        <w:pStyle w:val="Heading2"/>
        <w:spacing w:before="280" w:after="140"/>
      </w:pPr>
      <w:r>
        <w:rPr>
          <w:rFonts w:ascii="Calibri" w:hAnsi="Calibri" w:eastAsia="Heiti SC"/>
          <w:b/>
          <w:i w:val="0"/>
          <w:color w:val="2E74B5"/>
          <w:sz w:val="26"/>
        </w:rPr>
        <w:t>必须知道的三件事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Calibri" w:hAnsi="Calibri" w:eastAsia="Heiti SC"/>
          <w:b w:val="0"/>
          <w:i w:val="0"/>
          <w:sz w:val="22"/>
        </w:rPr>
        <w:t>只跑规则层就把文件上传 AI，姓名和案情细节仍在泄露。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Calibri" w:hAnsi="Calibri" w:eastAsia="Heiti SC"/>
          <w:b w:val="0"/>
          <w:i w:val="0"/>
          <w:sz w:val="22"/>
        </w:rPr>
        <w:t>映射表是敏感文件：含全部原始值，务必加密保存（--encrypt-mapping），切勿上传网络。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Calibri" w:hAnsi="Calibri" w:eastAsia="Heiti SC"/>
          <w:b w:val="0"/>
          <w:i w:val="0"/>
          <w:sz w:val="22"/>
        </w:rPr>
        <w:t>云端 LLM 方案数据出境：人名、地址、案情会发送给 API 服务商；涉密材料请用本地 Ollama 或纯规则层 + 人工复核。</w:t>
      </w:r>
    </w:p>
    <w:p>
      <w:pPr>
        <w:pStyle w:val="Heading1"/>
        <w:spacing w:before="360" w:after="200"/>
      </w:pPr>
      <w:r>
        <w:rPr>
          <w:rFonts w:ascii="Calibri" w:hAnsi="Calibri" w:eastAsia="Heiti SC"/>
          <w:b/>
          <w:i w:val="0"/>
          <w:color w:val="2E74B5"/>
          <w:sz w:val="32"/>
        </w:rPr>
        <w:t>已知不足与边界（不回避）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Calibri" w:hAnsi="Calibri" w:eastAsia="Heiti SC"/>
          <w:b w:val="0"/>
          <w:i w:val="0"/>
          <w:sz w:val="22"/>
        </w:rPr>
        <w:t>LLM 层仍需外部模型：案情敏感细节、裸公司简称两类只能靠 LLM（本地或云端），规则层不承诺覆盖。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Calibri" w:hAnsi="Calibri" w:eastAsia="Heiti SC"/>
          <w:b w:val="0"/>
          <w:i w:val="0"/>
          <w:sz w:val="22"/>
        </w:rPr>
        <w:t>裸人名是启发式：罕见姓氏、单次出现的数字三字名、网络昵称存在漏判或过度脱敏。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Calibri" w:hAnsi="Calibri" w:eastAsia="Heiti SC"/>
          <w:b w:val="0"/>
          <w:i w:val="0"/>
          <w:sz w:val="22"/>
        </w:rPr>
        <w:t>jieba 是必装依赖：缺失时裸人名发现自动关闭。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Calibri" w:hAnsi="Calibri" w:eastAsia="Heiti SC"/>
          <w:b w:val="0"/>
          <w:i w:val="0"/>
          <w:sz w:val="22"/>
        </w:rPr>
        <w:t>格式保真有限：docx 保留段落结构；PDF 输出为纯文本。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Calibri" w:hAnsi="Calibri" w:eastAsia="Heiti SC"/>
          <w:b w:val="0"/>
          <w:i w:val="0"/>
          <w:sz w:val="22"/>
        </w:rPr>
        <w:t>仅面向中文法律文书，英文及其他语种实体规则未覆盖。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Calibri" w:hAnsi="Calibri" w:eastAsia="Heiti SC"/>
          <w:b w:val="0"/>
          <w:i w:val="0"/>
          <w:sz w:val="22"/>
        </w:rPr>
        <w:t>full 命令依赖模型执行力：不同模型效果有差异，须用 evaluate.py --llm-api 实测。</w:t>
      </w:r>
    </w:p>
    <w:p>
      <w:pPr>
        <w:pStyle w:val="Heading1"/>
        <w:spacing w:before="360" w:after="200"/>
      </w:pPr>
      <w:r>
        <w:rPr>
          <w:rFonts w:ascii="Calibri" w:hAnsi="Calibri" w:eastAsia="Heiti SC"/>
          <w:b/>
          <w:i w:val="0"/>
          <w:color w:val="2E74B5"/>
          <w:sz w:val="32"/>
        </w:rPr>
        <w:t>与同类开源工具的差异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9360" w:type="dxa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3096"/>
        <w:gridCol w:w="2088"/>
        <w:gridCol w:w="2088"/>
        <w:gridCol w:w="2088"/>
      </w:tblGrid>
      <w:tr>
        <w:tc>
          <w:tcPr>
            <w:tcW w:type="dxa" w:w="2340"/>
            <w:vAlign w:val="center"/>
            <w:tcW w:w="3096"/>
            <w:shd w:val="clear" w:color="auto" w:fill="E8EEF5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/>
                <w:i w:val="0"/>
                <w:sz w:val="20"/>
              </w:rPr>
              <w:t>能力</w:t>
            </w:r>
          </w:p>
        </w:tc>
        <w:tc>
          <w:tcPr>
            <w:tcW w:type="dxa" w:w="2340"/>
            <w:vAlign w:val="center"/>
            <w:tcW w:w="2088"/>
            <w:shd w:val="clear" w:color="auto" w:fill="E8EEF5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/>
                <w:i w:val="0"/>
                <w:sz w:val="20"/>
              </w:rPr>
              <w:t>本工具</w:t>
            </w:r>
          </w:p>
        </w:tc>
        <w:tc>
          <w:tcPr>
            <w:tcW w:type="dxa" w:w="2340"/>
            <w:vAlign w:val="center"/>
            <w:tcW w:w="2088"/>
            <w:shd w:val="clear" w:color="auto" w:fill="E8EEF5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/>
                <w:i w:val="0"/>
                <w:sz w:val="20"/>
              </w:rPr>
              <w:t>通用脱敏库</w:t>
            </w:r>
          </w:p>
        </w:tc>
        <w:tc>
          <w:tcPr>
            <w:tcW w:type="dxa" w:w="2340"/>
            <w:vAlign w:val="center"/>
            <w:tcW w:w="2088"/>
            <w:shd w:val="clear" w:color="auto" w:fill="E8EEF5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/>
                <w:i w:val="0"/>
                <w:sz w:val="20"/>
              </w:rPr>
              <w:t>海外法律脱敏方案</w:t>
            </w:r>
          </w:p>
        </w:tc>
      </w:tr>
      <w:tr>
        <w:tc>
          <w:tcPr>
            <w:tcW w:type="dxa" w:w="2340"/>
            <w:vAlign w:val="center"/>
            <w:tcW w:w="3096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中国法律实体（案号/信用代码/执业证号/车牌）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✅ 专精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部分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❌</w:t>
            </w:r>
          </w:p>
        </w:tc>
      </w:tr>
      <w:tr>
        <w:tc>
          <w:tcPr>
            <w:tcW w:type="dxa" w:w="2340"/>
            <w:vAlign w:val="center"/>
            <w:tcW w:w="3096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语义占位符（[当事人甲（原告）]）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✅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❌ 星号打码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部分</w:t>
            </w:r>
          </w:p>
        </w:tc>
      </w:tr>
      <w:tr>
        <w:tc>
          <w:tcPr>
            <w:tcW w:type="dxa" w:w="2340"/>
            <w:vAlign w:val="center"/>
            <w:tcW w:w="3096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加密映射 + 一键无损还原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✅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❌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部分</w:t>
            </w:r>
          </w:p>
        </w:tc>
      </w:tr>
      <w:tr>
        <w:tc>
          <w:tcPr>
            <w:tcW w:type="dxa" w:w="2340"/>
            <w:vAlign w:val="center"/>
            <w:tcW w:w="3096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量化红队评测（召回率/误报）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✅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部分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部分</w:t>
            </w:r>
          </w:p>
        </w:tc>
      </w:tr>
      <w:tr>
        <w:tc>
          <w:tcPr>
            <w:tcW w:type="dxa" w:w="2340"/>
            <w:vAlign w:val="center"/>
            <w:tcW w:w="3096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全文实体一致（同一人同一占位符）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✅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❌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部分</w:t>
            </w:r>
          </w:p>
        </w:tc>
      </w:tr>
      <w:tr>
        <w:tc>
          <w:tcPr>
            <w:tcW w:type="dxa" w:w="2340"/>
            <w:vAlign w:val="center"/>
            <w:tcW w:w="3096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本地优先 / 数据不出机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✅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✅</w:t>
            </w:r>
          </w:p>
        </w:tc>
        <w:tc>
          <w:tcPr>
            <w:tcW w:type="dxa" w:w="2340"/>
            <w:vAlign w:val="center"/>
            <w:tcW w:w="2088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✅</w:t>
            </w:r>
          </w:p>
        </w:tc>
      </w:tr>
    </w:tbl>
    <w:p>
      <w:pPr>
        <w:pStyle w:val="Heading1"/>
        <w:spacing w:before="360" w:after="200"/>
      </w:pPr>
      <w:r>
        <w:rPr>
          <w:rFonts w:ascii="Calibri" w:hAnsi="Calibri" w:eastAsia="Heiti SC"/>
          <w:b/>
          <w:i w:val="0"/>
          <w:color w:val="2E74B5"/>
          <w:sz w:val="32"/>
        </w:rPr>
        <w:t>版本里程碑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9360" w:type="dxa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655"/>
        <w:gridCol w:w="7703"/>
      </w:tblGrid>
      <w:tr>
        <w:tc>
          <w:tcPr>
            <w:tcW w:type="dxa" w:w="4680"/>
            <w:vAlign w:val="center"/>
            <w:tcW w:w="1655"/>
            <w:shd w:val="clear" w:color="auto" w:fill="E8EEF5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/>
                <w:i w:val="0"/>
                <w:sz w:val="20"/>
              </w:rPr>
              <w:t>版本</w:t>
            </w:r>
          </w:p>
        </w:tc>
        <w:tc>
          <w:tcPr>
            <w:tcW w:type="dxa" w:w="4680"/>
            <w:vAlign w:val="center"/>
            <w:tcW w:w="7703"/>
            <w:shd w:val="clear" w:color="auto" w:fill="E8EEF5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/>
                <w:i w:val="0"/>
                <w:sz w:val="20"/>
              </w:rPr>
              <w:t>内容</w:t>
            </w:r>
          </w:p>
        </w:tc>
      </w:tr>
      <w:tr>
        <w:tc>
          <w:tcPr>
            <w:tcW w:type="dxa" w:w="4680"/>
            <w:vAlign w:val="center"/>
            <w:tcW w:w="1655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v1.0</w:t>
            </w:r>
          </w:p>
        </w:tc>
        <w:tc>
          <w:tcPr>
            <w:tcW w:type="dxa" w:w="4680"/>
            <w:vAlign w:val="center"/>
            <w:tcW w:w="7703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规则引擎 + LLM 混合架构，18 类实体</w:t>
            </w:r>
          </w:p>
        </w:tc>
      </w:tr>
      <w:tr>
        <w:tc>
          <w:tcPr>
            <w:tcW w:type="dxa" w:w="4680"/>
            <w:vAlign w:val="center"/>
            <w:tcW w:w="1655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v2.1</w:t>
            </w:r>
          </w:p>
        </w:tc>
        <w:tc>
          <w:tcPr>
            <w:tcW w:type="dxa" w:w="4680"/>
            <w:vAlign w:val="center"/>
            <w:tcW w:w="7703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EntityResolver 实体归一化、AES-256-GCM 加密映射表、内存安全模式</w:t>
            </w:r>
          </w:p>
        </w:tc>
      </w:tr>
      <w:tr>
        <w:tc>
          <w:tcPr>
            <w:tcW w:type="dxa" w:w="4680"/>
            <w:vAlign w:val="center"/>
            <w:tcW w:w="1655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v2.1.1</w:t>
            </w:r>
          </w:p>
        </w:tc>
        <w:tc>
          <w:tcPr>
            <w:tcW w:type="dxa" w:w="4680"/>
            <w:vAlign w:val="center"/>
            <w:tcW w:w="7703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规则层正确性大修（执业证号/信用代码/身份证/日期/微信边界）</w:t>
            </w:r>
          </w:p>
        </w:tc>
      </w:tr>
      <w:tr>
        <w:tc>
          <w:tcPr>
            <w:tcW w:type="dxa" w:w="4680"/>
            <w:vAlign w:val="center"/>
            <w:tcW w:w="1655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v2.2</w:t>
            </w:r>
          </w:p>
        </w:tc>
        <w:tc>
          <w:tcPr>
            <w:tcW w:type="dxa" w:w="4680"/>
            <w:vAlign w:val="center"/>
            <w:tcW w:w="7703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GB 11643/GB 32100 校验码、一键还原 restore、红队评测 evaluate、本地 NER</w:t>
            </w:r>
          </w:p>
        </w:tc>
      </w:tr>
      <w:tr>
        <w:tc>
          <w:tcPr>
            <w:tcW w:type="dxa" w:w="4680"/>
            <w:vAlign w:val="center"/>
            <w:tcW w:w="1655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v2.3</w:t>
            </w:r>
          </w:p>
        </w:tc>
        <w:tc>
          <w:tcPr>
            <w:tcW w:type="dxa" w:w="4680"/>
            <w:vAlign w:val="center"/>
            <w:tcW w:w="7703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full 完整脱敏流水线（规则层+LLM 合并映射）、失败安全机制</w:t>
            </w:r>
          </w:p>
        </w:tc>
      </w:tr>
      <w:tr>
        <w:tc>
          <w:tcPr>
            <w:tcW w:type="dxa" w:w="4680"/>
            <w:vAlign w:val="center"/>
            <w:tcW w:w="1655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v2.3.1</w:t>
            </w:r>
          </w:p>
        </w:tc>
        <w:tc>
          <w:tcPr>
            <w:tcW w:type="dxa" w:w="4680"/>
            <w:vAlign w:val="center"/>
            <w:tcW w:w="7703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云端 API 适配（通义/DeepSeek/智谱），无需本地部署模型</w:t>
            </w:r>
          </w:p>
        </w:tc>
      </w:tr>
      <w:tr>
        <w:tc>
          <w:tcPr>
            <w:tcW w:type="dxa" w:w="4680"/>
            <w:vAlign w:val="center"/>
            <w:tcW w:w="1655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v2.4</w:t>
            </w:r>
          </w:p>
        </w:tc>
        <w:tc>
          <w:tcPr>
            <w:tcW w:type="dxa" w:w="4680"/>
            <w:vAlign w:val="center"/>
            <w:tcW w:w="7703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裸人名 + 无层级地址进规则层（jieba 分词过滤 + 全文实体一致）</w:t>
            </w:r>
          </w:p>
        </w:tc>
      </w:tr>
      <w:tr>
        <w:tc>
          <w:tcPr>
            <w:tcW w:type="dxa" w:w="4680"/>
            <w:vAlign w:val="center"/>
            <w:tcW w:w="1655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v2.5</w:t>
            </w:r>
          </w:p>
        </w:tc>
        <w:tc>
          <w:tcPr>
            <w:tcW w:type="dxa" w:w="4680"/>
            <w:vAlign w:val="center"/>
            <w:tcW w:w="7703"/>
          </w:tcPr>
          <w:p>
            <w:pPr>
              <w:spacing w:before="40" w:after="40" w:line="276" w:lineRule="auto"/>
              <w:jc w:val="left"/>
            </w:pPr>
            <w:r>
              <w:rPr>
                <w:rFonts w:ascii="Calibri" w:hAnsi="Calibri" w:eastAsia="Heiti SC"/>
                <w:b w:val="0"/>
                <w:i w:val="0"/>
                <w:sz w:val="20"/>
              </w:rPr>
              <w:t>实战修复：还原精确配对 / 角色词后名词门控 / OCR 空格兼容 / 金额增强；56 项回归测试 + 59 个红队用例</w:t>
            </w:r>
          </w:p>
        </w:tc>
      </w:tr>
    </w:tbl>
    <w:p>
      <w:pPr>
        <w:pStyle w:val="Heading1"/>
        <w:spacing w:before="360" w:after="200"/>
      </w:pPr>
      <w:r>
        <w:rPr>
          <w:rFonts w:ascii="Calibri" w:hAnsi="Calibri" w:eastAsia="Heiti SC"/>
          <w:b/>
          <w:i w:val="0"/>
          <w:color w:val="2E74B5"/>
          <w:sz w:val="32"/>
        </w:rPr>
        <w:t>授权</w:t>
      </w:r>
    </w:p>
    <w:p>
      <w:pPr>
        <w:spacing w:before="0" w:after="120" w:line="300" w:lineRule="auto"/>
      </w:pPr>
      <w:r>
        <w:rPr>
          <w:rFonts w:ascii="Calibri" w:hAnsi="Calibri" w:eastAsia="Heiti SC"/>
          <w:b w:val="0"/>
          <w:i w:val="0"/>
          <w:sz w:val="22"/>
        </w:rPr>
        <w:t>MIT License，可自由使用与二次开发。</w:t>
      </w:r>
    </w:p>
    <w:p>
      <w:pPr>
        <w:spacing w:before="160" w:after="0"/>
      </w:pPr>
      <w:r>
        <w:rPr>
          <w:rFonts w:ascii="Calibri" w:hAnsi="Calibri" w:eastAsia="Heiti SC"/>
          <w:b w:val="0"/>
          <w:i/>
          <w:color w:val="555555"/>
          <w:sz w:val="20"/>
        </w:rPr>
        <w:t>本工具是“分层脱敏系统”，不是一键魔法。请根据材料涉密程度选择脱敏深度，关键文书建议脱敏后人工抽检。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  <w:spacing w:after="40"/>
      <w:pBdr>
        <w:bottom w:val="single" w:sz="4" w:space="2" w:color="C9D3E0"/>
      </w:pBdr>
    </w:pPr>
    <w:r>
      <w:rPr>
        <w:rFonts w:ascii="Calibri" w:hAnsi="Calibri" w:eastAsia="Heiti SC"/>
        <w:b w:val="0"/>
        <w:i w:val="0"/>
        <w:color w:val="555555"/>
        <w:sz w:val="17"/>
      </w:rPr>
    </w:r>
    <w:r>
      <w:rPr>
        <w:rFonts w:ascii="Calibri" w:hAnsi="Calibri" w:eastAsia="Heiti SC"/>
        <w:b w:val="0"/>
        <w:i w:val="0"/>
        <w:color w:val="555555"/>
        <w:sz w:val="17"/>
      </w:rPr>
      <w:t xml:space="preserve">法律文书脱敏工具 · 宣传介绍　　</w:t>
    </w:r>
    <w:r>
      <w:rPr>
        <w:rFonts w:ascii="Calibri" w:hAnsi="Calibri" w:eastAsia="Heiti SC"/>
        <w:b w:val="0"/>
        <w:i w:val="0"/>
        <w:color w:val="555555"/>
        <w:sz w:val="17"/>
      </w:rPr>
      <w:tab/>
    </w:r>
    <w:r>
      <w:rPr>
        <w:rFonts w:ascii="Calibri" w:hAnsi="Calibri" w:eastAsia="Heiti SC"/>
        <w:b w:val="0"/>
        <w:i w:val="0"/>
        <w:color w:val="555555"/>
        <w:sz w:val="17"/>
      </w:rPr>
      <w:fldChar w:fldCharType="begin"/>
      <w:instrText xml:space="preserve"> PAGE 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lvl w:ilvl="0">
      <w:start w:val="1"/>
      <w:numFmt w:val="bullet"/>
      <w:lvlText w:val="•"/>
      <w:lvlJc w:val="left"/>
      <w:pPr>
        <w:ind w:left="540" w:hanging="270"/>
      </w:pPr>
    </w:lvl>
  </w:abstractNum>
  <w:num w:numId="10">
    <w:abstractNumId w:val="9"/>
  </w:num>
  <w:abstractNum w:abstractNumId="10">
    <w:lvl w:ilvl="0">
      <w:start w:val="1"/>
      <w:numFmt w:val="decimal"/>
      <w:lvlText w:val="%1."/>
      <w:lvlJc w:val="left"/>
      <w:pPr>
        <w:ind w:left="540" w:hanging="270"/>
      </w:pPr>
    </w:lvl>
  </w:abstractNum>
  <w:num w:numId="11">
    <w:abstractNumId w:val="10"/>
  </w:num>
  <w:abstractNum w:abstractNumId="11">
    <w:lvl w:ilvl="0">
      <w:start w:val="1"/>
      <w:numFmt w:val="decimal"/>
      <w:lvlText w:val="%1."/>
      <w:lvlJc w:val="left"/>
      <w:pPr>
        <w:ind w:left="540" w:hanging="270"/>
      </w:pPr>
    </w:lvl>
  </w:abstractNum>
  <w:num w:numId="12">
    <w:abstractNumId w:val="11"/>
  </w:num>
  <w:abstractNum w:abstractNumId="12">
    <w:lvl w:ilvl="0">
      <w:start w:val="1"/>
      <w:numFmt w:val="bullet"/>
      <w:lvlText w:val="•"/>
      <w:lvlJc w:val="left"/>
      <w:pPr>
        <w:ind w:left="540" w:hanging="270"/>
      </w:pPr>
    </w:lvl>
  </w:abstract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Heiti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