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｜ 两阶段工作流（审阅清单）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60 个红队用例（含真实判决书实战负样本），一键输出分类型召回率/误报/泄露报告；当前基线 60/60 通过，结构化期望 70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一键验证文件、59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两阶段工作流，无需接入任何外部 API：</w:t>
      </w:r>
      <w:r>
        <w:rPr>
          <w:rFonts w:ascii="Calibri" w:hAnsi="Calibri" w:eastAsia="Heiti SC"/>
          <w:b w:val="0"/>
          <w:i w:val="0"/>
          <w:sz w:val="22"/>
        </w:rPr>
        <w:t>阶段一（规则层）：关键信息本地必清，mask --review 一次生成脱敏文书 + 审阅清单，自动校验关键信息清零并列出剩余低优先级项；阶段二（语义层）：律师审阅后说"继续语义层脱敏"，配置了本技能的 AI 直接执行，无需 Ollama、无需 API Key；本地/云端模型仍为可选替代，不再是默认依赖。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空格兼容（公司简称内空格、金额数字与单位间空格）；金额支持无单位大数。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--review         # 阶段一：脱敏+审阅清单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可选：规则层+本地LLM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3240"/>
        <w:gridCol w:w="1944"/>
        <w:gridCol w:w="1800"/>
      </w:tblGrid>
      <w:tr>
        <w:tc>
          <w:tcPr>
            <w:tcW w:type="dxa" w:w="2340"/>
            <w:vAlign w:val="center"/>
            <w:tcW w:w="237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180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mask（阶段一）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关键信息（身份证/手机/银行卡/案号等）+ 人名/公司名/地址/金额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法院名称、案情细节、公司简称、OCR 变体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须先经审阅清单确认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Agent 语义层（默认，无需外部 API）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语义层低优先级信息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规则层结果必须先过审阅清单：mask --review 的关键信息校验要 ✅，剩余低优先级项逐条确认后再使用。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或默认的 Agent 语义层（无需外部 API）。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语义层需要"配置了本技能的 AI"来执行：无 AI 环境批量处理时才需本地 Ollama 或云端 API 作为替代；规则层不承诺覆盖法院名称、案情敏感细节、裸公司简称、OCR 变体写法。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金额增强；59 项回归测试 + 60 个红队用例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v2.6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两阶段工作流：规则层关键信息必清 → --review 审阅清单 → Agent 语义层直接执行（无需外部 API）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简介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