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 w:eastAsia="Heiti SC"/>
          <w:b/>
          <w:i w:val="0"/>
          <w:color w:val="0B2545"/>
          <w:sz w:val="48"/>
        </w:rPr>
        <w:t>法律文书脱敏工具</w:t>
      </w:r>
    </w:p>
    <w:p>
      <w:pPr>
        <w:spacing w:before="0" w:after="200" w:line="300" w:lineRule="auto"/>
      </w:pPr>
      <w:r>
        <w:rPr>
          <w:rFonts w:ascii="Calibri" w:hAnsi="Calibri" w:eastAsia="Heiti SC"/>
          <w:b w:val="0"/>
          <w:i w:val="0"/>
          <w:color w:val="555555"/>
          <w:sz w:val="24"/>
        </w:rPr>
        <w:t>Legal Document Desensitizer</w:t>
      </w:r>
    </w:p>
    <w:p>
      <w:pPr>
        <w:spacing w:before="0" w:after="80" w:line="300" w:lineRule="auto"/>
      </w:pPr>
      <w:r>
        <w:rPr>
          <w:rFonts w:ascii="Calibri" w:hAnsi="Calibri" w:eastAsia="Heiti SC"/>
          <w:b/>
          <w:i w:val="0"/>
          <w:color w:val="2E74B5"/>
          <w:sz w:val="26"/>
        </w:rPr>
        <w:t>面向中国律师与法律实务的本地优先文书脱敏工具</w:t>
      </w:r>
    </w:p>
    <w:p>
      <w:pPr>
        <w:spacing w:before="0" w:after="240" w:line="300" w:lineRule="auto"/>
      </w:pPr>
      <w:r>
        <w:rPr>
          <w:rFonts w:ascii="Calibri" w:hAnsi="Calibri" w:eastAsia="Heiti SC"/>
          <w:b w:val="0"/>
          <w:i w:val="0"/>
          <w:color w:val="555555"/>
          <w:sz w:val="20"/>
        </w:rPr>
        <w:t>规则引擎 + 语义占位符 ｜ 两阶段工作流（审阅清单） ｜ 加密映射表 ｜ 一键无损还原 ｜ 红队评测量化</w:t>
      </w:r>
    </w:p>
    <w:p>
      <w:pPr>
        <w:spacing w:before="40" w:after="280" w:line="312" w:lineRule="auto"/>
        <w:shd w:val="clear" w:color="auto" w:fill="F4F6F9"/>
        <w:pBdr>
          <w:top w:val="single" w:sz="6" w:space="6" w:color="D0D7E2"/>
          <w:left w:val="single" w:sz="6" w:space="6" w:color="D0D7E2"/>
          <w:bottom w:val="single" w:sz="6" w:space="6" w:color="D0D7E2"/>
          <w:right w:val="single" w:sz="6" w:space="6" w:color="D0D7E2"/>
        </w:pBdr>
      </w:pPr>
      <w:r>
        <w:rPr>
          <w:rFonts w:ascii="Calibri" w:hAnsi="Calibri" w:eastAsia="Heiti SC"/>
          <w:b/>
          <w:i w:val="0"/>
          <w:color w:val="0B2545"/>
          <w:sz w:val="23"/>
        </w:rPr>
        <w:t>核心承诺：</w:t>
      </w:r>
      <w:r>
        <w:rPr>
          <w:rFonts w:ascii="Calibri" w:hAnsi="Calibri" w:eastAsia="Heiti SC"/>
          <w:b w:val="0"/>
          <w:i w:val="0"/>
          <w:sz w:val="23"/>
        </w:rPr>
        <w:t>结构化数据零依赖本地处理、可量化验证、可无损还原、不盲目信任模型输出。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一句话介绍</w:t>
      </w:r>
    </w:p>
    <w:p>
      <w:pPr>
        <w:spacing w:before="0" w:after="120" w:line="300" w:lineRule="auto"/>
      </w:pPr>
      <w:r>
        <w:rPr>
          <w:rFonts w:ascii="Calibri" w:hAnsi="Calibri" w:eastAsia="Heiti SC"/>
          <w:b w:val="0"/>
          <w:i w:val="0"/>
          <w:sz w:val="22"/>
        </w:rPr>
        <w:t>把判决书、合同、聊天记录、证据材料里的敏感信息（身份证号、手机号、银行卡号、人名、地址、金额、案情细节……）自动替换为语义占位符（[当事人甲（原告）]、[身份证号]），同时生成加密映射表，需要原文时一键无损还原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为什么需要它</w:t>
      </w:r>
    </w:p>
    <w:p>
      <w:pPr>
        <w:spacing w:before="0" w:after="120" w:line="300" w:lineRule="auto"/>
      </w:pPr>
      <w:r>
        <w:rPr>
          <w:rFonts w:ascii="Calibri" w:hAnsi="Calibri" w:eastAsia="Heiti SC"/>
          <w:b w:val="0"/>
          <w:i w:val="0"/>
          <w:sz w:val="22"/>
        </w:rPr>
        <w:t>律师日常工作离不开涉密文书：起诉状、判决书、合同、尽调报告、聊天记录。对外分享、上传 AI 辅助、交给协作方时，一条没脱敏的身份证号或当事人姓名就可能构成泄密。而通用工具不懂中国法律语境：要么漏掉案号、统一社会信用代码、律师执业证号这类中国特有实体，要么把“粤B88888”车牌当微信号、把日期当身份信息。</w:t>
      </w:r>
    </w:p>
    <w:p>
      <w:pPr>
        <w:spacing w:before="0" w:after="120" w:line="300" w:lineRule="auto"/>
      </w:pPr>
      <w:r>
        <w:rPr>
          <w:rFonts w:ascii="Calibri" w:hAnsi="Calibri" w:eastAsia="Heiti SC"/>
          <w:b w:val="0"/>
          <w:i w:val="0"/>
          <w:sz w:val="22"/>
        </w:rPr>
        <w:t>本工具专为中国法律文书设计，覆盖 20+ 类中国法律敏感实体，并针对律师真正关心的三件事做了设计：脱得干净、查得到底、还原得回来。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适用场景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判决书 / 裁定书 / 调解书的对外脱敏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合同、协议中的当事人信息与商业条款脱敏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微信聊天记录、邮件等沟通证据的提交前脱敏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尽调材料、证据册的涉密信息筛查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文书上传云端 AI 前的预处理（结构化号码本地先替换）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律所内部归档 / 协作时的隐私合规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格式预处理：docx / pdf / html / csv / 扫描件图片先经内置 format-converter 转成 txt / md / json 再脱敏（判决书 PDF、网上复制的裁判文书、当事人名单等）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好用的地方（核心亮点）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中国法律实体全覆盖（规则层，无需模型）：</w:t>
      </w:r>
      <w:r>
        <w:rPr>
          <w:rFonts w:ascii="Calibri" w:hAnsi="Calibri" w:eastAsia="Heiti SC"/>
          <w:b w:val="0"/>
          <w:i w:val="0"/>
          <w:sz w:val="22"/>
        </w:rPr>
        <w:t>身份证号（GB 11643 校验码）、统一社会信用代码（GB 32100 校验码）、银行卡号（Luhn）、手机号、邮箱、微信号、律师执业证号、组织机构代码、护照/港澳通行证/驾驶证、案号、车牌号、出生日期、金额、角色人名、裸人名、公司名、地址（含无省市区层级的写法）。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语义占位符，律师可读：</w:t>
      </w:r>
      <w:r>
        <w:rPr>
          <w:rFonts w:ascii="Calibri" w:hAnsi="Calibri" w:eastAsia="Heiti SC"/>
          <w:b w:val="0"/>
          <w:i w:val="0"/>
          <w:sz w:val="22"/>
        </w:rPr>
        <w:t>不打马赛克，替换为带角色语义的占位符：同一人物全文对应同一个占位符（实体归一化 + 种子传播），案情脉络完整保留。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加密映射表 + 一键无损还原：</w:t>
      </w:r>
      <w:r>
        <w:rPr>
          <w:rFonts w:ascii="Calibri" w:hAnsi="Calibri" w:eastAsia="Heiti SC"/>
          <w:b w:val="0"/>
          <w:i w:val="0"/>
          <w:sz w:val="22"/>
        </w:rPr>
        <w:t>AES-256-GCM + PBKDF2 加密映射表，密钥不落终端；restore 一条命令还原，逐字节一致，多个 [金额] 也不会还原错位。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红队评测，用数据说话：</w:t>
      </w:r>
      <w:r>
        <w:rPr>
          <w:rFonts w:ascii="Calibri" w:hAnsi="Calibri" w:eastAsia="Heiti SC"/>
          <w:b w:val="0"/>
          <w:i w:val="0"/>
          <w:sz w:val="22"/>
        </w:rPr>
        <w:t>内置 60 个红队用例（含真实判决书实战负样本），一键输出分类型召回率/误报/泄露报告；当前基线 60/60 通过，结构化期望 70 项召回率 100%，保留项误报 0，泄露 0。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失败安全，不盲目信任模型：</w:t>
      </w:r>
      <w:r>
        <w:rPr>
          <w:rFonts w:ascii="Calibri" w:hAnsi="Calibri" w:eastAsia="Heiti SC"/>
          <w:b w:val="0"/>
          <w:i w:val="0"/>
          <w:sz w:val="22"/>
        </w:rPr>
        <w:t>LLM 层输出若增删行数、改动已有占位符、声称替换的值仍残留原文，整套输出被拒绝并中止。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可复现、可自检：</w:t>
      </w:r>
      <w:r>
        <w:rPr>
          <w:rFonts w:ascii="Calibri" w:hAnsi="Calibri" w:eastAsia="Heiti SC"/>
          <w:b w:val="0"/>
          <w:i w:val="0"/>
          <w:sz w:val="22"/>
        </w:rPr>
        <w:t>selfcheck.py 一键验证文件、59 项单元测试、红队评测、还原往返，任何拷贝跑一遍即可比对一致性。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两阶段工作流，无需接入任何外部 API：</w:t>
      </w:r>
      <w:r>
        <w:rPr>
          <w:rFonts w:ascii="Calibri" w:hAnsi="Calibri" w:eastAsia="Heiti SC"/>
          <w:b w:val="0"/>
          <w:i w:val="0"/>
          <w:sz w:val="22"/>
        </w:rPr>
        <w:t>阶段一（规则层）：关键信息本地必清，mask --review 一次生成脱敏文书 + 审阅清单，自动校验关键信息清零并列出剩余低优先级项；阶段二（语义层）：律师审阅后说"继续语义层脱敏"，配置了本技能的 AI 直接执行，无需 Ollama、无需 API Key；本地/云端模型仍为可选替代，不再是默认依赖。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实战打磨，专治 OCR 扫描版文书：</w:t>
      </w:r>
      <w:r>
        <w:rPr>
          <w:rFonts w:ascii="Calibri" w:hAnsi="Calibri" w:eastAsia="Heiti SC"/>
          <w:b w:val="0"/>
          <w:i w:val="0"/>
          <w:sz w:val="22"/>
        </w:rPr>
        <w:t>以 42 页 OCR 扫描判决书做端到端验证：387/387 段无损还原（映射表逐字节一致，含数字与单位间带空格/尾随空格的写法）；角色词后名词不再误伤（提供担保/处签名/印章/私章）；公司名不吞上下文；OCR 空格兼容（公司简称内空格、金额数字与单位间空格）；金额支持无单位大数。OCR 识别最低限度（实测）：字号 ≥8pt 稳定识别；分辨率 ≥150 DPI（工具默认 200）；长度无下限（单个汉字也能识别）；真正的限制是清晰度而非大小，低清翻拍/传真识别率下降，审阅清单会兜底提示 not_found/残留。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原图涂黑（v3.9）：</w:t>
      </w:r>
      <w:r>
        <w:rPr>
          <w:rFonts w:ascii="Calibri" w:hAnsi="Calibri" w:eastAsia="Heiti SC"/>
          <w:b w:val="0"/>
          <w:i w:val="0"/>
          <w:sz w:val="22"/>
        </w:rPr>
        <w:t>图片/截图输入直接在原图上涂黑敏感区域，保留原图版式输出 PDF：macOS Vision 带坐标 OCR 定位敏感值 → 原图对应区域涂黑 → 输出 PDF，双层 residual 校验（像素级确认涂黑 + OCR 复查）。实测真实建行流水截图76 处涂黑、覆盖页面 25.4%，关键敏感区像素全黑确认。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Heiti SC"/>
          <w:b/>
          <w:i w:val="0"/>
          <w:sz w:val="22"/>
        </w:rPr>
        <w:t>内置格式转换 format-converter（v4.1）：</w:t>
      </w:r>
      <w:r>
        <w:rPr>
          <w:rFonts w:ascii="Calibri" w:hAnsi="Calibri" w:eastAsia="Heiti SC"/>
          <w:b w:val="0"/>
          <w:i w:val="0"/>
          <w:sz w:val="22"/>
        </w:rPr>
        <w:t>纯 JS 无外部引擎：docx（mammoth）/ pdf（pdfjs-dist）/ 文本互转（turndown、marked、csv-parse）/ 图片（sharp）全部本地处理，npm install 即可用。扩充脱敏输入链路：判决书 PDF → txt、网上复制的裁判文书 HTML → md、律师文书 docx → txt、当事人名单 csv → json、扫描件图片 → pdf。扫描件/图片型 PDF 无文本层时明确报错并指引走 OCR 通道，不静默产出空文件；刻意排除与脱敏无关的转换（音视频 / NCM / ZIP / Office 全格式），保持轻量。来源 FlyingMouse Format（MIT）。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如何运行</w:t>
      </w:r>
    </w:p>
    <w:p>
      <w:pPr>
        <w:pStyle w:val="Heading2"/>
        <w:spacing w:before="280" w:after="140"/>
      </w:pPr>
      <w:r>
        <w:rPr>
          <w:rFonts w:ascii="Calibri" w:hAnsi="Calibri" w:eastAsia="Heiti SC"/>
          <w:b/>
          <w:i w:val="0"/>
          <w:color w:val="2E74B5"/>
          <w:sz w:val="26"/>
        </w:rPr>
        <w:t>安装</w:t>
      </w:r>
    </w:p>
    <w:p>
      <w:pPr>
        <w:spacing w:before="12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git clone https://github.com/Lirunyi-123/legal-document-desensitizer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cd legal-document-desensitizer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pip3 install -r requirements.txt   # jieba 必装；docx/pdf/加密为可选</w:t>
      </w:r>
    </w:p>
    <w:p>
      <w:pPr>
        <w:spacing w:before="0" w:after="12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cd format-converter &amp;&amp; npm install &amp;&amp; cd ..   # 格式转换核心（可选，需 node &gt;= 22.13）</w:t>
      </w:r>
    </w:p>
    <w:p>
      <w:pPr>
        <w:pStyle w:val="Heading2"/>
        <w:spacing w:before="280" w:after="140"/>
      </w:pPr>
      <w:r>
        <w:rPr>
          <w:rFonts w:ascii="Calibri" w:hAnsi="Calibri" w:eastAsia="Heiti SC"/>
          <w:b/>
          <w:i w:val="0"/>
          <w:color w:val="2E74B5"/>
          <w:sz w:val="26"/>
        </w:rPr>
        <w:t>常用命令</w:t>
      </w:r>
    </w:p>
    <w:p>
      <w:pPr>
        <w:spacing w:before="12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# 格式预处理（format-converter，可选）：docx/pdf/html/csv/图片 → txt/md/json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node format-converter/cli.js 判决书.pdf txt -o 判决书.txt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node format-converter/cli.js 合同.docx txt -o 合同.txt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node format-converter/cli.js 裁判文书.html md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node format-converter/cli.js 当事人.csv json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scan -f 判决书.docx                  # 扫描敏感信息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mask -f 判决书.docx                  # 规则层脱敏（零模型）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mask -f 判决书.docx --review         # 阶段一：脱敏+审阅清单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mask -f 合同.docx --save-mapping 映射表.enc --encrypt-mapping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restore -f 合同_desensitized.docx -m 映射表.enc -o 还原.docx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desensitize.py full -f 判决书.docx --llm-model qwen2.5   # 可选：规则层+本地LLM</w:t>
      </w:r>
    </w:p>
    <w:p>
      <w:pPr>
        <w:spacing w:before="0" w:after="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evaluate.py                                          # 红队评测</w:t>
      </w:r>
    </w:p>
    <w:p>
      <w:pPr>
        <w:spacing w:before="0" w:after="120" w:line="240" w:lineRule="auto"/>
        <w:ind w:left="288"/>
        <w:shd w:val="clear" w:color="auto" w:fill="F2F4F7"/>
      </w:pPr>
      <w:r>
        <w:rPr>
          <w:rFonts w:ascii="Consolas" w:hAnsi="Consolas" w:eastAsia="Heiti SC"/>
          <w:b w:val="0"/>
          <w:i w:val="0"/>
          <w:sz w:val="19"/>
        </w:rPr>
        <w:t>python3 selfcheck.py                                         # 一键自检</w:t>
      </w:r>
    </w:p>
    <w:p>
      <w:pPr>
        <w:pStyle w:val="Heading2"/>
        <w:spacing w:before="280" w:after="140"/>
      </w:pPr>
      <w:r>
        <w:rPr>
          <w:rFonts w:ascii="Calibri" w:hAnsi="Calibri" w:eastAsia="Heiti SC"/>
          <w:b/>
          <w:i w:val="0"/>
          <w:color w:val="2E74B5"/>
          <w:sz w:val="26"/>
        </w:rPr>
        <w:t>一键自检（推荐所有使用/宣传对象执行）</w:t>
      </w:r>
    </w:p>
    <w:p>
      <w:pPr>
        <w:spacing w:before="0" w:after="120" w:line="300" w:lineRule="auto"/>
      </w:pPr>
      <w:r>
        <w:rPr>
          <w:rFonts w:ascii="Calibri" w:hAnsi="Calibri" w:eastAsia="Heiti SC"/>
          <w:b w:val="0"/>
          <w:i w:val="0"/>
          <w:sz w:val="22"/>
        </w:rPr>
        <w:t>运行 python3 selfcheck.py，输出全部 PASS 即证明拷贝与官方版本行为一致。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注意事项（安全边界）</w:t>
      </w:r>
    </w:p>
    <w:p>
      <w:pPr>
        <w:pStyle w:val="Heading2"/>
        <w:spacing w:before="280" w:after="140"/>
      </w:pPr>
      <w:r>
        <w:rPr>
          <w:rFonts w:ascii="Calibri" w:hAnsi="Calibri" w:eastAsia="Heiti SC"/>
          <w:b/>
          <w:i w:val="0"/>
          <w:color w:val="2E74B5"/>
          <w:sz w:val="26"/>
        </w:rPr>
        <w:t>安全等级，请对号入座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76"/>
        <w:gridCol w:w="3240"/>
        <w:gridCol w:w="1944"/>
        <w:gridCol w:w="1800"/>
      </w:tblGrid>
      <w:tr>
        <w:tc>
          <w:tcPr>
            <w:tcW w:type="dxa" w:w="2340"/>
            <w:vAlign w:val="center"/>
            <w:tcW w:w="2376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操作</w:t>
            </w:r>
          </w:p>
        </w:tc>
        <w:tc>
          <w:tcPr>
            <w:tcW w:type="dxa" w:w="2340"/>
            <w:vAlign w:val="center"/>
            <w:tcW w:w="3240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替换了什么</w:t>
            </w:r>
          </w:p>
        </w:tc>
        <w:tc>
          <w:tcPr>
            <w:tcW w:type="dxa" w:w="2340"/>
            <w:vAlign w:val="center"/>
            <w:tcW w:w="1944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还剩什么</w:t>
            </w:r>
          </w:p>
        </w:tc>
        <w:tc>
          <w:tcPr>
            <w:tcW w:type="dxa" w:w="2340"/>
            <w:vAlign w:val="center"/>
            <w:tcW w:w="1800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能否上传云端 AI</w:t>
            </w:r>
          </w:p>
        </w:tc>
      </w:tr>
      <w:tr>
        <w:tc>
          <w:tcPr>
            <w:tcW w:type="dxa" w:w="2340"/>
            <w:vAlign w:val="center"/>
            <w:tcW w:w="237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规则层 mask（阶段一）</w:t>
            </w:r>
          </w:p>
        </w:tc>
        <w:tc>
          <w:tcPr>
            <w:tcW w:type="dxa" w:w="2340"/>
            <w:vAlign w:val="center"/>
            <w:tcW w:w="324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关键信息（身份证/手机/银行卡/案号等）+ 人名/公司名/地址/金额</w:t>
            </w:r>
          </w:p>
        </w:tc>
        <w:tc>
          <w:tcPr>
            <w:tcW w:type="dxa" w:w="2340"/>
            <w:vAlign w:val="center"/>
            <w:tcW w:w="1944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法院名称、案情细节、公司简称、OCR 变体</w:t>
            </w:r>
          </w:p>
        </w:tc>
        <w:tc>
          <w:tcPr>
            <w:tcW w:type="dxa" w:w="2340"/>
            <w:vAlign w:val="center"/>
            <w:tcW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⚠️ 须先经审阅清单确认</w:t>
            </w:r>
          </w:p>
        </w:tc>
      </w:tr>
      <w:tr>
        <w:tc>
          <w:tcPr>
            <w:tcW w:type="dxa" w:w="2340"/>
            <w:vAlign w:val="center"/>
            <w:tcW w:w="237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规则层 + Agent 语义层（默认，无需外部 API）</w:t>
            </w:r>
          </w:p>
        </w:tc>
        <w:tc>
          <w:tcPr>
            <w:tcW w:type="dxa" w:w="2340"/>
            <w:vAlign w:val="center"/>
            <w:tcW w:w="324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上述全部 + 语义层低优先级信息</w:t>
            </w:r>
          </w:p>
        </w:tc>
        <w:tc>
          <w:tcPr>
            <w:tcW w:type="dxa" w:w="2340"/>
            <w:vAlign w:val="center"/>
            <w:tcW w:w="1944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2340"/>
            <w:vAlign w:val="center"/>
            <w:tcW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 可以</w:t>
            </w:r>
          </w:p>
        </w:tc>
      </w:tr>
      <w:tr>
        <w:tc>
          <w:tcPr>
            <w:tcW w:type="dxa" w:w="2340"/>
            <w:vAlign w:val="center"/>
            <w:tcW w:w="237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规则层 + 本地 LLM（full）</w:t>
            </w:r>
          </w:p>
        </w:tc>
        <w:tc>
          <w:tcPr>
            <w:tcW w:type="dxa" w:w="2340"/>
            <w:vAlign w:val="center"/>
            <w:tcW w:w="324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上述全部 + 案情细节/公司名</w:t>
            </w:r>
          </w:p>
        </w:tc>
        <w:tc>
          <w:tcPr>
            <w:tcW w:type="dxa" w:w="2340"/>
            <w:vAlign w:val="center"/>
            <w:tcW w:w="1944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2340"/>
            <w:vAlign w:val="center"/>
            <w:tcW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 可以（模型在本地）</w:t>
            </w:r>
          </w:p>
        </w:tc>
      </w:tr>
      <w:tr>
        <w:tc>
          <w:tcPr>
            <w:tcW w:type="dxa" w:w="2340"/>
            <w:vAlign w:val="center"/>
            <w:tcW w:w="237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规则层 + 云端 API（full）</w:t>
            </w:r>
          </w:p>
        </w:tc>
        <w:tc>
          <w:tcPr>
            <w:tcW w:type="dxa" w:w="2340"/>
            <w:vAlign w:val="center"/>
            <w:tcW w:w="324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上述全部</w:t>
            </w:r>
          </w:p>
        </w:tc>
        <w:tc>
          <w:tcPr>
            <w:tcW w:type="dxa" w:w="2340"/>
            <w:vAlign w:val="center"/>
            <w:tcW w:w="1944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无</w:t>
            </w:r>
          </w:p>
        </w:tc>
        <w:tc>
          <w:tcPr>
            <w:tcW w:type="dxa" w:w="2340"/>
            <w:vAlign w:val="center"/>
            <w:tcW w:w="1800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 但 LLM 那一步数据会到服务商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280" w:after="140"/>
      </w:pPr>
      <w:r>
        <w:rPr>
          <w:rFonts w:ascii="Calibri" w:hAnsi="Calibri" w:eastAsia="Heiti SC"/>
          <w:b/>
          <w:i w:val="0"/>
          <w:color w:val="2E74B5"/>
          <w:sz w:val="26"/>
        </w:rPr>
        <w:t>必须知道的三件事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规则层结果必须先过审阅清单：mask --review 的关键信息校验要 ✅，剩余低优先级项逐条确认后再使用。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映射表是敏感文件：含全部原始值，务必加密保存（--encrypt-mapping），切勿上传网络。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云端 LLM 方案数据出境：人名、地址、案情会发送给 API 服务商；涉密材料请用本地 Ollama 或默认的 Agent 语义层（无需外部 API）。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已知不足与边界（不回避）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语义层需要"配置了本技能的 AI"来执行：无 AI 环境批量处理时才需本地 Ollama 或云端 API 作为替代；规则层不承诺覆盖法院名称、案情敏感细节、裸公司简称、OCR 变体写法。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裸人名是启发式：罕见姓氏、单次出现的数字三字名、网络昵称存在漏判或过度脱敏。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jieba 是必装依赖：缺失时裸人名发现自动关闭。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格式保真有限：docx 保留段落结构；PDF 输出为纯文本。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format-converter 只做文本层提取：docx→txt/md 依赖 mammoth（不解析复杂宏/嵌入对象），pdf→txt 仅限带文本层的电子版文书；扫描件 PDF 需先走 OCR 通道（macOS Vision 内置 / Windows/Linux 外部 OCR），图片型材料转 PDF 后脱敏效果取决于 OCR 识别率。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仅面向中文法律文书，英文及其他语种实体规则未覆盖。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Heiti SC"/>
          <w:b w:val="0"/>
          <w:i w:val="0"/>
          <w:sz w:val="22"/>
        </w:rPr>
        <w:t>full 命令依赖模型执行力：不同模型效果有差异，须用 evaluate.py --llm-api 实测。</w:t>
      </w:r>
    </w:p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与同类开源工具的差异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96"/>
        <w:gridCol w:w="2088"/>
        <w:gridCol w:w="2088"/>
        <w:gridCol w:w="2088"/>
      </w:tblGrid>
      <w:tr>
        <w:tc>
          <w:tcPr>
            <w:tcW w:type="dxa" w:w="2340"/>
            <w:vAlign w:val="center"/>
            <w:tcW w:w="3096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能力</w:t>
            </w:r>
          </w:p>
        </w:tc>
        <w:tc>
          <w:tcPr>
            <w:tcW w:type="dxa" w:w="2340"/>
            <w:vAlign w:val="center"/>
            <w:tcW w:w="2088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本工具</w:t>
            </w:r>
          </w:p>
        </w:tc>
        <w:tc>
          <w:tcPr>
            <w:tcW w:type="dxa" w:w="2340"/>
            <w:vAlign w:val="center"/>
            <w:tcW w:w="2088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通用脱敏库</w:t>
            </w:r>
          </w:p>
        </w:tc>
        <w:tc>
          <w:tcPr>
            <w:tcW w:type="dxa" w:w="2340"/>
            <w:vAlign w:val="center"/>
            <w:tcW w:w="2088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海外法律脱敏方案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中国法律实体（案号/信用代码/执业证号/车牌）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 专精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❌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语义占位符（[当事人甲（原告）]）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❌ 星号打码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加密映射 + 一键无损还原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❌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量化红队评测（召回率/误报）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全文实体一致（同一人同一占位符）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❌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部分</w:t>
            </w:r>
          </w:p>
        </w:tc>
      </w:tr>
      <w:tr>
        <w:tc>
          <w:tcPr>
            <w:tcW w:type="dxa" w:w="2340"/>
            <w:vAlign w:val="center"/>
            <w:tcW w:w="3096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本地优先 / 数据不出机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  <w:tc>
          <w:tcPr>
            <w:tcW w:type="dxa" w:w="2340"/>
            <w:vAlign w:val="center"/>
            <w:tcW w:w="2088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✅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版本里程碑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55"/>
        <w:gridCol w:w="7703"/>
      </w:tblGrid>
      <w:tr>
        <w:tc>
          <w:tcPr>
            <w:tcW w:type="dxa" w:w="4680"/>
            <w:vAlign w:val="center"/>
            <w:tcW w:w="1655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版本</w:t>
            </w:r>
          </w:p>
        </w:tc>
        <w:tc>
          <w:tcPr>
            <w:tcW w:type="dxa" w:w="4680"/>
            <w:vAlign w:val="center"/>
            <w:tcW w:w="7703"/>
            <w:shd w:val="clear" w:color="auto" w:fill="E8EEF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规则引擎 + LLM 混合架构，18 类实体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v2.1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EntityResolver 实体归一化、AES-256-GCM 加密映射表、内存安全模式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v2.1.1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规则层正确性大修（执业证号/信用代码/身份证/日期/微信边界）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v2.2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GB 11643/GB 32100 校验码、一键还原 restore、红队评测 evaluate、本地 NER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v2.3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full 完整脱敏流水线（规则层+LLM 合并映射）、失败安全机制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v2.3.1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云端 API 适配（通义/DeepSeek/智谱），无需本地部署模型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v2.4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裸人名 + 无层级地址进规则层（jieba 分词过滤 + 全文实体一致）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v2.5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实战修复：还原精确配对 / 角色词后名词门控 / OCR 空格兼容 / 金额增强；59 项回归测试 + 60 个红队用例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v2.6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两阶段工作流：规则层关键信息必清 → --review 审阅清单 → Agent 语义层直接执行（无需外部 API）</w:t>
            </w:r>
          </w:p>
        </w:tc>
      </w:tr>
      <w:tr>
        <w:tc>
          <w:tcPr>
            <w:tcW w:type="dxa" w:w="4680"/>
            <w:vAlign w:val="center"/>
            <w:tcW w:w="1655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v4.1</w:t>
            </w:r>
          </w:p>
        </w:tc>
        <w:tc>
          <w:tcPr>
            <w:tcW w:type="dxa" w:w="4680"/>
            <w:vAlign w:val="center"/>
            <w:tcW w:w="7703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Heiti SC"/>
                <w:b w:val="0"/>
                <w:i w:val="0"/>
                <w:sz w:val="20"/>
              </w:rPr>
              <w:t>内置 format-converter 格式转换核心：docx / pdf / html / csv / 图片 → txt / md / json，纯 JS 无外部引擎（mammoth / pdfjs-dist / turndown / marked / csv-parse / sharp），扩充脱敏输入链路；来源 FlyingMouse Format（MIT）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Heiti SC"/>
          <w:b/>
          <w:i w:val="0"/>
          <w:color w:val="2E74B5"/>
          <w:sz w:val="32"/>
        </w:rPr>
        <w:t>授权</w:t>
      </w:r>
    </w:p>
    <w:p>
      <w:pPr>
        <w:spacing w:before="0" w:after="120" w:line="300" w:lineRule="auto"/>
      </w:pPr>
      <w:r>
        <w:rPr>
          <w:rFonts w:ascii="Calibri" w:hAnsi="Calibri" w:eastAsia="Heiti SC"/>
          <w:b w:val="0"/>
          <w:i w:val="0"/>
          <w:sz w:val="22"/>
        </w:rPr>
        <w:t>MIT License，可自由使用与二次开发。</w:t>
      </w:r>
    </w:p>
    <w:p>
      <w:pPr>
        <w:spacing w:before="160" w:after="0"/>
      </w:pPr>
      <w:r>
        <w:rPr>
          <w:rFonts w:ascii="Calibri" w:hAnsi="Calibri" w:eastAsia="Heiti SC"/>
          <w:b w:val="0"/>
          <w:i/>
          <w:color w:val="555555"/>
          <w:sz w:val="20"/>
        </w:rPr>
        <w:t>本工具是“分层脱敏系统”，不是一键魔法。请根据材料涉密程度选择脱敏深度，关键文书建议脱敏后人工抽检。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2" w:color="C9D3E0"/>
      </w:pBdr>
    </w:pPr>
    <w:r>
      <w:rPr>
        <w:rFonts w:ascii="Calibri" w:hAnsi="Calibri" w:eastAsia="Heiti SC"/>
        <w:b w:val="0"/>
        <w:i w:val="0"/>
        <w:color w:val="555555"/>
        <w:sz w:val="17"/>
      </w:rPr>
    </w:r>
    <w:r>
      <w:rPr>
        <w:rFonts w:ascii="Calibri" w:hAnsi="Calibri" w:eastAsia="Heiti SC"/>
        <w:b w:val="0"/>
        <w:i w:val="0"/>
        <w:color w:val="555555"/>
        <w:sz w:val="17"/>
      </w:rPr>
      <w:t xml:space="preserve">法律文书脱敏工具 · 简介　　</w:t>
    </w:r>
    <w:r>
      <w:rPr>
        <w:rFonts w:ascii="Calibri" w:hAnsi="Calibri" w:eastAsia="Heiti SC"/>
        <w:b w:val="0"/>
        <w:i w:val="0"/>
        <w:color w:val="555555"/>
        <w:sz w:val="17"/>
      </w:rPr>
      <w:tab/>
    </w:r>
    <w:r>
      <w:rPr>
        <w:rFonts w:ascii="Calibri" w:hAnsi="Calibri" w:eastAsia="Heiti SC"/>
        <w:b w:val="0"/>
        <w:i w:val="0"/>
        <w:color w:val="555555"/>
        <w:sz w:val="17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540" w:hanging="27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lvlJc w:val="left"/>
      <w:pPr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