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6A3" w:rsidRPr="006228E7" w:rsidRDefault="008C06A3" w:rsidP="008C06A3">
      <w:pPr>
        <w:jc w:val="both"/>
        <w:rPr>
          <w:rFonts w:cstheme="minorHAnsi"/>
          <w:b/>
          <w:sz w:val="24"/>
          <w:szCs w:val="24"/>
        </w:rPr>
      </w:pPr>
    </w:p>
    <w:p w:rsidR="008C06A3" w:rsidRPr="006228E7" w:rsidRDefault="008C06A3" w:rsidP="008C06A3">
      <w:pPr>
        <w:jc w:val="both"/>
        <w:rPr>
          <w:rFonts w:cstheme="minorHAnsi"/>
          <w:b/>
          <w:sz w:val="24"/>
          <w:szCs w:val="24"/>
        </w:rPr>
      </w:pPr>
      <w:r w:rsidRPr="006228E7"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3D846794" wp14:editId="1B868005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1937385" cy="1914525"/>
            <wp:effectExtent l="0" t="0" r="5715" b="9525"/>
            <wp:wrapSquare wrapText="bothSides"/>
            <wp:docPr id="1" name="Imagem 1" descr="Lente de Contato - HON - Hospital de Olhos Niteró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nte de Contato - HON - Hospital de Olhos Niteró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38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8E7">
        <w:rPr>
          <w:rFonts w:cstheme="minorHAnsi"/>
          <w:b/>
          <w:sz w:val="24"/>
          <w:szCs w:val="24"/>
        </w:rPr>
        <w:t>LENTES DE CONTATO</w:t>
      </w:r>
    </w:p>
    <w:p w:rsidR="008C06A3" w:rsidRPr="006228E7" w:rsidRDefault="008C06A3" w:rsidP="008C06A3">
      <w:pPr>
        <w:jc w:val="both"/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O que são as lentes de contato?</w:t>
      </w:r>
    </w:p>
    <w:p w:rsidR="008C06A3" w:rsidRPr="006228E7" w:rsidRDefault="008C06A3" w:rsidP="008C06A3">
      <w:pPr>
        <w:jc w:val="both"/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Lentes de contato são dispositivos ópticos confeccionados em materiais gelatinosos ou rígidos gás permeáveis, desenvolvidos para serem usadas diretamente na superfície </w:t>
      </w:r>
      <w:proofErr w:type="spellStart"/>
      <w:r w:rsidRPr="006228E7">
        <w:rPr>
          <w:rFonts w:cstheme="minorHAnsi"/>
          <w:sz w:val="24"/>
          <w:szCs w:val="24"/>
        </w:rPr>
        <w:t>corneana</w:t>
      </w:r>
      <w:proofErr w:type="spellEnd"/>
      <w:r w:rsidRPr="006228E7">
        <w:rPr>
          <w:rFonts w:cstheme="minorHAnsi"/>
          <w:sz w:val="24"/>
          <w:szCs w:val="24"/>
        </w:rPr>
        <w:t xml:space="preserve"> e tem como principal função corrigir </w:t>
      </w:r>
      <w:proofErr w:type="spellStart"/>
      <w:r w:rsidRPr="006228E7">
        <w:rPr>
          <w:rFonts w:cstheme="minorHAnsi"/>
          <w:sz w:val="24"/>
          <w:szCs w:val="24"/>
        </w:rPr>
        <w:t>ametropias</w:t>
      </w:r>
      <w:proofErr w:type="spellEnd"/>
      <w:r w:rsidRPr="006228E7">
        <w:rPr>
          <w:rFonts w:cstheme="minorHAnsi"/>
          <w:sz w:val="24"/>
          <w:szCs w:val="24"/>
        </w:rPr>
        <w:t>, tais como a miopia, hipermetropia, astigmatismo e presbiopia, proporcionando melhora da acuidade visual e conforto.</w:t>
      </w:r>
    </w:p>
    <w:p w:rsidR="008C06A3" w:rsidRPr="006228E7" w:rsidRDefault="008C06A3" w:rsidP="008C06A3">
      <w:pPr>
        <w:jc w:val="both"/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Além da finalidade corretiva, também podem ser utilizadas para fins terapêuticos e estéticos, conforme indicação profissional.</w:t>
      </w:r>
    </w:p>
    <w:p w:rsidR="008C06A3" w:rsidRPr="006228E7" w:rsidRDefault="008C06A3" w:rsidP="008C06A3">
      <w:pPr>
        <w:jc w:val="both"/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Principais tipos de lentes:</w:t>
      </w:r>
    </w:p>
    <w:p w:rsidR="008C06A3" w:rsidRPr="006228E7" w:rsidRDefault="008C06A3" w:rsidP="008C06A3">
      <w:pPr>
        <w:jc w:val="both"/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Lentes rígidas gás permeáveis (RGP):</w:t>
      </w:r>
    </w:p>
    <w:p w:rsidR="008C06A3" w:rsidRPr="006228E7" w:rsidRDefault="008C06A3" w:rsidP="008C06A3">
      <w:pPr>
        <w:jc w:val="both"/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As lentes rígidas gás permeáveis (RGP) são indicadas principalmente para a correção de </w:t>
      </w:r>
      <w:proofErr w:type="spellStart"/>
      <w:r w:rsidRPr="006228E7">
        <w:rPr>
          <w:rFonts w:cstheme="minorHAnsi"/>
          <w:sz w:val="24"/>
          <w:szCs w:val="24"/>
        </w:rPr>
        <w:t>ametropias</w:t>
      </w:r>
      <w:proofErr w:type="spellEnd"/>
      <w:r w:rsidRPr="006228E7">
        <w:rPr>
          <w:rFonts w:cstheme="minorHAnsi"/>
          <w:sz w:val="24"/>
          <w:szCs w:val="24"/>
        </w:rPr>
        <w:t xml:space="preserve"> associadas a irregularidades </w:t>
      </w:r>
      <w:proofErr w:type="spellStart"/>
      <w:r w:rsidRPr="006228E7">
        <w:rPr>
          <w:rFonts w:cstheme="minorHAnsi"/>
          <w:sz w:val="24"/>
          <w:szCs w:val="24"/>
        </w:rPr>
        <w:t>corneanas</w:t>
      </w:r>
      <w:proofErr w:type="spellEnd"/>
      <w:r w:rsidRPr="006228E7">
        <w:rPr>
          <w:rFonts w:cstheme="minorHAnsi"/>
          <w:sz w:val="24"/>
          <w:szCs w:val="24"/>
        </w:rPr>
        <w:t xml:space="preserve">, como astigmatismo irregular e </w:t>
      </w:r>
      <w:proofErr w:type="spellStart"/>
      <w:r w:rsidRPr="006228E7">
        <w:rPr>
          <w:rFonts w:cstheme="minorHAnsi"/>
          <w:sz w:val="24"/>
          <w:szCs w:val="24"/>
        </w:rPr>
        <w:t>ceratocone</w:t>
      </w:r>
      <w:proofErr w:type="spellEnd"/>
      <w:r w:rsidRPr="006228E7">
        <w:rPr>
          <w:rFonts w:cstheme="minorHAnsi"/>
          <w:sz w:val="24"/>
          <w:szCs w:val="24"/>
        </w:rPr>
        <w:t>. Devido à sua elevada transmissão de oxigênio, promovem maior oxigenação para córnea, contribuindo para saúde ocular.</w:t>
      </w:r>
    </w:p>
    <w:p w:rsidR="008C06A3" w:rsidRPr="006228E7" w:rsidRDefault="008C06A3" w:rsidP="008C06A3">
      <w:pPr>
        <w:jc w:val="both"/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Além disso, proporcionam excelente qualidade visual, elevada durabilidade quando comparadas às lentes gelatinosas, sendo amplamente utilizadas em adaptações especiais e terapêuticas.</w:t>
      </w:r>
    </w:p>
    <w:p w:rsidR="008C06A3" w:rsidRPr="006228E7" w:rsidRDefault="008C06A3" w:rsidP="008C06A3">
      <w:pPr>
        <w:jc w:val="both"/>
        <w:rPr>
          <w:rFonts w:cstheme="minorHAnsi"/>
          <w:bCs/>
          <w:color w:val="EE0000"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 xml:space="preserve">Lentes Gelatinosas: </w:t>
      </w:r>
    </w:p>
    <w:p w:rsidR="008C06A3" w:rsidRPr="006228E7" w:rsidRDefault="008C06A3" w:rsidP="008C06A3">
      <w:pPr>
        <w:jc w:val="both"/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As lentes gelatinosas são dispositivos ópticos confeccionados em materiais hidrofílicos, indicados para a correção de </w:t>
      </w:r>
      <w:proofErr w:type="spellStart"/>
      <w:r w:rsidRPr="006228E7">
        <w:rPr>
          <w:rFonts w:cstheme="minorHAnsi"/>
          <w:sz w:val="24"/>
          <w:szCs w:val="24"/>
        </w:rPr>
        <w:t>ametropias</w:t>
      </w:r>
      <w:proofErr w:type="spellEnd"/>
      <w:r w:rsidRPr="006228E7">
        <w:rPr>
          <w:rFonts w:cstheme="minorHAnsi"/>
          <w:sz w:val="24"/>
          <w:szCs w:val="24"/>
        </w:rPr>
        <w:t xml:space="preserve"> como miopia, hipermetropia, astigmatismo e presbiopia. Apresentam elevada flexibilidade e adaptação rápida à superfície ocular, proporcionando maior conforto inicial ao usuário.</w:t>
      </w:r>
    </w:p>
    <w:p w:rsidR="008C06A3" w:rsidRPr="006228E7" w:rsidRDefault="008C06A3" w:rsidP="008C06A3">
      <w:pPr>
        <w:jc w:val="both"/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Devido à sua alta maleabilidade e estabilidade durante o uso, são amplamente prescritas para uso diário e adaptação de novos usuários. Entretanto, quando comparadas às lentes rígidas gás permeáveis (RGP), podem apresentar menor transmissibilidade ao oxigênio, dependendo do material e forma de uso, o que exige acompanhamento profissional e cuidados adequados de higienização e descarte para manutenção da saúde ocular.</w:t>
      </w:r>
    </w:p>
    <w:p w:rsidR="008C06A3" w:rsidRPr="006228E7" w:rsidRDefault="008C06A3" w:rsidP="008C06A3">
      <w:pPr>
        <w:jc w:val="both"/>
        <w:rPr>
          <w:rFonts w:cstheme="minorHAnsi"/>
          <w:sz w:val="24"/>
          <w:szCs w:val="24"/>
        </w:rPr>
      </w:pPr>
      <w:r w:rsidRPr="006228E7">
        <w:rPr>
          <w:rFonts w:cstheme="minorHAnsi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1312" behindDoc="0" locked="0" layoutInCell="1" allowOverlap="1" wp14:anchorId="7C8AD34A" wp14:editId="74D8AAE7">
            <wp:simplePos x="0" y="0"/>
            <wp:positionH relativeFrom="column">
              <wp:posOffset>0</wp:posOffset>
            </wp:positionH>
            <wp:positionV relativeFrom="paragraph">
              <wp:posOffset>239395</wp:posOffset>
            </wp:positionV>
            <wp:extent cx="3314700" cy="1892935"/>
            <wp:effectExtent l="0" t="0" r="0" b="0"/>
            <wp:wrapSquare wrapText="bothSides"/>
            <wp:docPr id="11" name="Imagem 11" descr="Saiba o que é e como fazer uma ficha de anamnese. Aproveite e baixe nosso  combo com: - SouPel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aiba o que é e como fazer uma ficha de anamnese. Aproveite e baixe nosso  combo com: - SouPell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06A3" w:rsidRPr="006228E7" w:rsidRDefault="008C06A3" w:rsidP="008C06A3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Anamnese para Adaptação de Lentes de Contato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 anamnese consiste na avaliação clínica inicial realizada previamente à adaptação de lentes de contato. Seu objetivo é coletar informações sobre as condições oculares e sistêmicas do paciente, identificar possíveis contraindicações, avaliar necessidades visuais e selecionar a lente mais adequada para cada caso, visando segurança, conforto e eficiência visual.</w:t>
      </w:r>
    </w:p>
    <w:p w:rsidR="008C06A3" w:rsidRPr="006228E7" w:rsidRDefault="008C06A3" w:rsidP="008C06A3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Histórico Clínico / Pessoal do Paciente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Condições sistêmicas e oftalmológicas pré-existentes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Idade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Hábitos de vida e rotina diária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Expectativas em relação ao uso das lentes de contato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Tempo diário previsto de uso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Interesse em substituição parcial ou total do uso de óculos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Hábitos e fatores que podem interferir na adaptação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Exposição a agentes químicos, poeira ou poluentes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Prática regular de esportes</w:t>
      </w:r>
    </w:p>
    <w:p w:rsidR="008C06A3" w:rsidRPr="006228E7" w:rsidRDefault="008C06A3" w:rsidP="008C06A3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Condições Sistêmicas e Fatores Associados à Contraindicação ou Restrição de Uso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Uso de medicamentos que interferem na produção lacrimal, como diuréticos, antidepressivos e anti-histamínicos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Uso contínuo de colírios e medicações oftálmicas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Alterações hormonais, incluindo gestação, menopausa e uso de contraceptivos hormonais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Doenças sistêmicas, como diabetes mellitus, hipertensão arterial e disfunções tireoidianas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Condições alérgicas oculares e respiratórias, como rinite alérgica</w:t>
      </w: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Limitações cognitivas ou motoras que possam comprometer o manuseio, higienização e conservação adequados das lentes de contato.</w:t>
      </w:r>
    </w:p>
    <w:p w:rsidR="008C06A3" w:rsidRPr="006228E7" w:rsidRDefault="001577C7" w:rsidP="008C06A3">
      <w:pPr>
        <w:rPr>
          <w:rFonts w:cstheme="minorHAnsi"/>
          <w:sz w:val="24"/>
          <w:szCs w:val="24"/>
        </w:rPr>
      </w:pPr>
      <w:r w:rsidRPr="006228E7">
        <w:rPr>
          <w:rFonts w:cstheme="minorHAnsi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3360" behindDoc="0" locked="0" layoutInCell="1" allowOverlap="1" wp14:anchorId="114324CF" wp14:editId="57E7CA34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2750185" cy="1832782"/>
            <wp:effectExtent l="0" t="0" r="0" b="0"/>
            <wp:wrapSquare wrapText="bothSides"/>
            <wp:docPr id="13" name="Imagem 13" descr="Lentes de contato: o que não fazer - Instituto de Moléstias Ocu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Lentes de contato: o que não fazer - Instituto de Moléstias Ocula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183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577C7" w:rsidRPr="006228E7" w:rsidRDefault="001577C7" w:rsidP="001577C7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Materiais e Permeabilidade ao Oxigênio</w:t>
      </w:r>
    </w:p>
    <w:p w:rsidR="001577C7" w:rsidRPr="006228E7" w:rsidRDefault="001577C7" w:rsidP="001577C7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As lentes de contato são confeccionadas a partir de diferentes materiais, os quais apresentam distintos níveis de transmissibilidade ao oxigênio.</w:t>
      </w:r>
    </w:p>
    <w:p w:rsidR="001577C7" w:rsidRPr="006228E7" w:rsidRDefault="001577C7" w:rsidP="001577C7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Essa propriedade determina a capacidade do material em permitir a difusão de oxigênio atmosférico através da lente até a superfície </w:t>
      </w:r>
      <w:proofErr w:type="spellStart"/>
      <w:r w:rsidRPr="006228E7">
        <w:rPr>
          <w:rFonts w:cstheme="minorHAnsi"/>
          <w:sz w:val="24"/>
          <w:szCs w:val="24"/>
        </w:rPr>
        <w:t>corneana</w:t>
      </w:r>
      <w:proofErr w:type="spellEnd"/>
      <w:r w:rsidRPr="006228E7">
        <w:rPr>
          <w:rFonts w:cstheme="minorHAnsi"/>
          <w:sz w:val="24"/>
          <w:szCs w:val="24"/>
        </w:rPr>
        <w:t>.</w:t>
      </w:r>
    </w:p>
    <w:p w:rsidR="001577C7" w:rsidRPr="006228E7" w:rsidRDefault="001577C7" w:rsidP="001577C7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 adequada oxigenação da córnea é essencial para a manutenção de sua integridade fisiológica, uma vez que este tecido é avascular e depende predominantemente do oxigênio proveniente do ambiente externo. Dessa forma, a permeabilidade ao oxigênio influencia diretamente o conforto, a adaptação e a saúde ocular do usuário.</w:t>
      </w:r>
    </w:p>
    <w:p w:rsidR="001577C7" w:rsidRPr="006228E7" w:rsidRDefault="001577C7" w:rsidP="001577C7">
      <w:pPr>
        <w:rPr>
          <w:rFonts w:cstheme="minorHAnsi"/>
          <w:b/>
          <w:sz w:val="24"/>
          <w:szCs w:val="24"/>
        </w:rPr>
      </w:pPr>
      <w:proofErr w:type="spellStart"/>
      <w:r w:rsidRPr="006228E7">
        <w:rPr>
          <w:rFonts w:cstheme="minorHAnsi"/>
          <w:b/>
          <w:sz w:val="24"/>
          <w:szCs w:val="24"/>
        </w:rPr>
        <w:t>Hidrogel</w:t>
      </w:r>
      <w:proofErr w:type="spellEnd"/>
    </w:p>
    <w:p w:rsidR="001577C7" w:rsidRPr="006228E7" w:rsidRDefault="001577C7" w:rsidP="001577C7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Material hidrofílico, flexível e com elevado teor aquoso, proporcionando conforto inicial e adaptação rápida. Entretanto, apresenta menor transmissibilidade ao oxigênio quando comparado a materiais mais modernos, exigindo controle adequado do tempo de uso para evitar hipóxia </w:t>
      </w:r>
      <w:proofErr w:type="spellStart"/>
      <w:r w:rsidRPr="006228E7">
        <w:rPr>
          <w:rFonts w:cstheme="minorHAnsi"/>
          <w:sz w:val="24"/>
          <w:szCs w:val="24"/>
        </w:rPr>
        <w:t>corneana</w:t>
      </w:r>
      <w:proofErr w:type="spellEnd"/>
      <w:r w:rsidRPr="006228E7">
        <w:rPr>
          <w:rFonts w:cstheme="minorHAnsi"/>
          <w:sz w:val="24"/>
          <w:szCs w:val="24"/>
        </w:rPr>
        <w:t>.</w:t>
      </w:r>
    </w:p>
    <w:p w:rsidR="001577C7" w:rsidRPr="006228E7" w:rsidRDefault="001577C7" w:rsidP="001577C7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Silicone-</w:t>
      </w:r>
      <w:proofErr w:type="spellStart"/>
      <w:r w:rsidRPr="006228E7">
        <w:rPr>
          <w:rFonts w:cstheme="minorHAnsi"/>
          <w:b/>
          <w:sz w:val="24"/>
          <w:szCs w:val="24"/>
        </w:rPr>
        <w:t>Hidrogel</w:t>
      </w:r>
      <w:proofErr w:type="spellEnd"/>
    </w:p>
    <w:p w:rsidR="001577C7" w:rsidRPr="006228E7" w:rsidRDefault="001577C7" w:rsidP="001577C7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Material que associa </w:t>
      </w:r>
      <w:proofErr w:type="spellStart"/>
      <w:r w:rsidRPr="006228E7">
        <w:rPr>
          <w:rFonts w:cstheme="minorHAnsi"/>
          <w:sz w:val="24"/>
          <w:szCs w:val="24"/>
        </w:rPr>
        <w:t>hidrogel</w:t>
      </w:r>
      <w:proofErr w:type="spellEnd"/>
      <w:r w:rsidRPr="006228E7">
        <w:rPr>
          <w:rFonts w:cstheme="minorHAnsi"/>
          <w:sz w:val="24"/>
          <w:szCs w:val="24"/>
        </w:rPr>
        <w:t xml:space="preserve"> e silicone, permitindo maior transmissibilidade ao oxigênio sem comprometer significativamente o conforto. Atualmente, é um dos materiais mais utilizados devido à sua elevada performance fisiológica e menor risco de complicações associadas à hipóxia ocular.</w:t>
      </w:r>
    </w:p>
    <w:p w:rsidR="001577C7" w:rsidRPr="006228E7" w:rsidRDefault="001577C7" w:rsidP="001577C7">
      <w:pPr>
        <w:rPr>
          <w:rFonts w:cstheme="minorHAnsi"/>
          <w:b/>
          <w:sz w:val="24"/>
          <w:szCs w:val="24"/>
        </w:rPr>
      </w:pPr>
      <w:proofErr w:type="spellStart"/>
      <w:r w:rsidRPr="006228E7">
        <w:rPr>
          <w:rFonts w:cstheme="minorHAnsi"/>
          <w:b/>
          <w:sz w:val="24"/>
          <w:szCs w:val="24"/>
        </w:rPr>
        <w:t>Fluorcarbono</w:t>
      </w:r>
      <w:proofErr w:type="spellEnd"/>
    </w:p>
    <w:p w:rsidR="001577C7" w:rsidRPr="006228E7" w:rsidRDefault="001577C7" w:rsidP="001577C7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Material amplamente empregado em lentes rígidas gás permeáveis (RGP), caracterizado por alta permeabilidade ao oxigênio, estabilidade dimensional e excelente qualidade óptica. Proporciona maior durabilidade e desempenho visual, especialmente em adaptações especiais.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64384" behindDoc="0" locked="0" layoutInCell="1" allowOverlap="1" wp14:anchorId="5C0CC142" wp14:editId="705EE89A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667000" cy="1866900"/>
            <wp:effectExtent l="0" t="0" r="0" b="0"/>
            <wp:wrapSquare wrapText="bothSides"/>
            <wp:docPr id="2" name="Imagem 2" descr="Certo Errado Vetores, Ícones e Planos de Fundo para Baixar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o Errado Vetores, Ícones e Planos de Fundo para Baixar Grát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8E7">
        <w:rPr>
          <w:rFonts w:cstheme="minorHAnsi"/>
          <w:b/>
          <w:sz w:val="24"/>
          <w:szCs w:val="24"/>
        </w:rPr>
        <w:t>Indicações e Contraindicações para o Uso de Lentes de Contato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Indicações Absolutas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Situações em que a adaptação de lentes de contato apresenta indicação clínica prioritária devido à necessidade funcional ou à melhor reabilitação visual: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proofErr w:type="spellStart"/>
      <w:r w:rsidRPr="006228E7">
        <w:rPr>
          <w:rFonts w:cstheme="minorHAnsi"/>
          <w:sz w:val="24"/>
          <w:szCs w:val="24"/>
        </w:rPr>
        <w:lastRenderedPageBreak/>
        <w:t>Anisometropias</w:t>
      </w:r>
      <w:proofErr w:type="spellEnd"/>
      <w:r w:rsidRPr="006228E7">
        <w:rPr>
          <w:rFonts w:cstheme="minorHAnsi"/>
          <w:sz w:val="24"/>
          <w:szCs w:val="24"/>
        </w:rPr>
        <w:t xml:space="preserve"> significativas, especialmente diferenças </w:t>
      </w:r>
      <w:proofErr w:type="spellStart"/>
      <w:r w:rsidRPr="006228E7">
        <w:rPr>
          <w:rFonts w:cstheme="minorHAnsi"/>
          <w:sz w:val="24"/>
          <w:szCs w:val="24"/>
        </w:rPr>
        <w:t>refracionais</w:t>
      </w:r>
      <w:proofErr w:type="spellEnd"/>
      <w:r w:rsidRPr="006228E7">
        <w:rPr>
          <w:rFonts w:cstheme="minorHAnsi"/>
          <w:sz w:val="24"/>
          <w:szCs w:val="24"/>
        </w:rPr>
        <w:t xml:space="preserve"> iguais ou superiores a 2,00 dioptrias entre os olhos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Altas </w:t>
      </w:r>
      <w:proofErr w:type="spellStart"/>
      <w:r w:rsidRPr="006228E7">
        <w:rPr>
          <w:rFonts w:cstheme="minorHAnsi"/>
          <w:sz w:val="24"/>
          <w:szCs w:val="24"/>
        </w:rPr>
        <w:t>ametropias</w:t>
      </w:r>
      <w:proofErr w:type="spellEnd"/>
      <w:r w:rsidRPr="006228E7">
        <w:rPr>
          <w:rFonts w:cstheme="minorHAnsi"/>
          <w:sz w:val="24"/>
          <w:szCs w:val="24"/>
        </w:rPr>
        <w:t>, incluindo miopia, hipermetropia e astigmatismo elevados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proofErr w:type="spellStart"/>
      <w:r w:rsidRPr="006228E7">
        <w:rPr>
          <w:rFonts w:cstheme="minorHAnsi"/>
          <w:sz w:val="24"/>
          <w:szCs w:val="24"/>
        </w:rPr>
        <w:t>Ceratocone</w:t>
      </w:r>
      <w:proofErr w:type="spellEnd"/>
      <w:r w:rsidRPr="006228E7">
        <w:rPr>
          <w:rFonts w:cstheme="minorHAnsi"/>
          <w:sz w:val="24"/>
          <w:szCs w:val="24"/>
        </w:rPr>
        <w:t xml:space="preserve"> e </w:t>
      </w:r>
      <w:proofErr w:type="spellStart"/>
      <w:r w:rsidRPr="006228E7">
        <w:rPr>
          <w:rFonts w:cstheme="minorHAnsi"/>
          <w:sz w:val="24"/>
          <w:szCs w:val="24"/>
        </w:rPr>
        <w:t>ectasias</w:t>
      </w:r>
      <w:proofErr w:type="spellEnd"/>
      <w:r w:rsidRPr="006228E7">
        <w:rPr>
          <w:rFonts w:cstheme="minorHAnsi"/>
          <w:sz w:val="24"/>
          <w:szCs w:val="24"/>
        </w:rPr>
        <w:t xml:space="preserve"> </w:t>
      </w:r>
      <w:proofErr w:type="spellStart"/>
      <w:r w:rsidRPr="006228E7">
        <w:rPr>
          <w:rFonts w:cstheme="minorHAnsi"/>
          <w:sz w:val="24"/>
          <w:szCs w:val="24"/>
        </w:rPr>
        <w:t>corneanas</w:t>
      </w:r>
      <w:proofErr w:type="spellEnd"/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Astigmatismo irregular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Reabilitação visual em alterações </w:t>
      </w:r>
      <w:proofErr w:type="spellStart"/>
      <w:r w:rsidRPr="006228E7">
        <w:rPr>
          <w:rFonts w:cstheme="minorHAnsi"/>
          <w:sz w:val="24"/>
          <w:szCs w:val="24"/>
        </w:rPr>
        <w:t>corneanas</w:t>
      </w:r>
      <w:proofErr w:type="spellEnd"/>
      <w:r w:rsidRPr="006228E7">
        <w:rPr>
          <w:rFonts w:cstheme="minorHAnsi"/>
          <w:sz w:val="24"/>
          <w:szCs w:val="24"/>
        </w:rPr>
        <w:t xml:space="preserve"> que comprometem a qualidade óptica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Indicações Relativas e Eletivas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Condições em que as lentes de contato podem proporcionar benefícios funcionais, terapêuticos ou estéticos: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Correção óptica de </w:t>
      </w:r>
      <w:proofErr w:type="spellStart"/>
      <w:r w:rsidRPr="006228E7">
        <w:rPr>
          <w:rFonts w:cstheme="minorHAnsi"/>
          <w:sz w:val="24"/>
          <w:szCs w:val="24"/>
        </w:rPr>
        <w:t>ametropias</w:t>
      </w:r>
      <w:proofErr w:type="spellEnd"/>
      <w:r w:rsidRPr="006228E7">
        <w:rPr>
          <w:rFonts w:cstheme="minorHAnsi"/>
          <w:sz w:val="24"/>
          <w:szCs w:val="24"/>
        </w:rPr>
        <w:t xml:space="preserve"> como miopia, hipermetropia, astigmatismo e presbiopia.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Finalidade estética e cosmética, incluindo alteração da coloração da íris e lentes de caracterização.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Uso terapêutico, atuando como proteção da superfície ocular em determinadas patologias e lesões </w:t>
      </w:r>
      <w:proofErr w:type="spellStart"/>
      <w:r w:rsidRPr="006228E7">
        <w:rPr>
          <w:rFonts w:cstheme="minorHAnsi"/>
          <w:sz w:val="24"/>
          <w:szCs w:val="24"/>
        </w:rPr>
        <w:t>corneanas</w:t>
      </w:r>
      <w:proofErr w:type="spellEnd"/>
      <w:r w:rsidRPr="006228E7">
        <w:rPr>
          <w:rFonts w:cstheme="minorHAnsi"/>
          <w:sz w:val="24"/>
          <w:szCs w:val="24"/>
        </w:rPr>
        <w:t>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Aplicações ocupacionais e esportivas, proporcionando maior campo visual, estabilidade e liberdade funcional em comparação aos óculos. 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Contraindicações Absolutas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Condições em que o uso de lentes de contato é contraindicado devido ao elevado risco de complicações oculares: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Infecções oculares ativas, como conjuntivites, </w:t>
      </w:r>
      <w:proofErr w:type="spellStart"/>
      <w:r w:rsidRPr="006228E7">
        <w:rPr>
          <w:rFonts w:cstheme="minorHAnsi"/>
          <w:sz w:val="24"/>
          <w:szCs w:val="24"/>
        </w:rPr>
        <w:t>blefarites</w:t>
      </w:r>
      <w:proofErr w:type="spellEnd"/>
      <w:r w:rsidRPr="006228E7">
        <w:rPr>
          <w:rFonts w:cstheme="minorHAnsi"/>
          <w:sz w:val="24"/>
          <w:szCs w:val="24"/>
        </w:rPr>
        <w:t xml:space="preserve"> severas, </w:t>
      </w:r>
      <w:proofErr w:type="spellStart"/>
      <w:r w:rsidRPr="006228E7">
        <w:rPr>
          <w:rFonts w:cstheme="minorHAnsi"/>
          <w:sz w:val="24"/>
          <w:szCs w:val="24"/>
        </w:rPr>
        <w:t>ceratites</w:t>
      </w:r>
      <w:proofErr w:type="spellEnd"/>
      <w:r w:rsidRPr="006228E7">
        <w:rPr>
          <w:rFonts w:cstheme="minorHAnsi"/>
          <w:sz w:val="24"/>
          <w:szCs w:val="24"/>
        </w:rPr>
        <w:t xml:space="preserve"> e úlceras de córnea.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Processos inflamatórios agudos da superfície ocular e anexos.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Traumas oculares recentes.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proofErr w:type="spellStart"/>
      <w:r w:rsidRPr="006228E7">
        <w:rPr>
          <w:rFonts w:cstheme="minorHAnsi"/>
          <w:sz w:val="24"/>
          <w:szCs w:val="24"/>
        </w:rPr>
        <w:t>Dacriocistite</w:t>
      </w:r>
      <w:proofErr w:type="spellEnd"/>
      <w:r w:rsidRPr="006228E7">
        <w:rPr>
          <w:rFonts w:cstheme="minorHAnsi"/>
          <w:sz w:val="24"/>
          <w:szCs w:val="24"/>
        </w:rPr>
        <w:t xml:space="preserve"> ativa.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proofErr w:type="spellStart"/>
      <w:r w:rsidRPr="006228E7">
        <w:rPr>
          <w:rFonts w:cstheme="minorHAnsi"/>
          <w:sz w:val="24"/>
          <w:szCs w:val="24"/>
        </w:rPr>
        <w:t>Uveítes</w:t>
      </w:r>
      <w:proofErr w:type="spellEnd"/>
      <w:r w:rsidRPr="006228E7">
        <w:rPr>
          <w:rFonts w:cstheme="minorHAnsi"/>
          <w:sz w:val="24"/>
          <w:szCs w:val="24"/>
        </w:rPr>
        <w:t xml:space="preserve"> e outras inflamações intraoculares não controladas.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Contraindicações Relativas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Condições que exigem avaliação criteriosa, acompanhamento profissional e monitoramento contínuo durante o uso das lentes: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Doenças oculares, como glaucoma, catarata, síndrome do olho seco, </w:t>
      </w:r>
      <w:proofErr w:type="spellStart"/>
      <w:r w:rsidRPr="006228E7">
        <w:rPr>
          <w:rFonts w:cstheme="minorHAnsi"/>
          <w:sz w:val="24"/>
          <w:szCs w:val="24"/>
        </w:rPr>
        <w:t>pinguécula</w:t>
      </w:r>
      <w:proofErr w:type="spellEnd"/>
      <w:r w:rsidRPr="006228E7">
        <w:rPr>
          <w:rFonts w:cstheme="minorHAnsi"/>
          <w:sz w:val="24"/>
          <w:szCs w:val="24"/>
        </w:rPr>
        <w:t xml:space="preserve"> e pterígio.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Alterações palpebrais, incluindo </w:t>
      </w:r>
      <w:proofErr w:type="spellStart"/>
      <w:r w:rsidRPr="006228E7">
        <w:rPr>
          <w:rFonts w:cstheme="minorHAnsi"/>
          <w:sz w:val="24"/>
          <w:szCs w:val="24"/>
        </w:rPr>
        <w:t>blefaroptose</w:t>
      </w:r>
      <w:proofErr w:type="spellEnd"/>
      <w:r w:rsidRPr="006228E7">
        <w:rPr>
          <w:rFonts w:cstheme="minorHAnsi"/>
          <w:sz w:val="24"/>
          <w:szCs w:val="24"/>
        </w:rPr>
        <w:t xml:space="preserve">, </w:t>
      </w:r>
      <w:proofErr w:type="spellStart"/>
      <w:r w:rsidRPr="006228E7">
        <w:rPr>
          <w:rFonts w:cstheme="minorHAnsi"/>
          <w:sz w:val="24"/>
          <w:szCs w:val="24"/>
        </w:rPr>
        <w:t>entrópio</w:t>
      </w:r>
      <w:proofErr w:type="spellEnd"/>
      <w:r w:rsidRPr="006228E7">
        <w:rPr>
          <w:rFonts w:cstheme="minorHAnsi"/>
          <w:sz w:val="24"/>
          <w:szCs w:val="24"/>
        </w:rPr>
        <w:t xml:space="preserve">, </w:t>
      </w:r>
      <w:proofErr w:type="spellStart"/>
      <w:r w:rsidRPr="006228E7">
        <w:rPr>
          <w:rFonts w:cstheme="minorHAnsi"/>
          <w:sz w:val="24"/>
          <w:szCs w:val="24"/>
        </w:rPr>
        <w:t>triquíase</w:t>
      </w:r>
      <w:proofErr w:type="spellEnd"/>
      <w:r w:rsidRPr="006228E7">
        <w:rPr>
          <w:rFonts w:cstheme="minorHAnsi"/>
          <w:sz w:val="24"/>
          <w:szCs w:val="24"/>
        </w:rPr>
        <w:t xml:space="preserve"> e calázio recorrente.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Doenças sistêmicas, como diabetes mellitus e distúrbios hormonais.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lastRenderedPageBreak/>
        <w:t>Processos alérgicos oculares e respiratórios.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Ambientes ocupacionais inadequados, com exposição excessiva a poeira, fumaça ou agentes químicos.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Pacientes pediátricos sem supervisão adequada.</w:t>
      </w:r>
    </w:p>
    <w:p w:rsidR="008C06A3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Hemorragias oculares e alterações de motilidade ocular, como </w:t>
      </w:r>
      <w:proofErr w:type="spellStart"/>
      <w:r w:rsidRPr="006228E7">
        <w:rPr>
          <w:rFonts w:cstheme="minorHAnsi"/>
          <w:sz w:val="24"/>
          <w:szCs w:val="24"/>
        </w:rPr>
        <w:t>tropias</w:t>
      </w:r>
      <w:proofErr w:type="spellEnd"/>
      <w:r w:rsidRPr="006228E7">
        <w:rPr>
          <w:rFonts w:cstheme="minorHAnsi"/>
          <w:sz w:val="24"/>
          <w:szCs w:val="24"/>
        </w:rPr>
        <w:t>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65408" behindDoc="0" locked="0" layoutInCell="1" allowOverlap="1" wp14:anchorId="082456B6" wp14:editId="751F3917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667000" cy="1779905"/>
            <wp:effectExtent l="0" t="0" r="0" b="0"/>
            <wp:wrapSquare wrapText="bothSides"/>
            <wp:docPr id="3" name="Imagem 3" descr="Lentes de contato: dicas para colocar corretamente - Ótica da G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ntes de contato: dicas para colocar corretamente - Ótica da G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8E7">
        <w:rPr>
          <w:rFonts w:cstheme="minorHAnsi"/>
          <w:b/>
          <w:sz w:val="24"/>
          <w:szCs w:val="24"/>
        </w:rPr>
        <w:t xml:space="preserve">GUIA TÉCNICO PARA NOVOS USUÁRIOS 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01. HIGIENIZAÇÃO DAS MÃOS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Realize a higienização das mãos com sabonete neutro antes de manipular as lentes de contato, secando-as completamente com toalha sem fiapos ou papel descartável.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Resíduos de sabonete, cosméticos, nicotina, cremes e oleosidade podem comprometer a integridade, a assepsia e a vida útil das lentes.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02. SOLUÇÕES PARA HIGIENIZAÇÃO E ASSEPSIA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Solução Multiuso (</w:t>
      </w:r>
      <w:proofErr w:type="spellStart"/>
      <w:r w:rsidRPr="006228E7">
        <w:rPr>
          <w:rFonts w:cstheme="minorHAnsi"/>
          <w:sz w:val="24"/>
          <w:szCs w:val="24"/>
        </w:rPr>
        <w:t>Multiação</w:t>
      </w:r>
      <w:proofErr w:type="spellEnd"/>
      <w:r w:rsidRPr="006228E7">
        <w:rPr>
          <w:rFonts w:cstheme="minorHAnsi"/>
          <w:sz w:val="24"/>
          <w:szCs w:val="24"/>
        </w:rPr>
        <w:t>):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Indicada para limpeza, desinfecção, enxágue, hidratação e armazenamento das lentes de contato gelatinosas.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Peróxido de Hidrogênio: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Sistema de desinfecção profunda por oxidação, necessitando obrigatoriamente do processo de neutralização antes da utilização das lentes.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Limpador Enzimático: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Auxilia na remoção de depósitos proteicos acumulados na superfície da lente, promovendo maior conforto e desempenho visual.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Soluções para lentes rígidas gás permeáveis (RGP):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Produtos específicos para limpeza, desinfecção e conservação de lentes rígidas, como Boston </w:t>
      </w:r>
      <w:proofErr w:type="spellStart"/>
      <w:r w:rsidRPr="006228E7">
        <w:rPr>
          <w:rFonts w:cstheme="minorHAnsi"/>
          <w:sz w:val="24"/>
          <w:szCs w:val="24"/>
        </w:rPr>
        <w:t>Simplus</w:t>
      </w:r>
      <w:proofErr w:type="spellEnd"/>
      <w:r w:rsidRPr="006228E7">
        <w:rPr>
          <w:rFonts w:cstheme="minorHAnsi"/>
          <w:sz w:val="24"/>
          <w:szCs w:val="24"/>
        </w:rPr>
        <w:t xml:space="preserve">® e </w:t>
      </w:r>
      <w:proofErr w:type="spellStart"/>
      <w:r w:rsidRPr="006228E7">
        <w:rPr>
          <w:rFonts w:cstheme="minorHAnsi"/>
          <w:sz w:val="24"/>
          <w:szCs w:val="24"/>
        </w:rPr>
        <w:t>Clear</w:t>
      </w:r>
      <w:proofErr w:type="spellEnd"/>
      <w:r w:rsidRPr="006228E7">
        <w:rPr>
          <w:rFonts w:cstheme="minorHAnsi"/>
          <w:sz w:val="24"/>
          <w:szCs w:val="24"/>
        </w:rPr>
        <w:t xml:space="preserve"> </w:t>
      </w:r>
      <w:proofErr w:type="spellStart"/>
      <w:r w:rsidRPr="006228E7">
        <w:rPr>
          <w:rFonts w:cstheme="minorHAnsi"/>
          <w:sz w:val="24"/>
          <w:szCs w:val="24"/>
        </w:rPr>
        <w:t>Care</w:t>
      </w:r>
      <w:proofErr w:type="spellEnd"/>
      <w:r w:rsidRPr="006228E7">
        <w:rPr>
          <w:rFonts w:cstheme="minorHAnsi"/>
          <w:sz w:val="24"/>
          <w:szCs w:val="24"/>
        </w:rPr>
        <w:t>®.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03. IDENTIFICAÇÃO DAS LENTES NO ESTOJO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Os estojos para lentes de contato geralmente possuem marcações de identificação: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“D” = olho direito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“E” = olho esquerdo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Em modelos com identificação em inglês: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lastRenderedPageBreak/>
        <w:t>“R” (</w:t>
      </w:r>
      <w:proofErr w:type="spellStart"/>
      <w:r w:rsidRPr="006228E7">
        <w:rPr>
          <w:rFonts w:cstheme="minorHAnsi"/>
          <w:sz w:val="24"/>
          <w:szCs w:val="24"/>
        </w:rPr>
        <w:t>Right</w:t>
      </w:r>
      <w:proofErr w:type="spellEnd"/>
      <w:r w:rsidRPr="006228E7">
        <w:rPr>
          <w:rFonts w:cstheme="minorHAnsi"/>
          <w:sz w:val="24"/>
          <w:szCs w:val="24"/>
        </w:rPr>
        <w:t>) = olho direito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“L” (</w:t>
      </w:r>
      <w:proofErr w:type="spellStart"/>
      <w:r w:rsidRPr="006228E7">
        <w:rPr>
          <w:rFonts w:cstheme="minorHAnsi"/>
          <w:sz w:val="24"/>
          <w:szCs w:val="24"/>
        </w:rPr>
        <w:t>Left</w:t>
      </w:r>
      <w:proofErr w:type="spellEnd"/>
      <w:r w:rsidRPr="006228E7">
        <w:rPr>
          <w:rFonts w:cstheme="minorHAnsi"/>
          <w:sz w:val="24"/>
          <w:szCs w:val="24"/>
        </w:rPr>
        <w:t>) = olho esquerdo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Recomenda-se abrir apenas um lado do estojo por vez durante o manuseio, minimizando riscos de troca entre as lentes.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Caso o estojo não possua identificação, orienta-se a utilização de etiquetas sinalizadoras para correta diferenciação das lentes.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04. APLICAÇÃO – LENTES GELATINOSAS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Higienize e seque adequadamente as mãos.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Retire a lente do estojo e realize a limpeza com solução apropriada, efetuando fricção suave seguida de enxágue.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Verifique se a lente está corretamente posicionada (formato côncavo regular, sem bordas invertidas).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Com uma das mãos, mantenha a pálpebra superior elevada; com a outra, abaixe a pálpebra inferior.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Direcione o olhar para frente ou levemente para cima e posicione a lente cuidadosamente sobre a córnea.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Solte inicialmente a pálpebra inferior e, em seguida, a superior, promovendo acomodação gradual da lente.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REMOÇÃO – LENTES GELATINOSAS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Higienize e seque as mãos.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Direcione o olhar para cima.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Mantenha as pálpebras abertas e realize leve </w:t>
      </w:r>
      <w:proofErr w:type="spellStart"/>
      <w:r w:rsidRPr="006228E7">
        <w:rPr>
          <w:rFonts w:cstheme="minorHAnsi"/>
          <w:sz w:val="24"/>
          <w:szCs w:val="24"/>
        </w:rPr>
        <w:t>pinçamento</w:t>
      </w:r>
      <w:proofErr w:type="spellEnd"/>
      <w:r w:rsidRPr="006228E7">
        <w:rPr>
          <w:rFonts w:cstheme="minorHAnsi"/>
          <w:sz w:val="24"/>
          <w:szCs w:val="24"/>
        </w:rPr>
        <w:t xml:space="preserve"> da lente utilizando a polpa digital dos dedos.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Após a remoção, acondicione a lente na palma da mão e realize a higienização com solução adequada, utilizando movimentos suaves e circulares.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Enxágue a lente com a própria solução e armazene-a corretamente.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APLICAÇÃO – LENTES RÍGIDAS (RGP)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Higienize e seque adequadamente as mãos.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Retire a lente do estojo e realize limpeza com solução específica para lentes rígidas.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Mantenha a pálpebra superior elevada e a inferior abaixada.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Posicione cuidadosamente a lente sobre a córnea, mantendo o olhar direcionado para frente ou levemente para cima.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Libere inicialmente a pálpebra inferior e posteriormente a superior.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lastRenderedPageBreak/>
        <w:t>REMOÇÃO – LENTES RÍGIDAS (RGP)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Higienize e seque as mãos.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Mantenha as pálpebras firmemente abertas.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Realize leve pressão na região lateral das pálpebras para facilitar a saída da lente.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Certifique-se de realizar o procedimento em local seguro, evitando queda ou perda da lente.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Após a remoção, execute a limpeza com solução apropriada para lentes rígidas, utilizando movimentos suaves e circulares.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Enxágue e armazene corretamente no estojo apropriado.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05. LIMPEZA E ARMAZENAMENTO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Realize a higienização diária do estojo utilizando solução apropriada para lentes de contato e mantenha-o aberto para secagem completa após o uso.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Não utilize água, soro fisiológico ou qualquer solução não específica para lentes de contato, devido ao risco de contaminação microbiológica.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 solução armazenada no estojo deve ser substituída diariamente. Recomenda-se a troca do estojo a cada 3 meses ou conforme orientação do fabricante.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Para desinfecção avançada, utilize sistemas à base de peróxido de hidrogênio, respeitando rigorosamente o tempo de neutralização indicado pelo fabricante antes da inserção das lentes.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06. FREQUÊNCIA E TEMPO DE USO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O regime de uso das lentes de contato deve seguir rigorosamente a indicação do oftalmologista e as especificações do fabricante. A utilização inadequada pode ocasionar desconforto, hipóxia </w:t>
      </w:r>
      <w:proofErr w:type="spellStart"/>
      <w:r w:rsidRPr="006228E7">
        <w:rPr>
          <w:rFonts w:cstheme="minorHAnsi"/>
          <w:sz w:val="24"/>
          <w:szCs w:val="24"/>
        </w:rPr>
        <w:t>corneana</w:t>
      </w:r>
      <w:proofErr w:type="spellEnd"/>
      <w:r w:rsidRPr="006228E7">
        <w:rPr>
          <w:rFonts w:cstheme="minorHAnsi"/>
          <w:sz w:val="24"/>
          <w:szCs w:val="24"/>
        </w:rPr>
        <w:t>, irritações e aumento do risco de infecções oculares.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Lentes de descarte diário: indicadas para uso único, devendo ser descartadas imediatamente após a remoção.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Lentes quinzenais e mensais: devem ser substituídas dentro do período recomendado, independentemente da frequência de uso.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Lentes anuais: necessitam de protocolos rigorosos de higienização, armazenamento adequado e acompanhamento oftalmológico periódico.</w:t>
      </w:r>
    </w:p>
    <w:p w:rsidR="00372A48" w:rsidRPr="006228E7" w:rsidRDefault="00372A48" w:rsidP="00372A4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07. CONDUTAS NÃO RECOMENDADAS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Não é recomendado: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Utilizar lentes de contato durante banho, piscina, mar ou chuveiro;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Dormir com as lentes sem autorização do oftalmologista;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lastRenderedPageBreak/>
        <w:t>Exceder o período diário de uso recomendado;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Coçar os olhos durante o uso das lentes;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Utilizar lentes fora do prazo de validade;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Compartilhar lentes de contato com terceiros.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USO DE MAQUIAGEM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O uso de maquiagem é permitido desde que sejam seguidas as seguintes orientações: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Inserir as lentes antes da aplicação da maquiagem;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Remover as lentes antes do processo de retirada da maquiagem;</w:t>
      </w:r>
    </w:p>
    <w:p w:rsidR="00372A48" w:rsidRPr="006228E7" w:rsidRDefault="00372A48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Evitar aplicação de lápis ou delineadores na linha d’água, reduzindo o risco de contaminação e interferência na superfície da lente.</w:t>
      </w:r>
    </w:p>
    <w:p w:rsidR="006A4F95" w:rsidRPr="006228E7" w:rsidRDefault="006A4F95" w:rsidP="00372A48">
      <w:pPr>
        <w:rPr>
          <w:rFonts w:cstheme="minorHAnsi"/>
          <w:sz w:val="24"/>
          <w:szCs w:val="24"/>
        </w:rPr>
      </w:pPr>
    </w:p>
    <w:p w:rsidR="006A4F95" w:rsidRPr="006228E7" w:rsidRDefault="006A4F95" w:rsidP="00372A48">
      <w:pPr>
        <w:rPr>
          <w:rFonts w:cstheme="minorHAnsi"/>
          <w:sz w:val="24"/>
          <w:szCs w:val="24"/>
        </w:rPr>
      </w:pPr>
    </w:p>
    <w:p w:rsidR="006A4F95" w:rsidRPr="006228E7" w:rsidRDefault="006A4F95" w:rsidP="00372A48">
      <w:pPr>
        <w:rPr>
          <w:rFonts w:cstheme="minorHAnsi"/>
          <w:sz w:val="24"/>
          <w:szCs w:val="24"/>
        </w:rPr>
      </w:pPr>
    </w:p>
    <w:p w:rsidR="006A4F95" w:rsidRPr="006228E7" w:rsidRDefault="006A4F95" w:rsidP="00372A48">
      <w:pPr>
        <w:rPr>
          <w:rFonts w:cstheme="minorHAnsi"/>
          <w:sz w:val="24"/>
          <w:szCs w:val="24"/>
        </w:rPr>
      </w:pPr>
    </w:p>
    <w:p w:rsidR="006A4F95" w:rsidRPr="006228E7" w:rsidRDefault="006A4F95" w:rsidP="00372A48">
      <w:pPr>
        <w:rPr>
          <w:rFonts w:cstheme="minorHAnsi"/>
          <w:sz w:val="24"/>
          <w:szCs w:val="24"/>
        </w:rPr>
      </w:pPr>
    </w:p>
    <w:p w:rsidR="006A4F95" w:rsidRDefault="006A4F95" w:rsidP="00372A48">
      <w:pPr>
        <w:rPr>
          <w:rFonts w:cstheme="minorHAnsi"/>
          <w:sz w:val="24"/>
          <w:szCs w:val="24"/>
        </w:rPr>
      </w:pPr>
    </w:p>
    <w:p w:rsidR="006228E7" w:rsidRDefault="006228E7" w:rsidP="00372A48">
      <w:pPr>
        <w:rPr>
          <w:rFonts w:cstheme="minorHAnsi"/>
          <w:sz w:val="24"/>
          <w:szCs w:val="24"/>
        </w:rPr>
      </w:pPr>
    </w:p>
    <w:p w:rsidR="006228E7" w:rsidRDefault="006228E7" w:rsidP="00372A48">
      <w:pPr>
        <w:rPr>
          <w:rFonts w:cstheme="minorHAnsi"/>
          <w:sz w:val="24"/>
          <w:szCs w:val="24"/>
        </w:rPr>
      </w:pPr>
    </w:p>
    <w:p w:rsidR="006228E7" w:rsidRDefault="006228E7" w:rsidP="00372A48">
      <w:pPr>
        <w:rPr>
          <w:rFonts w:cstheme="minorHAnsi"/>
          <w:sz w:val="24"/>
          <w:szCs w:val="24"/>
        </w:rPr>
      </w:pPr>
    </w:p>
    <w:p w:rsidR="006228E7" w:rsidRDefault="006228E7" w:rsidP="00372A48">
      <w:pPr>
        <w:rPr>
          <w:rFonts w:cstheme="minorHAnsi"/>
          <w:sz w:val="24"/>
          <w:szCs w:val="24"/>
        </w:rPr>
      </w:pPr>
    </w:p>
    <w:p w:rsidR="006228E7" w:rsidRDefault="006228E7" w:rsidP="00372A48">
      <w:pPr>
        <w:rPr>
          <w:rFonts w:cstheme="minorHAnsi"/>
          <w:sz w:val="24"/>
          <w:szCs w:val="24"/>
        </w:rPr>
      </w:pPr>
    </w:p>
    <w:p w:rsidR="006228E7" w:rsidRPr="006228E7" w:rsidRDefault="006228E7" w:rsidP="00372A48">
      <w:pPr>
        <w:rPr>
          <w:rFonts w:cstheme="minorHAnsi"/>
          <w:sz w:val="24"/>
          <w:szCs w:val="24"/>
        </w:rPr>
      </w:pPr>
    </w:p>
    <w:p w:rsidR="00E329AD" w:rsidRPr="006228E7" w:rsidRDefault="00E329AD" w:rsidP="00372A48">
      <w:pPr>
        <w:rPr>
          <w:rFonts w:cstheme="minorHAnsi"/>
          <w:sz w:val="24"/>
          <w:szCs w:val="24"/>
        </w:rPr>
      </w:pPr>
    </w:p>
    <w:p w:rsidR="00E329AD" w:rsidRPr="006228E7" w:rsidRDefault="00E329AD" w:rsidP="00372A48">
      <w:pPr>
        <w:rPr>
          <w:rFonts w:cstheme="minorHAnsi"/>
          <w:sz w:val="24"/>
          <w:szCs w:val="24"/>
        </w:rPr>
      </w:pPr>
      <w:r w:rsidRPr="006228E7">
        <w:rPr>
          <w:rFonts w:cstheme="minorHAnsi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7456" behindDoc="0" locked="0" layoutInCell="1" allowOverlap="1" wp14:anchorId="73331FE5" wp14:editId="0B5B979F">
            <wp:simplePos x="0" y="0"/>
            <wp:positionH relativeFrom="margin">
              <wp:align>left</wp:align>
            </wp:positionH>
            <wp:positionV relativeFrom="paragraph">
              <wp:posOffset>245745</wp:posOffset>
            </wp:positionV>
            <wp:extent cx="2988310" cy="1990725"/>
            <wp:effectExtent l="0" t="0" r="2540" b="9525"/>
            <wp:wrapSquare wrapText="bothSides"/>
            <wp:docPr id="4" name="Imagem 4" descr="teste de acuidade visual: oftalmologista aplicando teste em candid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e de acuidade visual: oftalmologista aplicando teste em candida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31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29AD" w:rsidRPr="006228E7" w:rsidRDefault="00E329AD" w:rsidP="00E329AD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ACUIDADE VISUAL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 acuidade visual (AV) corresponde à capacidade funcional do sistema visual de identificar, discriminar e perceber detalhes de objetos com precisão e nitidez em diferentes distâncias.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Trata-se de um dos principais parâmetros da avaliação, sendo utilizada para analisar a qualidade da visão e auxiliar na detecção de alterações refrativas ou funcionais que possam necessitar de correção óptica, por meio de óculos ou lentes de contato.</w:t>
      </w:r>
    </w:p>
    <w:p w:rsidR="00E329AD" w:rsidRPr="006228E7" w:rsidRDefault="00E329AD" w:rsidP="00E329AD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COMO A ACUIDADE VISUAL É AVALIADA?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A avaliação da acuidade visual é realizada por meio de tabelas </w:t>
      </w:r>
      <w:proofErr w:type="spellStart"/>
      <w:r w:rsidRPr="006228E7">
        <w:rPr>
          <w:rFonts w:cstheme="minorHAnsi"/>
          <w:sz w:val="24"/>
          <w:szCs w:val="24"/>
        </w:rPr>
        <w:t>optométricas</w:t>
      </w:r>
      <w:proofErr w:type="spellEnd"/>
      <w:r w:rsidRPr="006228E7">
        <w:rPr>
          <w:rFonts w:cstheme="minorHAnsi"/>
          <w:sz w:val="24"/>
          <w:szCs w:val="24"/>
        </w:rPr>
        <w:t xml:space="preserve"> padronizadas, como a Tabe</w:t>
      </w:r>
      <w:r w:rsidR="006A4F95" w:rsidRPr="006228E7">
        <w:rPr>
          <w:rFonts w:cstheme="minorHAnsi"/>
          <w:sz w:val="24"/>
          <w:szCs w:val="24"/>
        </w:rPr>
        <w:t xml:space="preserve">la de </w:t>
      </w:r>
      <w:proofErr w:type="spellStart"/>
      <w:r w:rsidR="006A4F95" w:rsidRPr="006228E7">
        <w:rPr>
          <w:rFonts w:cstheme="minorHAnsi"/>
          <w:sz w:val="24"/>
          <w:szCs w:val="24"/>
        </w:rPr>
        <w:t>Snellen</w:t>
      </w:r>
      <w:proofErr w:type="spellEnd"/>
      <w:r w:rsidR="006A4F95" w:rsidRPr="006228E7">
        <w:rPr>
          <w:rFonts w:cstheme="minorHAnsi"/>
          <w:sz w:val="24"/>
          <w:szCs w:val="24"/>
        </w:rPr>
        <w:t xml:space="preserve">, composta por </w:t>
      </w:r>
      <w:proofErr w:type="spellStart"/>
      <w:r w:rsidR="006A4F95" w:rsidRPr="006228E7">
        <w:rPr>
          <w:rFonts w:cstheme="minorHAnsi"/>
          <w:sz w:val="24"/>
          <w:szCs w:val="24"/>
        </w:rPr>
        <w:t>opto</w:t>
      </w:r>
      <w:r w:rsidRPr="006228E7">
        <w:rPr>
          <w:rFonts w:cstheme="minorHAnsi"/>
          <w:sz w:val="24"/>
          <w:szCs w:val="24"/>
        </w:rPr>
        <w:t>tipos</w:t>
      </w:r>
      <w:proofErr w:type="spellEnd"/>
      <w:r w:rsidRPr="006228E7">
        <w:rPr>
          <w:rFonts w:cstheme="minorHAnsi"/>
          <w:sz w:val="24"/>
          <w:szCs w:val="24"/>
        </w:rPr>
        <w:t xml:space="preserve"> (letras, números ou símbolos) apresentados em tamanhos progressivamente reduzidos, destinados à avaliação da capacidade de resolução visual do paciente em uma distância preestabelecida.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Os resultados da acuidade visual são geralmente expressos em frações, como 20/20, 20/40 ou 20/200, representando a relação entre a distância do exame e a capacidade visual obtida.</w:t>
      </w:r>
    </w:p>
    <w:p w:rsidR="00E329AD" w:rsidRPr="006228E7" w:rsidRDefault="00E329AD" w:rsidP="00E329AD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sz w:val="24"/>
          <w:szCs w:val="24"/>
        </w:rPr>
        <w:t>PROCEDIMENTO DE AVALIAÇÃO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O paciente é posicionado a uma distância padronizada da tabela optométrica, habitualmente 6 metros (20 pés).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 tabela aprese</w:t>
      </w:r>
      <w:r w:rsidR="006A4F95" w:rsidRPr="006228E7">
        <w:rPr>
          <w:rFonts w:cstheme="minorHAnsi"/>
          <w:sz w:val="24"/>
          <w:szCs w:val="24"/>
        </w:rPr>
        <w:t>nta fileiras sequenciais de opto</w:t>
      </w:r>
      <w:r w:rsidRPr="006228E7">
        <w:rPr>
          <w:rFonts w:cstheme="minorHAnsi"/>
          <w:sz w:val="24"/>
          <w:szCs w:val="24"/>
        </w:rPr>
        <w:t>tipos com redução gradual de tamanho, permitindo análise progressiva da capacidade visual.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O exame consiste na identificação e leitura das linhas da tabela, sendo que cada linha corresponde a um nível específico de acuidade visual.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A avaliação é realizada de forma monocular, com a oclusão de um olho por vez, garantindo análise individual de cada olho.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Durante o procedimento, o profissional sol</w:t>
      </w:r>
      <w:r w:rsidR="006A4F95" w:rsidRPr="006228E7">
        <w:rPr>
          <w:rFonts w:cstheme="minorHAnsi"/>
          <w:sz w:val="24"/>
          <w:szCs w:val="24"/>
        </w:rPr>
        <w:t>icita a leitura dos menores opto</w:t>
      </w:r>
      <w:r w:rsidRPr="006228E7">
        <w:rPr>
          <w:rFonts w:cstheme="minorHAnsi"/>
          <w:sz w:val="24"/>
          <w:szCs w:val="24"/>
        </w:rPr>
        <w:t>tipos visíveis pelo paciente, determinando o nível de resolução visual alcançado.</w:t>
      </w:r>
    </w:p>
    <w:p w:rsidR="00E329AD" w:rsidRPr="006228E7" w:rsidRDefault="00E329AD" w:rsidP="00E329AD">
      <w:pPr>
        <w:rPr>
          <w:rFonts w:cstheme="minorHAnsi"/>
          <w:b/>
          <w:noProof/>
          <w:sz w:val="24"/>
          <w:szCs w:val="24"/>
        </w:rPr>
      </w:pPr>
      <w:r w:rsidRPr="006228E7">
        <w:rPr>
          <w:rFonts w:cstheme="minorHAnsi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8480" behindDoc="0" locked="0" layoutInCell="1" allowOverlap="1" wp14:anchorId="529F682D" wp14:editId="486C6D86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1352550" cy="2295525"/>
            <wp:effectExtent l="0" t="0" r="0" b="9525"/>
            <wp:wrapSquare wrapText="bothSides"/>
            <wp:docPr id="6" name="Imagem 6" descr="Tabela de Snellen: Como Entender e Interpretar a Tabela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abela de Snellen: Como Entender e Interpretar a Tabela de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8E7">
        <w:rPr>
          <w:rFonts w:cstheme="minorHAnsi"/>
          <w:b/>
          <w:noProof/>
          <w:sz w:val="24"/>
          <w:szCs w:val="24"/>
        </w:rPr>
        <w:t>OPTOTIPOS:</w:t>
      </w:r>
    </w:p>
    <w:p w:rsidR="00E329AD" w:rsidRPr="006228E7" w:rsidRDefault="006228E7" w:rsidP="00E329AD">
      <w:pPr>
        <w:rPr>
          <w:rFonts w:cstheme="minorHAnsi"/>
          <w:b/>
          <w:sz w:val="24"/>
          <w:szCs w:val="24"/>
        </w:rPr>
      </w:pPr>
      <w:proofErr w:type="spellStart"/>
      <w:r>
        <w:rPr>
          <w:rFonts w:cstheme="minorHAnsi"/>
          <w:b/>
          <w:sz w:val="24"/>
          <w:szCs w:val="24"/>
        </w:rPr>
        <w:t>Snellen</w:t>
      </w:r>
      <w:proofErr w:type="spellEnd"/>
    </w:p>
    <w:p w:rsidR="00E329AD" w:rsidRPr="006228E7" w:rsidRDefault="00E329AD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 xml:space="preserve">Tabelas </w:t>
      </w:r>
      <w:proofErr w:type="spellStart"/>
      <w:r w:rsidRPr="006228E7">
        <w:rPr>
          <w:rFonts w:cstheme="minorHAnsi"/>
          <w:sz w:val="24"/>
          <w:szCs w:val="24"/>
        </w:rPr>
        <w:t>optométricas</w:t>
      </w:r>
      <w:proofErr w:type="spellEnd"/>
      <w:r w:rsidRPr="006228E7">
        <w:rPr>
          <w:rFonts w:cstheme="minorHAnsi"/>
          <w:sz w:val="24"/>
          <w:szCs w:val="24"/>
        </w:rPr>
        <w:t xml:space="preserve"> compostas por caracteres alfabéticos padronizados, destinadas à avaliação da acuidade visual para longe em pacientes alfabetizados, adultos ou pediátricos.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</w:p>
    <w:p w:rsidR="00FF07FC" w:rsidRPr="006228E7" w:rsidRDefault="00FF07FC" w:rsidP="00E329AD">
      <w:pPr>
        <w:rPr>
          <w:rFonts w:cstheme="minorHAnsi"/>
          <w:sz w:val="24"/>
          <w:szCs w:val="24"/>
        </w:rPr>
      </w:pPr>
    </w:p>
    <w:p w:rsidR="00FF07FC" w:rsidRPr="006228E7" w:rsidRDefault="00B029B8" w:rsidP="00B029B8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69504" behindDoc="0" locked="0" layoutInCell="1" allowOverlap="1" wp14:anchorId="209834B5" wp14:editId="0A2ACD1D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326515" cy="2047875"/>
            <wp:effectExtent l="0" t="0" r="6985" b="9525"/>
            <wp:wrapSquare wrapText="bothSides"/>
            <wp:docPr id="15" name="Imagem 15" descr="Cosmid Tabela de olhos Illiterate Landolt &quot;E&quot; com linh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smid Tabela de olhos Illiterate Landolt &quot;E&quot; com linhas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51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228E7">
        <w:rPr>
          <w:rFonts w:cstheme="minorHAnsi"/>
          <w:b/>
          <w:sz w:val="24"/>
          <w:szCs w:val="24"/>
        </w:rPr>
        <w:t>Tumbling</w:t>
      </w:r>
      <w:proofErr w:type="spellEnd"/>
      <w:r w:rsidRPr="006228E7">
        <w:rPr>
          <w:rFonts w:cstheme="minorHAnsi"/>
          <w:b/>
          <w:sz w:val="24"/>
          <w:szCs w:val="24"/>
        </w:rPr>
        <w:t xml:space="preserve"> </w:t>
      </w:r>
    </w:p>
    <w:p w:rsidR="00B029B8" w:rsidRPr="006228E7" w:rsidRDefault="00B029B8" w:rsidP="00B029B8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Tabela optométrica composta pela optotipia “E” em diferentes orientações, indicada para avaliação da acuidade visual em pacientes não alfabetizados, crianças ou indivíduos com limitações de comunicação verbal. O paciente deve indicar manualmente a direção da abertura do optotipo.</w:t>
      </w: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</w:p>
    <w:p w:rsidR="00E329AD" w:rsidRPr="006228E7" w:rsidRDefault="00E329AD" w:rsidP="00E329AD">
      <w:pPr>
        <w:rPr>
          <w:rFonts w:cstheme="minorHAnsi"/>
          <w:sz w:val="24"/>
          <w:szCs w:val="24"/>
        </w:rPr>
      </w:pPr>
    </w:p>
    <w:p w:rsidR="00994837" w:rsidRDefault="00994837" w:rsidP="00E329AD">
      <w:pPr>
        <w:rPr>
          <w:rFonts w:cstheme="minorHAnsi"/>
          <w:noProof/>
          <w:sz w:val="24"/>
          <w:szCs w:val="24"/>
          <w:lang w:eastAsia="pt-BR"/>
        </w:rPr>
      </w:pPr>
    </w:p>
    <w:p w:rsidR="002B41D1" w:rsidRPr="006228E7" w:rsidRDefault="002B41D1" w:rsidP="00E329AD">
      <w:pPr>
        <w:rPr>
          <w:rFonts w:cstheme="minorHAnsi"/>
          <w:sz w:val="24"/>
          <w:szCs w:val="24"/>
        </w:rPr>
      </w:pPr>
      <w:bookmarkStart w:id="0" w:name="_GoBack"/>
      <w:bookmarkEnd w:id="0"/>
    </w:p>
    <w:p w:rsidR="00994837" w:rsidRPr="006228E7" w:rsidRDefault="00994837" w:rsidP="00994837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70528" behindDoc="0" locked="0" layoutInCell="1" allowOverlap="1" wp14:anchorId="292CB7A9" wp14:editId="338EA23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04925" cy="2095500"/>
            <wp:effectExtent l="0" t="0" r="9525" b="0"/>
            <wp:wrapSquare wrapText="bothSides"/>
            <wp:docPr id="5" name="Imagem 5" descr="Tabela de optótipos retroiluminada - LEA - Centro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ela de optótipos retroiluminada - LEA - Centro Styl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6" t="1748" r="19038" b="3846"/>
                    <a:stretch/>
                  </pic:blipFill>
                  <pic:spPr bwMode="auto">
                    <a:xfrm>
                      <a:off x="0" y="0"/>
                      <a:ext cx="13049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8E7">
        <w:rPr>
          <w:rFonts w:cstheme="minorHAnsi"/>
          <w:b/>
          <w:sz w:val="24"/>
          <w:szCs w:val="24"/>
        </w:rPr>
        <w:t>Tabela LEA</w:t>
      </w:r>
    </w:p>
    <w:p w:rsidR="00E329AD" w:rsidRPr="006228E7" w:rsidRDefault="006A4F95" w:rsidP="00E329AD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C</w:t>
      </w:r>
      <w:r w:rsidR="00994837" w:rsidRPr="006228E7">
        <w:rPr>
          <w:rFonts w:cstheme="minorHAnsi"/>
          <w:sz w:val="24"/>
          <w:szCs w:val="24"/>
        </w:rPr>
        <w:t>onsiste em um instrumento padronizado para avaliação da acuidade visual, desenvolvido para aplicação em crianças em idade pré-escolar (aproximadamente de 2 a 3 anos de idade) e em indivíduos com limitações na comunicação ver</w:t>
      </w:r>
      <w:r w:rsidRPr="006228E7">
        <w:rPr>
          <w:rFonts w:cstheme="minorHAnsi"/>
          <w:sz w:val="24"/>
          <w:szCs w:val="24"/>
        </w:rPr>
        <w:t>bal ou no reconhecimento de opto</w:t>
      </w:r>
      <w:r w:rsidR="00994837" w:rsidRPr="006228E7">
        <w:rPr>
          <w:rFonts w:cstheme="minorHAnsi"/>
          <w:sz w:val="24"/>
          <w:szCs w:val="24"/>
        </w:rPr>
        <w:t>tipos alfabéticos. Diferentemente das tabelas convencionai</w:t>
      </w:r>
      <w:r w:rsidRPr="006228E7">
        <w:rPr>
          <w:rFonts w:cstheme="minorHAnsi"/>
          <w:sz w:val="24"/>
          <w:szCs w:val="24"/>
        </w:rPr>
        <w:t>s, que utilizam letras como opto</w:t>
      </w:r>
      <w:r w:rsidR="00994837" w:rsidRPr="006228E7">
        <w:rPr>
          <w:rFonts w:cstheme="minorHAnsi"/>
          <w:sz w:val="24"/>
          <w:szCs w:val="24"/>
        </w:rPr>
        <w:t>tipos, a Tabela LEA emprega quatro símbolos geométricos padronizados: círculo, quadrado, casa e maçã (ou coração, conforme a versão), previamente validados quanto à equivalência de reconhecimento visual. Essa padronização permite uma avaliação confiável da função visual, reduzindo a influência de fatores relacionados à alfabetização ou às habilidades linguísticas do indivíduo avaliado.</w:t>
      </w:r>
    </w:p>
    <w:p w:rsidR="00994837" w:rsidRPr="006228E7" w:rsidRDefault="00994837" w:rsidP="00E329AD">
      <w:pPr>
        <w:rPr>
          <w:rFonts w:cstheme="minorHAnsi"/>
          <w:sz w:val="24"/>
          <w:szCs w:val="24"/>
        </w:rPr>
      </w:pPr>
    </w:p>
    <w:p w:rsidR="006A4F95" w:rsidRPr="006228E7" w:rsidRDefault="006A4F95" w:rsidP="006A4F95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71552" behindDoc="0" locked="0" layoutInCell="1" allowOverlap="1" wp14:anchorId="31CDD4C1" wp14:editId="4067BDAA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200275" cy="1960104"/>
            <wp:effectExtent l="0" t="0" r="0" b="2540"/>
            <wp:wrapSquare wrapText="bothSides"/>
            <wp:docPr id="17" name="Imagem 17" descr="Entendendo o Exame de Visão para Perto: O Teste de Ja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ntendendo o Exame de Visão para Perto: O Teste de Jaege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96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228E7">
        <w:rPr>
          <w:rFonts w:cstheme="minorHAnsi"/>
          <w:b/>
          <w:sz w:val="24"/>
          <w:szCs w:val="24"/>
        </w:rPr>
        <w:t>Tabela de Jaeger</w:t>
      </w:r>
    </w:p>
    <w:p w:rsidR="006A4F95" w:rsidRPr="006228E7" w:rsidRDefault="006A4F95" w:rsidP="006A4F95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Tabela de visão próxima composta por textos e optotipos em tamanhos progressivos, utilizada para avaliação da acuidade visual de perto, especialmente em pacientes presbitas e adultos acima de 40 anos.</w:t>
      </w:r>
    </w:p>
    <w:p w:rsidR="006A4F95" w:rsidRPr="006228E7" w:rsidRDefault="006A4F95" w:rsidP="00E329AD">
      <w:pPr>
        <w:rPr>
          <w:rFonts w:cstheme="minorHAnsi"/>
          <w:sz w:val="24"/>
          <w:szCs w:val="24"/>
        </w:rPr>
      </w:pPr>
    </w:p>
    <w:p w:rsidR="008C06A3" w:rsidRPr="006228E7" w:rsidRDefault="008C06A3" w:rsidP="008C06A3">
      <w:pPr>
        <w:rPr>
          <w:rFonts w:cstheme="minorHAnsi"/>
          <w:sz w:val="24"/>
          <w:szCs w:val="24"/>
        </w:rPr>
      </w:pPr>
    </w:p>
    <w:p w:rsidR="006A4F95" w:rsidRPr="006228E7" w:rsidRDefault="006A4F95">
      <w:pPr>
        <w:rPr>
          <w:rFonts w:cstheme="minorHAnsi"/>
          <w:sz w:val="24"/>
          <w:szCs w:val="24"/>
        </w:rPr>
      </w:pPr>
    </w:p>
    <w:p w:rsidR="006A4F95" w:rsidRPr="006228E7" w:rsidRDefault="006A4F95">
      <w:pPr>
        <w:rPr>
          <w:rFonts w:cstheme="minorHAnsi"/>
          <w:sz w:val="24"/>
          <w:szCs w:val="24"/>
        </w:rPr>
      </w:pPr>
    </w:p>
    <w:p w:rsidR="006A4F95" w:rsidRPr="006228E7" w:rsidRDefault="006A4F95" w:rsidP="006A4F95">
      <w:pPr>
        <w:rPr>
          <w:rFonts w:cstheme="minorHAnsi"/>
          <w:b/>
          <w:sz w:val="24"/>
          <w:szCs w:val="24"/>
        </w:rPr>
      </w:pPr>
      <w:r w:rsidRPr="006228E7">
        <w:rPr>
          <w:rFonts w:cstheme="minorHAnsi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72576" behindDoc="0" locked="0" layoutInCell="1" allowOverlap="1" wp14:anchorId="0140AB0F" wp14:editId="28EF1C57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209800" cy="1657350"/>
            <wp:effectExtent l="0" t="0" r="0" b="0"/>
            <wp:wrapSquare wrapText="bothSides"/>
            <wp:docPr id="19" name="Imagem 19" descr="Juego: test Bicromático - Opticas Ferr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Juego: test Bicromático - Opticas Ferreir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8E7">
        <w:rPr>
          <w:rFonts w:cstheme="minorHAnsi"/>
          <w:b/>
          <w:sz w:val="24"/>
          <w:szCs w:val="24"/>
        </w:rPr>
        <w:t>Bicromático</w:t>
      </w:r>
    </w:p>
    <w:p w:rsidR="006A4F95" w:rsidRPr="006228E7" w:rsidRDefault="006A4F95" w:rsidP="006A4F95">
      <w:pPr>
        <w:rPr>
          <w:rFonts w:cstheme="minorHAnsi"/>
          <w:sz w:val="24"/>
          <w:szCs w:val="24"/>
        </w:rPr>
      </w:pPr>
      <w:r w:rsidRPr="006228E7">
        <w:rPr>
          <w:rFonts w:cstheme="minorHAnsi"/>
          <w:sz w:val="24"/>
          <w:szCs w:val="24"/>
        </w:rPr>
        <w:t>Teste optométrico baseado no princípio bicromático, utilizando os fundos vermelho e verde para refinamento esférico da refração subjetiva, auxiliando na determinação do foco visual mais nítido e no ajuste preciso da prescrição óptica.</w:t>
      </w:r>
    </w:p>
    <w:p w:rsidR="006A4F95" w:rsidRPr="006228E7" w:rsidRDefault="006A4F95">
      <w:pPr>
        <w:rPr>
          <w:rFonts w:cstheme="minorHAnsi"/>
          <w:sz w:val="24"/>
          <w:szCs w:val="24"/>
        </w:rPr>
      </w:pPr>
    </w:p>
    <w:p w:rsidR="006A4F95" w:rsidRPr="006228E7" w:rsidRDefault="006A4F95">
      <w:pPr>
        <w:rPr>
          <w:rFonts w:cstheme="minorHAnsi"/>
          <w:sz w:val="24"/>
          <w:szCs w:val="24"/>
        </w:rPr>
      </w:pPr>
    </w:p>
    <w:sectPr w:rsidR="006A4F95" w:rsidRPr="006228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A3"/>
    <w:rsid w:val="001577C7"/>
    <w:rsid w:val="002B41D1"/>
    <w:rsid w:val="00372A48"/>
    <w:rsid w:val="004C47FB"/>
    <w:rsid w:val="005375D1"/>
    <w:rsid w:val="006228E7"/>
    <w:rsid w:val="006A4F95"/>
    <w:rsid w:val="007E694F"/>
    <w:rsid w:val="008C06A3"/>
    <w:rsid w:val="00994837"/>
    <w:rsid w:val="00B029B8"/>
    <w:rsid w:val="00BA1EBB"/>
    <w:rsid w:val="00C34D78"/>
    <w:rsid w:val="00E329AD"/>
    <w:rsid w:val="00ED2A67"/>
    <w:rsid w:val="00FF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91ABF"/>
  <w15:chartTrackingRefBased/>
  <w15:docId w15:val="{2490A2C9-CF82-481F-B3AC-A77611FC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06A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2457</Words>
  <Characters>13273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Contatologia 2</dc:creator>
  <cp:keywords/>
  <dc:description/>
  <cp:lastModifiedBy>Contatologia 2</cp:lastModifiedBy>
  <cp:revision>16</cp:revision>
  <dcterms:created xsi:type="dcterms:W3CDTF">2026-07-20T14:29:00Z</dcterms:created>
  <dcterms:modified xsi:type="dcterms:W3CDTF">2026-07-21T20:00:00Z</dcterms:modified>
</cp:coreProperties>
</file>