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23500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  <w:color w:val="0070C0"/>
          <w:sz w:val="36"/>
        </w:rPr>
        <w:t>LENDO UMA RECEITA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drawing>
          <wp:inline distT="0" distB="0" distL="0" distR="0">
            <wp:extent cx="4629150" cy="2129155"/>
            <wp:effectExtent l="19050" t="0" r="0" b="0"/>
            <wp:docPr id="1" name="Imagem 1" descr="C:\Users\Otica\AppData\Local\Temp\ksohtml2456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Users\Otica\AppData\Local\Temp\ksohtml24564\wps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29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As receitas oftalmológicas fazem parte da rotina de diversos profissionais da área da saúde visual e exigem atenção na hora da leitura e da interpretação. Neste módulo, você conhecerá os principais elementos que compõem uma prescrição, aprenderá como realizar a transposição de receitas e compreenderá o significado das abreviações e siglas mais utilizadas. Ao longo do conteúdo, serão apresentados exemplos e explicações que facilitarão a interpretação correta das informações, proporcionando mais segurança na análise das prescrições.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  <w:color w:val="4371C3"/>
        </w:rPr>
        <w:t>Esférico</w:t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As receitas oftálmicas seguem um padrão de preenchimento composto pelos campos: esférico, cilíndrico, eixo, adição e observações. Cada um deles desempenha uma função específica na determinação da correção visual do paciente.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As medidas são expressas em dioptrias e, na maioria dos casos, variam em intervalos de 0,25 dioptria. A seguir, explicamos a finalidade de cada campo para facilitar a compreensão da prescrição oftálmica.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  <w:color w:val="4371C3"/>
        </w:rPr>
        <w:t>O que significa o campo Esférico?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O campo Esférico (ESF) indica o grau da lente utilizado para corrigir miopia ou hipermetropia. Esse valor é sempre acompanhado por um sinal que identifica o tipo de correção necessária: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Sinal negativo</w:t>
      </w:r>
      <w:r>
        <w:rPr>
          <w:rFonts w:cs="Calibri" w:asciiTheme="majorHAnsi" w:hAnsiTheme="majorHAnsi"/>
          <w:b/>
          <w:bCs/>
          <w:color w:val="FF0000"/>
        </w:rPr>
        <w:t xml:space="preserve"> (-)</w:t>
      </w:r>
      <w:r>
        <w:rPr>
          <w:rFonts w:cs="Calibri" w:asciiTheme="majorHAnsi" w:hAnsiTheme="majorHAnsi"/>
          <w:b/>
          <w:bCs/>
        </w:rPr>
        <w:t>: utilizado para corrigir a</w:t>
      </w:r>
      <w:r>
        <w:rPr>
          <w:rFonts w:cs="Calibri" w:asciiTheme="majorHAnsi" w:hAnsiTheme="majorHAnsi"/>
          <w:b/>
          <w:bCs/>
          <w:color w:val="FF0000"/>
        </w:rPr>
        <w:t xml:space="preserve"> miopia</w:t>
      </w:r>
      <w:r>
        <w:rPr>
          <w:rFonts w:cs="Calibri" w:asciiTheme="majorHAnsi" w:hAnsiTheme="majorHAnsi"/>
          <w:b/>
          <w:bCs/>
        </w:rPr>
        <w:t>.</w:t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Sinal positivo</w:t>
      </w:r>
      <w:r>
        <w:rPr>
          <w:rFonts w:cs="Calibri" w:asciiTheme="majorHAnsi" w:hAnsiTheme="majorHAnsi"/>
          <w:b/>
          <w:bCs/>
          <w:color w:val="00B050"/>
        </w:rPr>
        <w:t xml:space="preserve"> (+)</w:t>
      </w:r>
      <w:r>
        <w:rPr>
          <w:rFonts w:cs="Calibri" w:asciiTheme="majorHAnsi" w:hAnsiTheme="majorHAnsi"/>
          <w:b/>
          <w:bCs/>
        </w:rPr>
        <w:t xml:space="preserve">: utilizado para corrigir a </w:t>
      </w:r>
      <w:r>
        <w:rPr>
          <w:rFonts w:cs="Calibri" w:asciiTheme="majorHAnsi" w:hAnsiTheme="majorHAnsi"/>
          <w:b/>
          <w:bCs/>
          <w:color w:val="6FAC46"/>
        </w:rPr>
        <w:t>hipermetropia</w:t>
      </w:r>
      <w:r>
        <w:rPr>
          <w:rFonts w:cs="Calibri" w:asciiTheme="majorHAnsi" w:hAnsiTheme="majorHAnsi"/>
          <w:b/>
          <w:bCs/>
        </w:rPr>
        <w:t>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O valor informado representa a potência da lente necessária para proporcionar uma visão mais nítida, conforme a necessidade visual de cada paciente.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 xml:space="preserve">ex: Esférico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drawing>
          <wp:inline distT="0" distB="0" distL="0" distR="0">
            <wp:extent cx="4358005" cy="2457450"/>
            <wp:effectExtent l="19050" t="0" r="4445" b="0"/>
            <wp:docPr id="2" name="Imagem 2" descr="C:\Users\Otica\AppData\Local\Temp\ksohtml2456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:\Users\Otica\AppData\Local\Temp\ksohtml24564\wps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  <w:color w:val="00B050"/>
        </w:rPr>
        <w:t>Hipermetropia</w:t>
      </w:r>
      <w:r>
        <w:rPr>
          <w:rFonts w:cs="Calibri" w:asciiTheme="majorHAnsi" w:hAnsiTheme="majorHAnsi"/>
          <w:b/>
          <w:bCs/>
        </w:rPr>
        <w:t xml:space="preserve"> e</w:t>
      </w:r>
      <w:r>
        <w:rPr>
          <w:rFonts w:cs="Calibri" w:asciiTheme="majorHAnsi" w:hAnsiTheme="majorHAnsi"/>
          <w:b/>
          <w:bCs/>
          <w:color w:val="FF0000"/>
        </w:rPr>
        <w:t xml:space="preserve"> Miopia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O sinal apresentado no campo Esférico (ESF) da receita oftálmica indica o tipo de correção visual prescrita.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  <w:color w:val="FF0000"/>
        </w:rPr>
        <w:t>Miopia</w:t>
      </w:r>
      <w:r>
        <w:rPr>
          <w:rFonts w:cs="Calibri" w:asciiTheme="majorHAnsi" w:hAnsiTheme="majorHAnsi"/>
          <w:b/>
          <w:bCs/>
        </w:rPr>
        <w:t>: quando o valor é precedido pelo sinal negativo (-), a prescrição corresponde à correção da miopia. Pessoas com essa condição apresentam dificuldade para enxergar objetos distantes com nitidez.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  <w:color w:val="00B050"/>
        </w:rPr>
        <w:t>Hipermetropia</w:t>
      </w:r>
      <w:r>
        <w:rPr>
          <w:rFonts w:cs="Calibri" w:asciiTheme="majorHAnsi" w:hAnsiTheme="majorHAnsi"/>
          <w:b/>
          <w:bCs/>
        </w:rPr>
        <w:t>: quando o valor é precedido pelo sinal positivo (+), a prescrição refere-se à correção da hipermetropia. Nesse caso, a dificuldade costuma estar relacionada à visão de perto, podendo variar conforme o grau e a idade do paciente.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 xml:space="preserve">É importante destacar que cada olho é avaliado de forma independente. Por esse motivo, uma mesma receita pode apresentar </w:t>
      </w:r>
      <w:r>
        <w:rPr>
          <w:rFonts w:cs="Calibri" w:asciiTheme="majorHAnsi" w:hAnsiTheme="majorHAnsi"/>
          <w:b/>
          <w:bCs/>
          <w:color w:val="FF0000"/>
        </w:rPr>
        <w:t>miopia</w:t>
      </w:r>
      <w:r>
        <w:rPr>
          <w:rFonts w:cs="Calibri" w:asciiTheme="majorHAnsi" w:hAnsiTheme="majorHAnsi"/>
          <w:b/>
          <w:bCs/>
        </w:rPr>
        <w:t xml:space="preserve"> em um olho e</w:t>
      </w:r>
      <w:r>
        <w:rPr>
          <w:rFonts w:cs="Calibri" w:asciiTheme="majorHAnsi" w:hAnsiTheme="majorHAnsi"/>
          <w:b/>
          <w:bCs/>
          <w:color w:val="00B050"/>
        </w:rPr>
        <w:t xml:space="preserve"> hipermetropia</w:t>
      </w:r>
      <w:r>
        <w:rPr>
          <w:rFonts w:cs="Calibri" w:asciiTheme="majorHAnsi" w:hAnsiTheme="majorHAnsi"/>
          <w:b/>
          <w:bCs/>
        </w:rPr>
        <w:t xml:space="preserve"> no outro. Essa condição é denominada</w:t>
      </w:r>
      <w:r>
        <w:rPr>
          <w:rFonts w:cs="Calibri" w:asciiTheme="majorHAnsi" w:hAnsiTheme="majorHAnsi"/>
          <w:b/>
          <w:bCs/>
          <w:color w:val="FFBF00"/>
        </w:rPr>
        <w:t xml:space="preserve"> </w:t>
      </w:r>
      <w:r>
        <w:rPr>
          <w:rFonts w:cs="Calibri" w:asciiTheme="majorHAnsi" w:hAnsiTheme="majorHAnsi"/>
          <w:b/>
          <w:bCs/>
          <w:color w:val="EC7C30"/>
        </w:rPr>
        <w:t>anisometropia</w:t>
      </w:r>
      <w:r>
        <w:rPr>
          <w:rFonts w:cs="Calibri" w:asciiTheme="majorHAnsi" w:hAnsiTheme="majorHAnsi"/>
          <w:b/>
          <w:bCs/>
        </w:rPr>
        <w:t>, caracterizada pela diferença de grau ou de erro refrativo entre os dois olhos.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  <w:color w:val="EC7C30"/>
        </w:rPr>
        <w:t>Cilíndrico</w:t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O campo Cilíndrico (CIL) da receita oftálmica informa o grau utilizado para a correção do astigmatismo, erro refrativo causado por uma curvatura irregular da córnea ou do cristalino.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O valor pode ser apresentado com sinal negativo (-) ou positivo (+), dependendo do padrão de prescrição adotado pelo profissional ou pelo equipamento utilizado durante o exame. No Brasil, é mais comum que o grau cilíndrico seja registrado em cilindro negativo.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Quando a prescrição é emitida em cilindro positivo, pode ser necessária a realização da transposição da receita. Esse procedimento converte a prescrição para o formato equivalente em cilindro negativo, preservando exatamente a mesma correção óptica e garantindo compatibilidade com o padrão utilizado por grande parte dos laboratórios e fabricantes de lentes.</w:t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</w:rPr>
        <w:t>(A explicação completa sobre o processo de transposição da receita oftálmica será apresentada em uma seção específica deste conteúdo.)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Ex</w:t>
      </w:r>
      <w:r>
        <w:rPr>
          <w:rFonts w:cs="Calibri" w:asciiTheme="majorHAnsi" w:hAnsiTheme="majorHAnsi"/>
          <w:b/>
          <w:bCs/>
          <w:color w:val="EC7C30"/>
        </w:rPr>
        <w:t>: Cilíndrico</w:t>
      </w:r>
      <w:r>
        <w:rPr>
          <w:rFonts w:cs="Calibri" w:asciiTheme="majorHAnsi" w:hAnsiTheme="majorHAnsi"/>
          <w:b/>
          <w:bCs/>
        </w:rPr>
        <w:t xml:space="preserve">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drawing>
          <wp:inline distT="0" distB="0" distL="0" distR="0">
            <wp:extent cx="4386580" cy="2628900"/>
            <wp:effectExtent l="19050" t="0" r="0" b="0"/>
            <wp:docPr id="3" name="Imagem 3" descr="C:\Users\Otica\AppData\Local\Temp\ksohtml24564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:\Users\Otica\AppData\Local\Temp\ksohtml24564\wps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  <w:color w:val="7030A0"/>
        </w:rPr>
        <w:t>Eixo</w:t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Sempre que houver um valor no campo Cilíndrico, a receita também apresentará um Eixo (°).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O eixo determina a orientação do astigmatismo e indica o posicionamento exato em que a lente cilíndrica deverá ser confeccionada para proporcionar a correção adequada da visão.</w:t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 xml:space="preserve">  Esse valor é expresso em graus, variando de 0° a 180°, e é indispensável para a fabricação correta das lentes. Sem a indicação do eixo, o grau cilíndrico não pode ser interpretado nem confeccionado de forma precisa.</w:t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Ex: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drawing>
          <wp:inline distT="0" distB="0" distL="0" distR="0">
            <wp:extent cx="5872480" cy="2028825"/>
            <wp:effectExtent l="19050" t="0" r="0" b="0"/>
            <wp:docPr id="4" name="Imagem 4" descr="C:\Users\Otica\AppData\Local\Temp\ksohtml24564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C:\Users\Otica\AppData\Local\Temp\ksohtml24564\wps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248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>Vale ressaltar que, em casos de astigmatismo, a receita médica/optométrica indicará não apenas o grau cilíndrico, mas também o eixo correspondente. Esse dado especifica a angulação exata para o posicionamento das lentes durante a fabricação, assegurando a correção eficaz da ametropia. O eixo é mensurado em uma escala de 0° a 180°.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  <w:color w:val="A4A4A4"/>
        </w:rPr>
        <w:t>Adição (ADD)</w:t>
      </w:r>
      <w:r>
        <w:rPr>
          <w:rFonts w:cs="Calibri" w:asciiTheme="majorHAnsi" w:hAnsiTheme="majorHAnsi"/>
          <w:color w:val="A4A4A4"/>
        </w:rPr>
        <w:t xml:space="preserve"> </w:t>
      </w:r>
      <w:r>
        <w:rPr>
          <w:rFonts w:cs="Calibri" w:asciiTheme="majorHAnsi" w:hAnsiTheme="majorHAnsi"/>
        </w:rPr>
        <w:t xml:space="preserve">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</w:rPr>
        <w:t xml:space="preserve"> </w:t>
      </w:r>
      <w:r>
        <w:rPr>
          <w:rFonts w:cs="Calibri" w:asciiTheme="majorHAnsi" w:hAnsiTheme="majorHAnsi"/>
          <w:b/>
          <w:bCs/>
        </w:rPr>
        <w:t xml:space="preserve">Na prescrição óptica, o campo de adição refere-se ao poder dióptrico adicional destinado à correção da presbiopia, disfunção visual acomodativa comum após os 40 anos. Algumas receitas apresentam o valor final para visão de perto já calculado. Outras informam apenas o valor de adição, que deverá ser acrescido à dioptria de longe.  </w:t>
      </w:r>
      <w:r>
        <w:rPr>
          <w:rFonts w:asciiTheme="majorHAnsi" w:hAnsiTheme="majorHAnsi"/>
        </w:rPr>
        <w:br w:type="textWrapping"/>
      </w:r>
      <w:r>
        <w:rPr>
          <w:rFonts w:cs="Calibri" w:asciiTheme="majorHAnsi" w:hAnsiTheme="majorHAnsi"/>
          <w:b/>
          <w:bCs/>
        </w:rPr>
        <w:t xml:space="preserve"> Os valores de adição são estabelecidos, em geral, entre +0,75 D e +4,00 D, com progressão em passos de 0,25 D, respeitando-se as particularidades de cada caso clínico.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  <w:b/>
          <w:bCs/>
        </w:rPr>
        <w:t xml:space="preserve">  Quando a prescrição oftalmológica/optométrica  apresenta apenas os valores de grau esférica para longe e o campo de adição preenchido, o grau para visão de perto é obtido somando-se o valor esférico de longe ao valor da adição. 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  <w:b/>
          <w:bCs/>
        </w:rPr>
        <w:t xml:space="preserve"> Ressalta-se que este cálculo se aplica exclusivamente ao componente esférico da receita. Os valores de dioptria cilíndrica e eixo, quando existentes, permanecem inalterados.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  <w:b/>
          <w:bCs/>
        </w:rPr>
        <w:t xml:space="preserve"> 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  <w:b/>
          <w:bCs/>
        </w:rPr>
        <w:t>Ex: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drawing>
          <wp:inline distT="0" distB="0" distL="0" distR="0">
            <wp:extent cx="6143625" cy="1485900"/>
            <wp:effectExtent l="19050" t="0" r="9525" b="0"/>
            <wp:docPr id="5" name="Imagem 5" descr="C:\Users\Otica\AppData\Local\Temp\ksohtml24564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Otica\AppData\Local\Temp\ksohtml24564\wps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bCs/>
        </w:rPr>
        <w:t>Como calcular o grau para perto na prática</w:t>
      </w:r>
      <w:r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bCs/>
        </w:rPr>
        <w:t xml:space="preserve">Na receita, o grau de perto é a soma do grau de longe com a adição. Funciona assim: 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  <w:b/>
          <w:bCs/>
        </w:rPr>
        <w:t xml:space="preserve"> Se o seu grau de longe for</w:t>
      </w:r>
      <w:r>
        <w:rPr>
          <w:rFonts w:asciiTheme="majorHAnsi" w:hAnsiTheme="majorHAnsi"/>
          <w:b/>
          <w:bCs/>
          <w:color w:val="FF0000"/>
        </w:rPr>
        <w:t xml:space="preserve"> negativo, exemplo -2,00</w:t>
      </w:r>
      <w:r>
        <w:rPr>
          <w:rFonts w:asciiTheme="majorHAnsi" w:hAnsiTheme="majorHAnsi"/>
          <w:b/>
          <w:bCs/>
        </w:rPr>
        <w:t xml:space="preserve">, e a adição for +2,50, você faz: -2,00 + 2,50 = +0,50. Esse será seu grau para perto.  </w:t>
      </w:r>
      <w:r>
        <w:rPr>
          <w:rFonts w:asciiTheme="majorHAnsi" w:hAnsiTheme="majorHAnsi"/>
        </w:rPr>
        <w:br w:type="textWrapping"/>
      </w:r>
      <w:r>
        <w:rPr>
          <w:rFonts w:asciiTheme="majorHAnsi" w:hAnsiTheme="majorHAnsi"/>
          <w:b/>
          <w:bCs/>
        </w:rPr>
        <w:t xml:space="preserve"> Se o grau de longe já for</w:t>
      </w:r>
      <w:r>
        <w:rPr>
          <w:rFonts w:asciiTheme="majorHAnsi" w:hAnsiTheme="majorHAnsi"/>
          <w:b/>
          <w:bCs/>
          <w:color w:val="00B050"/>
        </w:rPr>
        <w:t xml:space="preserve"> positivo, exemplo +1,00</w:t>
      </w:r>
      <w:r>
        <w:rPr>
          <w:rFonts w:asciiTheme="majorHAnsi" w:hAnsiTheme="majorHAnsi"/>
          <w:b/>
          <w:bCs/>
        </w:rPr>
        <w:t>, com a mesma adição de +2,50, fica: +1,00 + 2,50 = +3,50.  É sempre uma soma. O sinal</w:t>
      </w:r>
      <w:r>
        <w:rPr>
          <w:rFonts w:asciiTheme="majorHAnsi" w:hAnsiTheme="majorHAnsi"/>
          <w:b/>
          <w:bCs/>
          <w:color w:val="FF0000"/>
        </w:rPr>
        <w:t xml:space="preserve"> negativo </w:t>
      </w:r>
      <w:r>
        <w:rPr>
          <w:rFonts w:asciiTheme="majorHAnsi" w:hAnsiTheme="majorHAnsi"/>
          <w:b/>
          <w:bCs/>
        </w:rPr>
        <w:t>já faz o "ajuste" na conta.</w:t>
      </w:r>
      <w:r>
        <w:rPr>
          <w:rFonts w:asciiTheme="majorHAnsi" w:hAnsiTheme="majorHAnsi"/>
        </w:rPr>
        <w:br w:type="textWrapping"/>
      </w:r>
    </w:p>
    <w:p w14:paraId="7681F7E7">
      <w:r>
        <w:rPr>
          <w:rFonts w:ascii="Calibri" w:hAnsi="Calibri" w:eastAsia="Calibri" w:cs="Calibri"/>
          <w:b/>
          <w:bCs/>
          <w:color w:val="4E80BC" w:themeColor="accent1" w:themeTint="FF"/>
          <w:sz w:val="52"/>
          <w:szCs w:val="52"/>
          <w:lang w:val="pt-BR"/>
        </w:rPr>
        <w:t>ABREVIAÇOES NAS RECEITAS</w:t>
      </w:r>
      <w:r>
        <w:br w:type="textWrapping"/>
      </w:r>
      <w:r>
        <w:rPr>
          <w:rFonts w:ascii="Calibri" w:hAnsi="Calibri" w:eastAsia="Calibri" w:cs="Calibri"/>
          <w:b/>
          <w:bCs/>
          <w:sz w:val="22"/>
          <w:szCs w:val="22"/>
          <w:lang w:val="pt-BR"/>
        </w:rPr>
        <w:t>Ao analisar uma receita oftálmica, é comum encontrar diversas abreviações. Elas são utilizadas para tornar o preenchimento da prescrição mais prático e objetivo, mas podem gerar dúvidas para quem não está familiarizado com esses termos.</w:t>
      </w:r>
      <w:r>
        <w:br w:type="textWrapping"/>
      </w:r>
      <w:r>
        <w:br w:type="textWrapping"/>
      </w:r>
      <w:r>
        <w:rPr>
          <w:rFonts w:ascii="Calibri" w:hAnsi="Calibri" w:eastAsia="Calibri" w:cs="Calibri"/>
          <w:b/>
          <w:bCs/>
          <w:sz w:val="22"/>
          <w:szCs w:val="22"/>
          <w:lang w:val="pt-BR"/>
        </w:rPr>
        <w:t>Pensando nisso, reunimos as principais siglas encontradas nas receitas, acompanhadas de seus respectivos significados. Com esse guia, a leitura da prescrição se torna mais simples, facilitando a compreensão de cada informação e reduzindo a chance de interpretações erradas</w:t>
      </w:r>
      <w:r>
        <w:br w:type="textWrapping"/>
      </w:r>
      <w:r>
        <w:br w:type="textWrapping"/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AD  </w:t>
      </w:r>
      <w:r>
        <w:rPr>
          <w:rFonts w:ascii="Calibri" w:hAnsi="Calibri" w:eastAsia="Calibri" w:cs="Calibri"/>
          <w:sz w:val="22"/>
          <w:szCs w:val="22"/>
          <w:lang w:val="pt-BR"/>
        </w:rPr>
        <w:t>= ADIÇÃO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DIP </w:t>
      </w:r>
      <w:r>
        <w:rPr>
          <w:rFonts w:ascii="Calibri" w:hAnsi="Calibri" w:eastAsia="Calibri" w:cs="Calibri"/>
          <w:sz w:val="22"/>
          <w:szCs w:val="22"/>
          <w:lang w:val="pt-BR"/>
        </w:rPr>
        <w:t>= DISTÂNCIA INTERPUPILAR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AO  </w:t>
      </w:r>
      <w:r>
        <w:rPr>
          <w:rFonts w:ascii="Calibri" w:hAnsi="Calibri" w:eastAsia="Calibri" w:cs="Calibri"/>
          <w:sz w:val="22"/>
          <w:szCs w:val="22"/>
          <w:lang w:val="pt-BR"/>
        </w:rPr>
        <w:t>= AMBOS OS OLHOS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DP  </w:t>
      </w:r>
      <w:r>
        <w:rPr>
          <w:rFonts w:ascii="Calibri" w:hAnsi="Calibri" w:eastAsia="Calibri" w:cs="Calibri"/>
          <w:sz w:val="22"/>
          <w:szCs w:val="22"/>
          <w:lang w:val="pt-BR"/>
        </w:rPr>
        <w:t>= DISTÂNCIA PUPILAR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AM  </w:t>
      </w:r>
      <w:r>
        <w:rPr>
          <w:rFonts w:ascii="Calibri" w:hAnsi="Calibri" w:eastAsia="Calibri" w:cs="Calibri"/>
          <w:sz w:val="22"/>
          <w:szCs w:val="22"/>
          <w:lang w:val="pt-BR"/>
        </w:rPr>
        <w:t>= A MEDIR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DNP </w:t>
      </w:r>
      <w:r>
        <w:rPr>
          <w:rFonts w:ascii="Calibri" w:hAnsi="Calibri" w:eastAsia="Calibri" w:cs="Calibri"/>
          <w:sz w:val="22"/>
          <w:szCs w:val="22"/>
          <w:lang w:val="pt-BR"/>
        </w:rPr>
        <w:t>= DISTÂNCIA NASO-PUPILAR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ASF </w:t>
      </w:r>
      <w:r>
        <w:rPr>
          <w:rFonts w:ascii="Calibri" w:hAnsi="Calibri" w:eastAsia="Calibri" w:cs="Calibri"/>
          <w:sz w:val="22"/>
          <w:szCs w:val="22"/>
          <w:lang w:val="pt-BR"/>
        </w:rPr>
        <w:t>= ASFÉRICO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DV  </w:t>
      </w:r>
      <w:r>
        <w:rPr>
          <w:rFonts w:ascii="Calibri" w:hAnsi="Calibri" w:eastAsia="Calibri" w:cs="Calibri"/>
          <w:sz w:val="22"/>
          <w:szCs w:val="22"/>
          <w:lang w:val="pt-BR"/>
        </w:rPr>
        <w:t>= DISTÂNCIA DO VÉRTICE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ALT </w:t>
      </w:r>
      <w:r>
        <w:rPr>
          <w:rFonts w:ascii="Calibri" w:hAnsi="Calibri" w:eastAsia="Calibri" w:cs="Calibri"/>
          <w:sz w:val="22"/>
          <w:szCs w:val="22"/>
          <w:lang w:val="pt-BR"/>
        </w:rPr>
        <w:t>= ALTURA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ESF </w:t>
      </w:r>
      <w:r>
        <w:rPr>
          <w:rFonts w:ascii="Calibri" w:hAnsi="Calibri" w:eastAsia="Calibri" w:cs="Calibri"/>
          <w:sz w:val="22"/>
          <w:szCs w:val="22"/>
          <w:lang w:val="pt-BR"/>
        </w:rPr>
        <w:t>= ESFÉRICO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AR  </w:t>
      </w:r>
      <w:r>
        <w:rPr>
          <w:rFonts w:ascii="Calibri" w:hAnsi="Calibri" w:eastAsia="Calibri" w:cs="Calibri"/>
          <w:sz w:val="22"/>
          <w:szCs w:val="22"/>
          <w:lang w:val="pt-BR"/>
        </w:rPr>
        <w:t>= ANTIRREFLEXO</w:t>
      </w:r>
      <w:r>
        <w:br w:type="textWrapping"/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 H.L</w:t>
      </w:r>
      <w:r>
        <w:rPr>
          <w:rFonts w:ascii="Calibri" w:hAnsi="Calibri" w:eastAsia="Calibri" w:cs="Calibri"/>
          <w:sz w:val="22"/>
          <w:szCs w:val="22"/>
          <w:lang w:val="pt-BR"/>
        </w:rPr>
        <w:t>. = HIGH LITE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B   </w:t>
      </w:r>
      <w:r>
        <w:rPr>
          <w:rFonts w:ascii="Calibri" w:hAnsi="Calibri" w:eastAsia="Calibri" w:cs="Calibri"/>
          <w:sz w:val="22"/>
          <w:szCs w:val="22"/>
          <w:lang w:val="pt-BR"/>
        </w:rPr>
        <w:t>= BASE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INF </w:t>
      </w:r>
      <w:r>
        <w:rPr>
          <w:rFonts w:ascii="Calibri" w:hAnsi="Calibri" w:eastAsia="Calibri" w:cs="Calibri"/>
          <w:sz w:val="22"/>
          <w:szCs w:val="22"/>
          <w:lang w:val="pt-BR"/>
        </w:rPr>
        <w:t>= INFERIOR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BPC </w:t>
      </w:r>
      <w:r>
        <w:rPr>
          <w:rFonts w:ascii="Calibri" w:hAnsi="Calibri" w:eastAsia="Calibri" w:cs="Calibri"/>
          <w:sz w:val="22"/>
          <w:szCs w:val="22"/>
          <w:lang w:val="pt-BR"/>
        </w:rPr>
        <w:t>= BASE PRISMÁTICA CENTRAL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I   </w:t>
      </w:r>
      <w:r>
        <w:rPr>
          <w:rFonts w:ascii="Calibri" w:hAnsi="Calibri" w:eastAsia="Calibri" w:cs="Calibri"/>
          <w:sz w:val="22"/>
          <w:szCs w:val="22"/>
          <w:lang w:val="pt-BR"/>
        </w:rPr>
        <w:t>= INTERMEDIÁRIA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BPI </w:t>
      </w:r>
      <w:r>
        <w:rPr>
          <w:rFonts w:ascii="Calibri" w:hAnsi="Calibri" w:eastAsia="Calibri" w:cs="Calibri"/>
          <w:sz w:val="22"/>
          <w:szCs w:val="22"/>
          <w:lang w:val="pt-BR"/>
        </w:rPr>
        <w:t>= BASE PRISMÁTICA INFERIOR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L   </w:t>
      </w:r>
      <w:r>
        <w:rPr>
          <w:rFonts w:ascii="Calibri" w:hAnsi="Calibri" w:eastAsia="Calibri" w:cs="Calibri"/>
          <w:sz w:val="22"/>
          <w:szCs w:val="22"/>
          <w:lang w:val="pt-BR"/>
        </w:rPr>
        <w:t>= LONGE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BPS </w:t>
      </w:r>
      <w:r>
        <w:rPr>
          <w:rFonts w:ascii="Calibri" w:hAnsi="Calibri" w:eastAsia="Calibri" w:cs="Calibri"/>
          <w:sz w:val="22"/>
          <w:szCs w:val="22"/>
          <w:lang w:val="pt-BR"/>
        </w:rPr>
        <w:t>= BASE PRISMÁTICA SUPERIOR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MM  </w:t>
      </w:r>
      <w:r>
        <w:rPr>
          <w:rFonts w:ascii="Calibri" w:hAnsi="Calibri" w:eastAsia="Calibri" w:cs="Calibri"/>
          <w:sz w:val="22"/>
          <w:szCs w:val="22"/>
          <w:lang w:val="pt-BR"/>
        </w:rPr>
        <w:t>= MILÍMETRO</w:t>
      </w:r>
      <w:r>
        <w:br w:type="textWrapping"/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BIF </w:t>
      </w:r>
      <w:r>
        <w:rPr>
          <w:rFonts w:ascii="Calibri" w:hAnsi="Calibri" w:eastAsia="Calibri" w:cs="Calibri"/>
          <w:sz w:val="22"/>
          <w:szCs w:val="22"/>
          <w:lang w:val="pt-BR"/>
        </w:rPr>
        <w:t>= BIFOCAL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N   </w:t>
      </w:r>
      <w:r>
        <w:rPr>
          <w:rFonts w:ascii="Calibri" w:hAnsi="Calibri" w:eastAsia="Calibri" w:cs="Calibri"/>
          <w:sz w:val="22"/>
          <w:szCs w:val="22"/>
          <w:lang w:val="pt-BR"/>
        </w:rPr>
        <w:t>= NASAL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CIL </w:t>
      </w:r>
      <w:r>
        <w:rPr>
          <w:rFonts w:ascii="Calibri" w:hAnsi="Calibri" w:eastAsia="Calibri" w:cs="Calibri"/>
          <w:sz w:val="22"/>
          <w:szCs w:val="22"/>
          <w:lang w:val="pt-BR"/>
        </w:rPr>
        <w:t>= CILÍNDRICO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OD  </w:t>
      </w:r>
      <w:r>
        <w:rPr>
          <w:rFonts w:ascii="Calibri" w:hAnsi="Calibri" w:eastAsia="Calibri" w:cs="Calibri"/>
          <w:sz w:val="22"/>
          <w:szCs w:val="22"/>
          <w:lang w:val="pt-BR"/>
        </w:rPr>
        <w:t>= OLHO DIREITO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COR </w:t>
      </w:r>
      <w:r>
        <w:rPr>
          <w:rFonts w:ascii="Calibri" w:hAnsi="Calibri" w:eastAsia="Calibri" w:cs="Calibri"/>
          <w:sz w:val="22"/>
          <w:szCs w:val="22"/>
          <w:lang w:val="pt-BR"/>
        </w:rPr>
        <w:t>= TONALIDADE (TONS)</w:t>
      </w:r>
      <w:bookmarkStart w:id="0" w:name="_GoBack"/>
      <w:bookmarkEnd w:id="0"/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OE  </w:t>
      </w:r>
      <w:r>
        <w:rPr>
          <w:rFonts w:ascii="Calibri" w:hAnsi="Calibri" w:eastAsia="Calibri" w:cs="Calibri"/>
          <w:sz w:val="22"/>
          <w:szCs w:val="22"/>
          <w:lang w:val="pt-BR"/>
        </w:rPr>
        <w:t>= OLHO ESQUERDO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CO  </w:t>
      </w:r>
      <w:r>
        <w:rPr>
          <w:rFonts w:ascii="Calibri" w:hAnsi="Calibri" w:eastAsia="Calibri" w:cs="Calibri"/>
          <w:sz w:val="22"/>
          <w:szCs w:val="22"/>
          <w:lang w:val="pt-BR"/>
        </w:rPr>
        <w:t>= CENTRO ÓPTICO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°   </w:t>
      </w:r>
      <w:r>
        <w:rPr>
          <w:rFonts w:ascii="Calibri" w:hAnsi="Calibri" w:eastAsia="Calibri" w:cs="Calibri"/>
          <w:sz w:val="22"/>
          <w:szCs w:val="22"/>
          <w:lang w:val="pt-BR"/>
        </w:rPr>
        <w:t>= GRAU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CR39 </w:t>
      </w:r>
      <w:r>
        <w:rPr>
          <w:rFonts w:ascii="Calibri" w:hAnsi="Calibri" w:eastAsia="Calibri" w:cs="Calibri"/>
          <w:sz w:val="22"/>
          <w:szCs w:val="22"/>
          <w:lang w:val="pt-BR"/>
        </w:rPr>
        <w:t>= RESINA ORGÂNICA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P   </w:t>
      </w:r>
      <w:r>
        <w:rPr>
          <w:rFonts w:ascii="Calibri" w:hAnsi="Calibri" w:eastAsia="Calibri" w:cs="Calibri"/>
          <w:sz w:val="22"/>
          <w:szCs w:val="22"/>
          <w:lang w:val="pt-BR"/>
        </w:rPr>
        <w:t>= PERTO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>CC</w:t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 = CÔNCAVO (A)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PL  </w:t>
      </w:r>
      <w:r>
        <w:rPr>
          <w:rFonts w:ascii="Calibri" w:hAnsi="Calibri" w:eastAsia="Calibri" w:cs="Calibri"/>
          <w:sz w:val="22"/>
          <w:szCs w:val="22"/>
          <w:lang w:val="pt-BR"/>
        </w:rPr>
        <w:t>= PLANO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CV  </w:t>
      </w:r>
      <w:r>
        <w:rPr>
          <w:rFonts w:ascii="Calibri" w:hAnsi="Calibri" w:eastAsia="Calibri" w:cs="Calibri"/>
          <w:sz w:val="22"/>
          <w:szCs w:val="22"/>
          <w:lang w:val="pt-BR"/>
        </w:rPr>
        <w:t>= CONVEXO (A)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RX  </w:t>
      </w:r>
      <w:r>
        <w:rPr>
          <w:rFonts w:ascii="Calibri" w:hAnsi="Calibri" w:eastAsia="Calibri" w:cs="Calibri"/>
          <w:sz w:val="22"/>
          <w:szCs w:val="22"/>
          <w:lang w:val="pt-BR"/>
        </w:rPr>
        <w:t>= RECEITA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>D OU DIOP</w:t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= DIOPTRIA</w:t>
      </w:r>
      <w:r>
        <w:br w:type="textWrapping"/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 SUP </w:t>
      </w:r>
      <w:r>
        <w:rPr>
          <w:rFonts w:ascii="Calibri" w:hAnsi="Calibri" w:eastAsia="Calibri" w:cs="Calibri"/>
          <w:sz w:val="22"/>
          <w:szCs w:val="22"/>
          <w:lang w:val="pt-BR"/>
        </w:rPr>
        <w:t>= SUPERIOR</w:t>
      </w:r>
      <w:r>
        <w:br w:type="textWrapping"/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 DE</w:t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 = DIOPTRIA ESFÉRICA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>T</w:t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  = TEMPORAL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>DC</w:t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 = DIOPTRIA CILÍNDRICA</w:t>
      </w:r>
      <w:r>
        <w:br w:type="textWrapping"/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>TABO</w:t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= DIAGRAMA TABO</w:t>
      </w:r>
      <w:r>
        <w:br w:type="textWrapping"/>
      </w:r>
      <w:r>
        <w:rPr>
          <w:rFonts w:ascii="Calibri" w:hAnsi="Calibri" w:eastAsia="Calibri" w:cs="Calibri"/>
          <w:b/>
          <w:bCs/>
          <w:color w:val="0070C0"/>
          <w:sz w:val="22"/>
          <w:szCs w:val="22"/>
          <w:lang w:val="pt-BR"/>
        </w:rPr>
        <w:t xml:space="preserve"> DCL</w:t>
      </w:r>
      <w:r>
        <w:rPr>
          <w:rFonts w:ascii="Calibri" w:hAnsi="Calibri" w:eastAsia="Calibri" w:cs="Calibri"/>
          <w:sz w:val="22"/>
          <w:szCs w:val="22"/>
          <w:lang w:val="pt-BR"/>
        </w:rPr>
        <w:t xml:space="preserve"> = DISTÂNCIA CÓRNEA-LENTE</w:t>
      </w:r>
      <w:r>
        <w:br w:type="textWrapping"/>
      </w:r>
      <w:r>
        <w:br w:type="textWrapping"/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62A1E"/>
    <w:rsid w:val="001050DF"/>
    <w:rsid w:val="00162A1E"/>
    <w:rsid w:val="2EDD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100" w:beforeAutospacing="1" w:after="100" w:afterAutospacing="1" w:line="256" w:lineRule="auto"/>
    </w:pPr>
    <w:rPr>
      <w:rFonts w:ascii="Calibri" w:hAnsi="Calibri" w:eastAsia="Times New Roman" w:cs="Times New Roman"/>
      <w:sz w:val="24"/>
      <w:szCs w:val="24"/>
      <w:lang w:val="pt-BR" w:eastAsia="pt-B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Texto de balão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858</Words>
  <Characters>4637</Characters>
  <Lines>39</Lines>
  <Paragraphs>11</Paragraphs>
  <TotalTime>2</TotalTime>
  <ScaleCrop>false</ScaleCrop>
  <LinksUpToDate>false</LinksUpToDate>
  <CharactersWithSpaces>5486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2026-08-19T14:58:00Z</dcterms:created>
  <dc:creator>Ótica Sabrina</dc:creator>
  <cp:lastModifiedBy>Otica Sabrina</cp:lastModifiedBy>
  <dcterms:modified xsi:type="dcterms:W3CDTF">2026-08-19T15:05:50Z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eyJoZGlkIjoiNmI4YTcxODI0OTBhNGYwZDlkNWY0N2RlYWY1ZGIyNTIiLCJ1c2VySWQiOiIxMjU0NTkyMDI2ODU5In0=</vt:lpwstr>
  </property>
  <property fmtid="{D5CDD505-2E9C-101B-9397-08002B2CF9AE}" pid="3" name="KSOProductBuildVer">
    <vt:lpwstr>1046-12.1.0.28032</vt:lpwstr>
  </property>
  <property fmtid="{D5CDD505-2E9C-101B-9397-08002B2CF9AE}" pid="4" name="ICV">
    <vt:lpwstr>731F301B1C1247A7A0FC0222389478FB_12</vt:lpwstr>
  </property>
</Properties>
</file>