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Отчет о проекте: Шахова Елизавета Андреевна</w:t>
      </w:r>
    </w:p>
    <w:p w14:paraId="03000000">
      <w:pPr>
        <w:pStyle w:val="Style_1"/>
        <w:ind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Для исследования выбраны корпуса </w:t>
      </w:r>
      <w:r>
        <w:drawing>
          <wp:inline>
            <wp:extent cx="1554615" cy="190516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1554615" cy="19051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и </w:t>
      </w:r>
      <w:r>
        <w:drawing>
          <wp:inline>
            <wp:extent cx="868755" cy="304826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868755" cy="304826"/>
                    </a:xfrm>
                    <a:prstGeom prst="rect"/>
                  </pic:spPr>
                </pic:pic>
              </a:graphicData>
            </a:graphic>
          </wp:inline>
        </w:drawing>
      </w:r>
      <w:r>
        <w:t>.</w:t>
      </w:r>
    </w:p>
    <w:p w14:paraId="04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Все уровни</w:t>
      </w:r>
    </w:p>
    <w:p w14:paraId="05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Общая текстометрия </w:t>
      </w:r>
      <w:r>
        <w:rPr>
          <w:rFonts w:ascii="Times New Roman" w:hAnsi="Times New Roman"/>
          <w:b w:val="0"/>
        </w:rPr>
        <w:t xml:space="preserve"> </w:t>
      </w:r>
    </w:p>
    <w:p w14:paraId="06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Частотный список корпуса 1: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"https://1drv.ms/x/c/c5e14c0bf253d4bd/EXlgVRQa0KNJv_iqpxm1s-wBBWtTFe_J6nll4gBFKd0UYA?e=Z196bg"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https://1drv.ms/x/c/c5e14c0bf253d4bd/EXlgVRQa0KNJv_iqpxm1s-wBBWtTFe_J6nll4gBFKd0UYA?e=Z196bg</w:t>
      </w:r>
      <w:r>
        <w:rPr>
          <w:rStyle w:val="Style_2_ch"/>
        </w:rPr>
        <w:fldChar w:fldCharType="end"/>
      </w:r>
      <w:r>
        <w:rPr>
          <w:rFonts w:ascii="Times New Roman" w:hAnsi="Times New Roman"/>
        </w:rPr>
        <w:t xml:space="preserve"> ссылка на таблицу </w:t>
      </w:r>
      <w:r>
        <w:rPr>
          <w:rFonts w:ascii="Times New Roman" w:hAnsi="Times New Roman"/>
        </w:rPr>
        <w:t>(Приложе</w:t>
      </w:r>
      <w:r>
        <w:rPr>
          <w:rFonts w:ascii="Times New Roman" w:hAnsi="Times New Roman"/>
        </w:rPr>
        <w:t>ние 1).</w:t>
      </w:r>
    </w:p>
    <w:p w14:paraId="07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Частотный список корпуса 2: 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"https://1drv.ms/x/c/c5e14c0bf253d4bd/EbBPZMOgV-BAnfbV0dnTiQYB0dGKjXk2TuEG3F0t8PrEJg?e=IEQbtr"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https://1drv.ms/x/c/c5e14c0bf253d4bd/EbBPZMOgV-BAnfbV0dnTiQYB0dGKjXk2TuEG3F0t8PrEJg?e=IEQbtr</w:t>
      </w:r>
      <w:r>
        <w:rPr>
          <w:rStyle w:val="Style_2_ch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(Приложение 2).</w:t>
      </w:r>
    </w:p>
    <w:p w14:paraId="08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Без стоп-слов 1: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"https://1drv.ms/x/c/c5e14c0bf253d4bd/ET46g2pQZuBCpoMJypmacV4BF1sKXeFO9VvOq4VJ6IgkEw?e=ri9402"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https://1drv.ms/x/c/c5e14c0bf253d4bd/ET46g2pQZuBCpoMJypmacV4BF1sKXeFO9VvOq4VJ6IgkEw?e=ri9402</w:t>
      </w:r>
      <w:r>
        <w:rPr>
          <w:rStyle w:val="Style_2_ch"/>
        </w:rPr>
        <w:fldChar w:fldCharType="end"/>
      </w:r>
      <w:r>
        <w:t xml:space="preserve"> </w:t>
      </w:r>
      <w:r>
        <w:rPr>
          <w:rFonts w:ascii="Times New Roman" w:hAnsi="Times New Roman"/>
        </w:rPr>
        <w:t xml:space="preserve">  (Приложение 3). </w:t>
      </w:r>
    </w:p>
    <w:p w14:paraId="09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Без стоп-слов 2: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"https://1drv.ms/x/c/c5e14c0bf253d4bd/EbuFNkoewAlDvPbojrByvQwBjFtenWzIhGHne0gsu20soQ?e=8QbcN7"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https://1drv.ms/x/c/c5e14c0bf253d4bd/EbuFNkoewAlDvPbojrByvQwBjFtenWzIhGHne0gsu20soQ?e=8QbcN7</w:t>
      </w:r>
      <w:r>
        <w:rPr>
          <w:rStyle w:val="Style_2_ch"/>
        </w:rPr>
        <w:fldChar w:fldCharType="end"/>
      </w:r>
      <w:r>
        <w:t xml:space="preserve"> </w:t>
      </w:r>
      <w:r>
        <w:rPr>
          <w:rFonts w:ascii="Times New Roman" w:hAnsi="Times New Roman"/>
        </w:rPr>
        <w:t xml:space="preserve"> (Приложение 4). </w:t>
      </w:r>
    </w:p>
    <w:p w14:paraId="0A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Ссылка на таблицу с диаграммой по корпусу 1.</w:t>
      </w:r>
      <w:r>
        <w:rPr>
          <w:rFonts w:ascii="Times New Roman" w:hAnsi="Times New Roman"/>
        </w:rPr>
        <w:t xml:space="preserve">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"https://1drv.ms/x/c/c5e14c0bf253d4bd/Eci9BHYX3D5CsAcprPFZ6GYB2qFPJ02xGqaYfOlZDAM6gg?e=6VzyM4"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https://1drv.ms/x/c/c5e14c0bf253d4bd/Eci9BHYX3D5CsAcprPFZ6GYB2qFPJ02xGqaYfOlZDAM6gg?e=6VzyM4</w:t>
      </w:r>
      <w:r>
        <w:rPr>
          <w:rStyle w:val="Style_2_ch"/>
        </w:rPr>
        <w:fldChar w:fldCharType="end"/>
      </w:r>
      <w:r>
        <w:t xml:space="preserve"> </w:t>
      </w:r>
    </w:p>
    <w:p w14:paraId="0B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Ссылка на таблицу с диаграммой по корпусу 2. </w:t>
      </w:r>
      <w:r>
        <w:t>https://1drv.ms/x/c/c5e14c0bf253d4bd/Eci9BHYX3D5CsAcprPFZ6GYB2qFPJ02xGqaYfOlZDAM6gg?e=6VzyM4</w:t>
      </w:r>
    </w:p>
    <w:p w14:paraId="0C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Диаграммы (рис. 1, рис. 2): </w:t>
      </w:r>
    </w:p>
    <w:p w14:paraId="0D000000">
      <w:pPr>
        <w:pStyle w:val="Style_1"/>
        <w:ind/>
        <w:jc w:val="center"/>
        <w:rPr>
          <w:rFonts w:ascii="Times New Roman" w:hAnsi="Times New Roman"/>
          <w:b w:val="0"/>
        </w:rPr>
      </w:pPr>
      <w:r>
        <w:drawing>
          <wp:inline>
            <wp:extent cx="5364947" cy="3345471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364947" cy="33454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pStyle w:val="Style_1"/>
        <w:ind/>
        <w:jc w:val="center"/>
        <w:rPr>
          <w:rFonts w:ascii="Times New Roman" w:hAnsi="Times New Roman"/>
          <w:b w:val="0"/>
        </w:rPr>
      </w:pPr>
      <w:r>
        <w:drawing>
          <wp:inline>
            <wp:extent cx="5997462" cy="293395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97462" cy="29339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10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Вывод: Рассматривая эти корпусы, можно заметить, что списки частотных слов схожи.</w:t>
      </w:r>
    </w:p>
    <w:p w14:paraId="11000000">
      <w:pPr>
        <w:pStyle w:val="Style_1"/>
        <w:ind/>
        <w:jc w:val="both"/>
        <w:rPr>
          <w:rFonts w:ascii="Times New Roman" w:hAnsi="Times New Roman"/>
          <w:b w:val="0"/>
        </w:rPr>
      </w:pPr>
    </w:p>
    <w:p w14:paraId="12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Лексическое разнообразие</w:t>
      </w:r>
    </w:p>
    <w:p w14:paraId="13000000">
      <w:pPr>
        <w:pStyle w:val="Style_1"/>
        <w:ind/>
        <w:jc w:val="center"/>
        <w:rPr>
          <w:rFonts w:ascii="Times New Roman" w:hAnsi="Times New Roman"/>
          <w:b w:val="1"/>
        </w:rPr>
      </w:pPr>
    </w:p>
    <w:p w14:paraId="14000000">
      <w:pPr>
        <w:pStyle w:val="Style_1"/>
        <w:ind/>
        <w:jc w:val="both"/>
        <w:rPr>
          <w:rFonts w:ascii="Times New Roman" w:hAnsi="Times New Roman"/>
          <w:b w:val="0"/>
        </w:rPr>
      </w:pPr>
      <w:r>
        <w:t>Показатель type/token ratio для корпуса 1:</w:t>
      </w:r>
      <w:r>
        <w:rPr>
          <w:rFonts w:ascii="Times New Roman" w:hAnsi="Times New Roman"/>
          <w:b w:val="1"/>
        </w:rPr>
        <w:t xml:space="preserve"> </w:t>
      </w:r>
      <w:r>
        <w:rPr>
          <w:rFonts w:ascii="Times New Roman" w:hAnsi="Times New Roman"/>
          <w:b w:val="0"/>
        </w:rPr>
        <w:t>47553/3237429 = 0,015</w:t>
      </w:r>
    </w:p>
    <w:p w14:paraId="15000000">
      <w:pPr>
        <w:pStyle w:val="Style_1"/>
        <w:ind/>
        <w:jc w:val="both"/>
        <w:rPr>
          <w:rFonts w:ascii="Times New Roman" w:hAnsi="Times New Roman"/>
          <w:b w:val="0"/>
        </w:rPr>
      </w:pPr>
      <w:r>
        <w:t>Показатель type/token ratio для корпуса 2:</w:t>
      </w:r>
      <w:r>
        <w:rPr>
          <w:rFonts w:ascii="Times New Roman" w:hAnsi="Times New Roman"/>
          <w:b w:val="1"/>
        </w:rPr>
        <w:t xml:space="preserve"> </w:t>
      </w:r>
      <w:r>
        <w:rPr>
          <w:rFonts w:ascii="Times New Roman" w:hAnsi="Times New Roman"/>
          <w:b w:val="0"/>
        </w:rPr>
        <w:t xml:space="preserve">377424/ 13952327 = 0,027 </w:t>
      </w:r>
    </w:p>
    <w:p w14:paraId="16000000">
      <w:pPr>
        <w:pStyle w:val="Style_1"/>
        <w:ind/>
        <w:jc w:val="both"/>
        <w:rPr>
          <w:rFonts w:ascii="Times New Roman" w:hAnsi="Times New Roman"/>
          <w:b w:val="0"/>
        </w:rPr>
      </w:pPr>
      <w:r>
        <w:t xml:space="preserve">Показатель type/token ratio для референтного корпуса прозы: </w:t>
      </w:r>
      <w:r>
        <w:rPr>
          <w:rFonts w:ascii="Times New Roman" w:hAnsi="Times New Roman"/>
          <w:b w:val="0"/>
        </w:rPr>
        <w:t>47553/3237429 = 0,015</w:t>
      </w:r>
    </w:p>
    <w:p w14:paraId="17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Референтный корпус</w:t>
      </w:r>
    </w:p>
    <w:p w14:paraId="18000000">
      <w:pPr>
        <w:pStyle w:val="Style_1"/>
        <w:ind/>
        <w:jc w:val="center"/>
        <w:rPr>
          <w:rFonts w:ascii="Times New Roman" w:hAnsi="Times New Roman"/>
          <w:b w:val="1"/>
        </w:rPr>
      </w:pPr>
      <w:r>
        <w:drawing>
          <wp:inline>
            <wp:extent cx="4053840" cy="306324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053840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pStyle w:val="Style_1"/>
        <w:ind/>
        <w:jc w:val="center"/>
        <w:rPr>
          <w:rFonts w:ascii="Times New Roman" w:hAnsi="Times New Roman"/>
          <w:b w:val="1"/>
        </w:rPr>
      </w:pPr>
    </w:p>
    <w:p w14:paraId="1A000000">
      <w:pPr>
        <w:pStyle w:val="Style_1"/>
        <w:ind/>
        <w:jc w:val="center"/>
        <w:rPr>
          <w:rFonts w:ascii="Times New Roman" w:hAnsi="Times New Roman"/>
          <w:b w:val="1"/>
        </w:rPr>
      </w:pPr>
      <w:r>
        <w:drawing>
          <wp:inline>
            <wp:extent cx="4831080" cy="342138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831080" cy="34213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ind/>
        <w:jc w:val="center"/>
        <w:rPr>
          <w:b w:val="1"/>
        </w:rPr>
      </w:pPr>
      <w:r>
        <w:rPr>
          <w:b w:val="1"/>
        </w:rPr>
        <w:t>Религия</w:t>
      </w:r>
    </w:p>
    <w:p w14:paraId="1C000000">
      <w:pPr>
        <w:pStyle w:val="Style_1"/>
        <w:ind/>
        <w:jc w:val="center"/>
        <w:rPr>
          <w:rFonts w:ascii="Times New Roman" w:hAnsi="Times New Roman"/>
          <w:b w:val="1"/>
        </w:rPr>
      </w:pPr>
    </w:p>
    <w:p w14:paraId="1D000000">
      <w:pPr>
        <w:pStyle w:val="Style_1"/>
        <w:ind/>
        <w:jc w:val="center"/>
        <w:rPr>
          <w:rFonts w:ascii="Times New Roman" w:hAnsi="Times New Roman"/>
          <w:b w:val="1"/>
        </w:rPr>
      </w:pPr>
      <w:r>
        <w:drawing>
          <wp:inline>
            <wp:extent cx="5417820" cy="376428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417820" cy="37642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Вывод: сравнивания показатели этих корпусов можно заметить, что в корпусе «Религия» больше уникальных слов, а показатели рефернтного корпуса и корпуса «Приключения» одинаковы.</w:t>
      </w:r>
    </w:p>
    <w:p w14:paraId="1F000000">
      <w:pPr>
        <w:pStyle w:val="Style_1"/>
        <w:ind/>
        <w:jc w:val="center"/>
        <w:rPr>
          <w:rFonts w:ascii="Times New Roman" w:hAnsi="Times New Roman"/>
          <w:b w:val="1"/>
        </w:rPr>
      </w:pPr>
    </w:p>
    <w:p w14:paraId="20000000">
      <w:pPr>
        <w:pStyle w:val="Style_1"/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Триграммы</w:t>
      </w:r>
    </w:p>
    <w:p w14:paraId="21000000">
      <w:pPr>
        <w:pStyle w:val="Style_1"/>
        <w:ind/>
        <w:jc w:val="both"/>
        <w:rPr>
          <w:rFonts w:ascii="Times New Roman" w:hAnsi="Times New Roman"/>
          <w:b w:val="1"/>
        </w:rPr>
      </w:pPr>
      <w:r>
        <w:t xml:space="preserve">Ссылка на таблицу триграмм – корпус 1 (Приложение 7). </w:t>
      </w:r>
    </w:p>
    <w:p w14:paraId="22000000">
      <w:pPr>
        <w:pStyle w:val="Style_1"/>
        <w:ind/>
        <w:jc w:val="both"/>
        <w:rPr>
          <w:rFonts w:ascii="Times New Roman" w:hAnsi="Times New Roman"/>
          <w:b w:val="1"/>
        </w:rPr>
      </w:pPr>
      <w:r>
        <w:t xml:space="preserve">Ссылка на таблицу триграмм – корпус 2 (Приложение 8). </w:t>
      </w:r>
    </w:p>
    <w:p w14:paraId="23000000">
      <w:pPr>
        <w:pStyle w:val="Style_1"/>
        <w:ind/>
        <w:jc w:val="both"/>
        <w:rPr>
          <w:rFonts w:ascii="Times New Roman" w:hAnsi="Times New Roman"/>
          <w:b w:val="1"/>
        </w:rPr>
      </w:pPr>
      <w:r>
        <w:t xml:space="preserve">Самая частотная триграмма – корпус 1: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"https://1drv.ms/x/c/c5e14c0bf253d4bd/EYd5f0DWyCFMo5N4tPvGymoB4dxCBMfNNmvKZvOsOITswQ?e=vpcTzR"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https://1drv.ms/x/c/c5e14c0bf253d4bd/EYd5f0DWyCFMo5N4tPvGymoB4dxCBMfNNmvKZvOsOITswQ?e=vpcTzR</w:t>
      </w:r>
      <w:r>
        <w:rPr>
          <w:rStyle w:val="Style_2_ch"/>
        </w:rPr>
        <w:fldChar w:fldCharType="end"/>
      </w:r>
      <w:r>
        <w:t xml:space="preserve"> </w:t>
      </w:r>
      <w:r>
        <w:t xml:space="preserve"> </w:t>
      </w:r>
    </w:p>
    <w:p w14:paraId="24000000">
      <w:pPr>
        <w:pStyle w:val="Style_1"/>
        <w:ind/>
        <w:jc w:val="both"/>
        <w:rPr>
          <w:rFonts w:ascii="Times New Roman" w:hAnsi="Times New Roman"/>
          <w:b w:val="1"/>
        </w:rPr>
      </w:pPr>
      <w:r>
        <w:t xml:space="preserve">Самая частотная триграмма – корпус 2: </w:t>
      </w:r>
      <w:r>
        <w:rPr>
          <w:rFonts w:ascii="Times New Roman" w:hAnsi="Times New Roman"/>
          <w:b w:val="0"/>
        </w:rPr>
        <w:t>и не (двуграмма)</w:t>
      </w:r>
    </w:p>
    <w:p w14:paraId="25000000">
      <w:pPr>
        <w:pStyle w:val="Style_1"/>
        <w:ind/>
        <w:jc w:val="both"/>
        <w:rPr>
          <w:rFonts w:ascii="Times New Roman" w:hAnsi="Times New Roman"/>
          <w:b w:val="1"/>
        </w:rPr>
      </w:pPr>
      <w:r>
        <w:drawing>
          <wp:inline>
            <wp:extent cx="6264274" cy="358895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274" cy="35889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1"/>
        <w:ind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Приложение не смогло посчитать триграммы для корпусов, удалось найти только двуграмму для корпуса «Религия», она прикреплена выше.</w:t>
      </w:r>
    </w:p>
    <w:p w14:paraId="27000000">
      <w:pPr>
        <w:pStyle w:val="Style_1"/>
        <w:ind/>
        <w:jc w:val="both"/>
        <w:rPr>
          <w:rFonts w:ascii="Times New Roman" w:hAnsi="Times New Roman"/>
          <w:b w:val="1"/>
        </w:rPr>
      </w:pPr>
    </w:p>
    <w:sectPr>
      <w:headerReference r:id="rId1" w:type="default"/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  <w:rPr>
        <w:rFonts w:ascii="Times New Roman" w:hAnsi="Times New Roman"/>
        <w:b w:val="1"/>
      </w:rPr>
    </w:pPr>
    <w:r>
      <w:rPr>
        <w:rFonts w:ascii="Times New Roman" w:hAnsi="Times New Roman"/>
        <w:b w:val="1"/>
      </w:rPr>
      <w:t>Приключение</w:t>
    </w:r>
  </w:p>
</w:hd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3" w:type="paragraph">
    <w:name w:val="toc 2"/>
    <w:next w:val="Style_1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1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1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1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2" w:type="paragraph">
    <w:name w:val="Hyperlink"/>
    <w:link w:val="Style_2_ch"/>
    <w:rPr>
      <w:color w:val="0000FF"/>
      <w:u w:val="single"/>
    </w:rPr>
  </w:style>
  <w:style w:styleId="Style_2_ch" w:type="character">
    <w:name w:val="Hyperlink"/>
    <w:link w:val="Style_2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theme/theme1.xml" Type="http://schemas.openxmlformats.org/officeDocument/2006/relationships/theme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4" Target="webSettings.xml" Type="http://schemas.openxmlformats.org/officeDocument/2006/relationships/webSettings"/>
  <Relationship Id="rId7" Target="media/6.png" Type="http://schemas.openxmlformats.org/officeDocument/2006/relationships/image"/>
  <Relationship Id="rId6" Target="media/5.png" Type="http://schemas.openxmlformats.org/officeDocument/2006/relationships/image"/>
  <Relationship Id="rId13" Target="stylesWithEffects.xml" Type="http://schemas.microsoft.com/office/2007/relationships/stylesWithEffects"/>
  <Relationship Id="rId9" Target="media/8.png" Type="http://schemas.openxmlformats.org/officeDocument/2006/relationships/image"/>
  <Relationship Id="rId5" Target="media/4.png" Type="http://schemas.openxmlformats.org/officeDocument/2006/relationships/image"/>
  <Relationship Id="rId8" Target="media/7.png" Type="http://schemas.openxmlformats.org/officeDocument/2006/relationships/image"/>
  <Relationship Id="rId4" Target="media/3.png" Type="http://schemas.openxmlformats.org/officeDocument/2006/relationships/image"/>
  <Relationship Id="rId12" Target="styles.xml" Type="http://schemas.openxmlformats.org/officeDocument/2006/relationships/style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2025-03-10T16:36:55Z</dcterms:modified>
</cp:coreProperties>
</file>